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August 6,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before="0" w:after="0"/>
        <w:jc w:val="center"/>
        <w:rPr/>
      </w:pPr>
      <w:r>
        <w:rPr/>
      </w:r>
    </w:p>
    <w:p>
      <w:pPr>
        <w:pStyle w:val="TextBody"/>
        <w:bidi w:val="0"/>
        <w:spacing w:before="0" w:after="0"/>
        <w:jc w:val="center"/>
        <w:rPr/>
      </w:pPr>
      <w:r>
        <w:rPr/>
        <w:drawing>
          <wp:inline distT="0" distB="0" distL="0" distR="0">
            <wp:extent cx="274320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04775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Priority Technology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9786" w:type="dxa"/>
        <w:jc w:val="left"/>
        <w:tblInd w:w="0" w:type="dxa"/>
        <w:tblLayout w:type="fixed"/>
        <w:tblCellMar>
          <w:top w:w="28" w:type="dxa"/>
          <w:left w:w="28" w:type="dxa"/>
          <w:bottom w:w="28" w:type="dxa"/>
          <w:right w:w="28" w:type="dxa"/>
        </w:tblCellMar>
      </w:tblPr>
      <w:tblGrid>
        <w:gridCol w:w="1345"/>
        <w:gridCol w:w="1181"/>
        <w:gridCol w:w="1193"/>
        <w:gridCol w:w="109"/>
        <w:gridCol w:w="109"/>
        <w:gridCol w:w="109"/>
        <w:gridCol w:w="777"/>
        <w:gridCol w:w="777"/>
        <w:gridCol w:w="785"/>
        <w:gridCol w:w="109"/>
        <w:gridCol w:w="109"/>
        <w:gridCol w:w="109"/>
        <w:gridCol w:w="897"/>
        <w:gridCol w:w="897"/>
        <w:gridCol w:w="1280"/>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001-37872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47-4257046</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 </w:t>
            </w:r>
          </w:p>
        </w:tc>
      </w:tr>
    </w:tbl>
    <w:p>
      <w:pPr>
        <w:pStyle w:val="TextBody"/>
        <w:bidi w:val="0"/>
        <w:spacing w:lineRule="auto" w:line="288" w:before="0" w:after="0"/>
        <w:jc w:val="left"/>
        <w:rPr>
          <w:color w:val="000000"/>
        </w:rPr>
      </w:pPr>
      <w:r>
        <w:rPr>
          <w:color w:val="000000"/>
        </w:rPr>
        <w:t> </w:t>
      </w:r>
    </w:p>
    <w:tbl>
      <w:tblPr>
        <w:tblW w:w="4810" w:type="dxa"/>
        <w:jc w:val="left"/>
        <w:tblInd w:w="0" w:type="dxa"/>
        <w:tblLayout w:type="fixed"/>
        <w:tblCellMar>
          <w:top w:w="28" w:type="dxa"/>
          <w:left w:w="28" w:type="dxa"/>
          <w:bottom w:w="28" w:type="dxa"/>
          <w:right w:w="28" w:type="dxa"/>
        </w:tblCellMar>
      </w:tblPr>
      <w:tblGrid>
        <w:gridCol w:w="631"/>
        <w:gridCol w:w="553"/>
        <w:gridCol w:w="553"/>
        <w:gridCol w:w="553"/>
        <w:gridCol w:w="553"/>
        <w:gridCol w:w="561"/>
        <w:gridCol w:w="109"/>
        <w:gridCol w:w="109"/>
        <w:gridCol w:w="109"/>
        <w:gridCol w:w="316"/>
        <w:gridCol w:w="316"/>
        <w:gridCol w:w="447"/>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2001 Westside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Alpharetta,</w:t>
            </w:r>
          </w:p>
        </w:tc>
        <w:tc>
          <w:tcPr>
            <w:tcW w:w="16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30004</w:t>
            </w:r>
          </w:p>
        </w:tc>
      </w:tr>
      <w:tr>
        <w:trPr/>
        <w:tc>
          <w:tcPr>
            <w:tcW w:w="34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(800) 935-5961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82" w:type="dxa"/>
        <w:jc w:val="center"/>
        <w:tblInd w:w="0" w:type="dxa"/>
        <w:tblLayout w:type="fixed"/>
        <w:tblCellMar>
          <w:top w:w="28" w:type="dxa"/>
          <w:left w:w="28" w:type="dxa"/>
          <w:bottom w:w="28" w:type="dxa"/>
          <w:right w:w="28" w:type="dxa"/>
        </w:tblCellMar>
      </w:tblPr>
      <w:tblGrid>
        <w:gridCol w:w="1013"/>
        <w:gridCol w:w="890"/>
        <w:gridCol w:w="901"/>
        <w:gridCol w:w="109"/>
        <w:gridCol w:w="109"/>
        <w:gridCol w:w="109"/>
        <w:gridCol w:w="499"/>
        <w:gridCol w:w="499"/>
        <w:gridCol w:w="501"/>
        <w:gridCol w:w="109"/>
        <w:gridCol w:w="109"/>
        <w:gridCol w:w="109"/>
        <w:gridCol w:w="1118"/>
        <w:gridCol w:w="1118"/>
        <w:gridCol w:w="1589"/>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6, 2026, Priority Technology Holdings, Inc. ("Priority Commerce") issued a press release announcing its financial results for the quarter ended June 30, 2026. A copy of that press release is attached as Exhibit 99.1 to this Current Report on Form 8-K.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6, 2026, Priority Commerce will hold an earnings conference call and webcast at 10:00 a.m. (Eastern Time) to discuss the financial results for the quarter ended June 30, 2026.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 Exhibits – The following exhibit is furnished as part of this Current Report on Form 8-K.</w:t>
      </w:r>
    </w:p>
    <w:tbl>
      <w:tblPr>
        <w:tblW w:w="8144" w:type="dxa"/>
        <w:jc w:val="left"/>
        <w:tblInd w:w="0" w:type="dxa"/>
        <w:tblLayout w:type="fixed"/>
        <w:tblCellMar>
          <w:top w:w="28" w:type="dxa"/>
          <w:left w:w="28" w:type="dxa"/>
          <w:bottom w:w="28" w:type="dxa"/>
          <w:right w:w="28" w:type="dxa"/>
        </w:tblCellMar>
      </w:tblPr>
      <w:tblGrid>
        <w:gridCol w:w="538"/>
        <w:gridCol w:w="472"/>
        <w:gridCol w:w="474"/>
        <w:gridCol w:w="1944"/>
        <w:gridCol w:w="1944"/>
        <w:gridCol w:w="277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prthq22026earningsre.htm">
              <w:r>
                <w:rPr>
                  <w:rStyle w:val="InternetLink"/>
                  <w:rFonts w:ascii="Times New Roman;serif" w:hAnsi="Times New Roman;serif"/>
                  <w:b w:val="false"/>
                  <w:color w:val="0000FF"/>
                  <w:sz w:val="20"/>
                </w:rPr>
                <w:t>99.1</w:t>
              </w:r>
            </w:hyperlink>
          </w:p>
        </w:tc>
        <w:tc>
          <w:tcPr>
            <w:tcW w:w="6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prthq22026earningsre.htm">
              <w:r>
                <w:rPr>
                  <w:rStyle w:val="InternetLink"/>
                  <w:rFonts w:ascii="Times New Roman;serif" w:hAnsi="Times New Roman;serif"/>
                  <w:b w:val="false"/>
                  <w:color w:val="0000FF"/>
                  <w:sz w:val="20"/>
                </w:rPr>
                <w:t>Press Release of Priority Technology Holdings, Inc. dated August 6,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_prthsupplementals.htm">
              <w:r>
                <w:rPr>
                  <w:rStyle w:val="InternetLink"/>
                  <w:rFonts w:ascii="Times New Roman;serif" w:hAnsi="Times New Roman;serif"/>
                  <w:b w:val="false"/>
                  <w:color w:val="0000FF"/>
                  <w:sz w:val="20"/>
                </w:rPr>
                <w:t>99.2</w:t>
              </w:r>
            </w:hyperlink>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_prthsupplementals.htm">
              <w:r>
                <w:rPr>
                  <w:rStyle w:val="InternetLink"/>
                  <w:rFonts w:ascii="Times New Roman;serif" w:hAnsi="Times New Roman;serif"/>
                  <w:b w:val="false"/>
                  <w:color w:val="0000FF"/>
                  <w:sz w:val="20"/>
                </w:rPr>
                <w:t xml:space="preserve">Supplemental slide presentation </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5802" w:type="dxa"/>
        <w:jc w:val="left"/>
        <w:tblInd w:w="0" w:type="dxa"/>
        <w:tblLayout w:type="fixed"/>
        <w:tblCellMar>
          <w:top w:w="28" w:type="dxa"/>
          <w:left w:w="28" w:type="dxa"/>
          <w:bottom w:w="28" w:type="dxa"/>
          <w:right w:w="28" w:type="dxa"/>
        </w:tblCellMar>
      </w:tblPr>
      <w:tblGrid>
        <w:gridCol w:w="705"/>
        <w:gridCol w:w="619"/>
        <w:gridCol w:w="625"/>
        <w:gridCol w:w="599"/>
        <w:gridCol w:w="599"/>
        <w:gridCol w:w="599"/>
        <w:gridCol w:w="599"/>
        <w:gridCol w:w="599"/>
        <w:gridCol w:w="85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PRIORITY TECHNOLOGY HOLDINGS,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By: /s/ Timothy M. O'Leary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 Timothy M. O'Leary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ind w:left="0" w:right="0" w:firstLine="720"/>
        <w:jc w:val="right"/>
        <w:rPr>
          <w:color w:val="000000"/>
        </w:rPr>
      </w:pPr>
      <w:r>
        <w:rPr>
          <w:color w:val="000000"/>
        </w:rPr>
        <w:t xml:space="preserve">                         </w:t>
      </w:r>
    </w:p>
    <w:p>
      <w:pPr>
        <w:pStyle w:val="TextBody"/>
        <w:bidi w:val="0"/>
        <w:spacing w:before="0" w:after="0"/>
        <w:jc w:val="center"/>
        <w:rPr/>
      </w:pPr>
      <w:r>
        <w:rPr/>
      </w:r>
    </w:p>
    <w:p>
      <w:pPr>
        <w:pStyle w:val="TextBody"/>
        <w:bidi w:val="0"/>
        <w:spacing w:before="0" w:after="0"/>
        <w:jc w:val="center"/>
        <w:rPr/>
      </w:pPr>
      <w:r>
        <w:rPr/>
        <w:drawing>
          <wp:inline distT="0" distB="0" distL="0" distR="0">
            <wp:extent cx="2743200" cy="10477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743200" cy="10477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6"/>
        </w:rPr>
      </w:pPr>
      <w:r>
        <w:rPr>
          <w:rFonts w:ascii="Times New Roman;serif" w:hAnsi="Times New Roman;serif"/>
          <w:b/>
          <w:color w:val="000000"/>
          <w:sz w:val="26"/>
        </w:rPr>
        <w:t>Priority Technology Holdings, Inc. Reports Second Quarter Financial Results</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Second Quarter Performance Driven by Strength of Unified Commerce Platform</w:t>
      </w:r>
    </w:p>
    <w:p>
      <w:pPr>
        <w:pStyle w:val="TextBody"/>
        <w:bidi w:val="0"/>
        <w:spacing w:lineRule="auto" w:line="333" w:before="0" w:after="200"/>
        <w:jc w:val="both"/>
        <w:rPr/>
      </w:pPr>
      <w:r>
        <w:rPr>
          <w:rFonts w:ascii="Times New Roman;serif" w:hAnsi="Times New Roman;serif"/>
          <w:b w:val="false"/>
          <w:color w:val="000000"/>
          <w:sz w:val="22"/>
        </w:rPr>
        <w:t xml:space="preserve">ALPHARETTA, GA - August 6, 2026 -- Priority Technology Holdings, Inc. (NASDAQ: PRTH) ("Priority Commerce" or the "Company"), delivers payments and banking solutions that power connected commerce. Through a unified platform of payables, merchant services, and banking and treasury, Priority Commerce helps businesses manage money more effectively and unlock growth. The Priority Commerce Engine accelerates cash flow, improves working capital, reduces costs, and creates new revenue opportunities and today has announced its second quarter </w:t>
      </w:r>
      <w:r>
        <w:rPr>
          <w:rFonts w:ascii="Times New Roman;serif" w:hAnsi="Times New Roman;serif"/>
          <w:b w:val="false"/>
          <w:color w:val="000000"/>
          <w:sz w:val="24"/>
        </w:rPr>
        <w:t>2026</w:t>
      </w:r>
      <w:r>
        <w:rPr>
          <w:color w:val="000000"/>
        </w:rPr>
        <w:t xml:space="preserve"> </w:t>
      </w:r>
      <w:r>
        <w:rPr>
          <w:rFonts w:ascii="Times New Roman;serif" w:hAnsi="Times New Roman;serif"/>
          <w:b w:val="false"/>
          <w:color w:val="000000"/>
          <w:sz w:val="22"/>
        </w:rPr>
        <w:t xml:space="preserve">financial results including strong year-over-year revenue growth. </w:t>
      </w:r>
    </w:p>
    <w:p>
      <w:pPr>
        <w:pStyle w:val="TextBody"/>
        <w:bidi w:val="0"/>
        <w:spacing w:lineRule="auto" w:line="333" w:before="0" w:after="240"/>
        <w:jc w:val="both"/>
        <w:rPr/>
      </w:pPr>
      <w:r>
        <w:rPr>
          <w:rFonts w:ascii="Times New Roman;serif" w:hAnsi="Times New Roman;serif"/>
          <w:b/>
          <w:color w:val="000000"/>
          <w:sz w:val="22"/>
          <w:u w:val="single"/>
        </w:rPr>
        <w:t>Highlights of Consolidated Results and Additional Information</w:t>
      </w:r>
      <w:r>
        <w:rPr>
          <w:rFonts w:ascii="Times New Roman;serif" w:hAnsi="Times New Roman;serif"/>
          <w:b w:val="false"/>
          <w:color w:val="000000"/>
          <w:sz w:val="14"/>
        </w:rPr>
        <w:t>1</w:t>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Second Quarter 2026 Financial Highlights compared with Second Quarter 2025</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Revenue of $262.3 million increased 9.4% from $239.8 million, including organic growth of 7.2%</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 xml:space="preserve">Gross profit of $94.4 million increased 7.9% from $87.5 million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Adjusted gross profit (a non-GAAP measure</w:t>
      </w:r>
      <w:r>
        <w:rPr>
          <w:rFonts w:ascii="Times New Roman;serif" w:hAnsi="Times New Roman;serif"/>
          <w:b w:val="false"/>
          <w:color w:val="000000"/>
          <w:sz w:val="14"/>
        </w:rPr>
        <w:t>2</w:t>
      </w:r>
      <w:r>
        <w:rPr>
          <w:rFonts w:ascii="Times New Roman;serif" w:hAnsi="Times New Roman;serif"/>
          <w:b w:val="false"/>
          <w:color w:val="000000"/>
          <w:sz w:val="22"/>
        </w:rPr>
        <w:t>) of $99.9 million increased 8.1% from $92.4 million</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Gross profit margin of 36.0% decreased by nearly 50 basis points from 36.5%</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Adjusted gross profit margin (a non-GAAP measure</w:t>
      </w:r>
      <w:r>
        <w:rPr>
          <w:rFonts w:ascii="Times New Roman;serif" w:hAnsi="Times New Roman;serif"/>
          <w:b w:val="false"/>
          <w:color w:val="000000"/>
          <w:sz w:val="14"/>
        </w:rPr>
        <w:t>2</w:t>
      </w:r>
      <w:r>
        <w:rPr>
          <w:rFonts w:ascii="Times New Roman;serif" w:hAnsi="Times New Roman;serif"/>
          <w:b w:val="false"/>
          <w:color w:val="000000"/>
          <w:sz w:val="22"/>
        </w:rPr>
        <w:t>) of 38.1% decreased by nearly 40 basis points from 38.5%</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Operating income of $33.0 million decreased 11.8% from $37.4 million</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 xml:space="preserve">Net Income of $9.9 million decreased 9.3% from $10.9 million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Adjusted EBITDA (a non-GAAP measure</w:t>
      </w:r>
      <w:r>
        <w:rPr>
          <w:rFonts w:ascii="Times New Roman;serif" w:hAnsi="Times New Roman;serif"/>
          <w:b w:val="false"/>
          <w:color w:val="000000"/>
          <w:sz w:val="14"/>
        </w:rPr>
        <w:t>2</w:t>
      </w:r>
      <w:r>
        <w:rPr>
          <w:rFonts w:ascii="Times New Roman;serif" w:hAnsi="Times New Roman;serif"/>
          <w:b w:val="false"/>
          <w:color w:val="000000"/>
          <w:sz w:val="22"/>
        </w:rPr>
        <w:t>) of $59.4 million increased 6.0% from $56.0 million</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Diluted EPS of $0.12 decreased by $0.02, or by 14.3%, from $0.14</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2"/>
        </w:rPr>
        <w:t>Adjusted Diluted EPS (a non-GAAP measure</w:t>
      </w:r>
      <w:r>
        <w:rPr>
          <w:rFonts w:ascii="Times New Roman;serif" w:hAnsi="Times New Roman;serif"/>
          <w:b w:val="false"/>
          <w:color w:val="000000"/>
          <w:sz w:val="14"/>
        </w:rPr>
        <w:t>2</w:t>
      </w:r>
      <w:r>
        <w:rPr>
          <w:rFonts w:ascii="Times New Roman;serif" w:hAnsi="Times New Roman;serif"/>
          <w:b w:val="false"/>
          <w:color w:val="000000"/>
          <w:sz w:val="22"/>
        </w:rPr>
        <w:t>) of $0.29 increased by $0.03, or 11.5%, from $0.26</w:t>
      </w:r>
    </w:p>
    <w:p>
      <w:pPr>
        <w:pStyle w:val="TextBody"/>
        <w:bidi w:val="0"/>
        <w:spacing w:lineRule="auto" w:line="333" w:before="0" w:after="0"/>
        <w:ind w:left="0" w:right="0" w:hanging="360"/>
        <w:jc w:val="both"/>
        <w:rPr/>
      </w:pPr>
      <w:r>
        <w:rPr>
          <w:rFonts w:ascii="Times New Roman;serif" w:hAnsi="Times New Roman;serif"/>
          <w:b w:val="false"/>
          <w:i/>
          <w:color w:val="000000"/>
          <w:sz w:val="14"/>
        </w:rPr>
        <w:t>(1)</w:t>
      </w:r>
      <w:r>
        <w:rPr>
          <w:rFonts w:ascii="Times New Roman;serif" w:hAnsi="Times New Roman;serif"/>
          <w:b w:val="false"/>
          <w:i/>
          <w:color w:val="000000"/>
          <w:sz w:val="22"/>
        </w:rPr>
        <w:t>Certain amounts/percentages may not compute accurately due to rounding.</w:t>
      </w:r>
    </w:p>
    <w:p>
      <w:pPr>
        <w:pStyle w:val="TextBody"/>
        <w:bidi w:val="0"/>
        <w:spacing w:lineRule="auto" w:line="333" w:before="0" w:after="200"/>
        <w:ind w:left="0" w:right="0" w:hanging="360"/>
        <w:jc w:val="both"/>
        <w:rPr/>
      </w:pPr>
      <w:r>
        <w:rPr>
          <w:rFonts w:ascii="Times New Roman;serif" w:hAnsi="Times New Roman;serif"/>
          <w:b w:val="false"/>
          <w:i/>
          <w:color w:val="000000"/>
          <w:sz w:val="16"/>
        </w:rPr>
        <w:t>(2)</w:t>
      </w:r>
      <w:r>
        <w:rPr>
          <w:rFonts w:ascii="Times New Roman;serif" w:hAnsi="Times New Roman;serif"/>
          <w:b w:val="false"/>
          <w:i/>
          <w:color w:val="000000"/>
          <w:sz w:val="22"/>
        </w:rPr>
        <w:t>See "Non-GAAP Financial Measures" and the reconciliations of Adjusted Gross Profit (non-GAAP), Adjusted Gross Profit Margin (non-GAAP), Adjusted EBITDA (non-GAAP), and Adjusted EPS- diluted (non-GAAP) to their most comparable GAAP measures provided within this document for additional information.</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"Strong second quarter results reflect the continued success of Priority’s Connected Commerce engine, with over 9% revenue growth and 8% adjusted gross profit growth,” said Tom Priore, Chairman &amp; CEO of Priority. “The growing base of partners leveraging our platform for payments and treasury solutions to improve visibility into their financial environment with total command of their cashflow reinforces our belief in our vision for the future of commerce and confidence to affirm our full year 2026 financial guidance.”</w:t>
      </w:r>
    </w:p>
    <w:p>
      <w:pPr>
        <w:pStyle w:val="TextBody"/>
        <w:bidi w:val="0"/>
        <w:spacing w:lineRule="auto" w:line="333"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erif" w:hAnsi="Times New Roman;serif"/>
          <w:b/>
          <w:color w:val="000000"/>
          <w:sz w:val="22"/>
          <w:u w:val="single"/>
        </w:rPr>
      </w:pPr>
      <w:r>
        <w:rPr>
          <w:rFonts w:ascii="Times New Roman;serif" w:hAnsi="Times New Roman;serif"/>
          <w:b/>
          <w:color w:val="000000"/>
          <w:sz w:val="22"/>
          <w:u w:val="single"/>
        </w:rPr>
        <w:t>Full Year 2026 Financial Guidance</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Priority Commerce's outlook remains strong and we affirm our full year 2026 guidance:</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Revenue forecast to range between $1.01 billion to $1.04 billion, a growth rate of 6% to 9% compared to fiscal 2025 results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Adjusted gross profit (a non-GAAP measure) forecast to range between $405 million and $425 million</w:t>
      </w:r>
    </w:p>
    <w:p>
      <w:pPr>
        <w:pStyle w:val="TextBody"/>
        <w:bidi w:val="0"/>
        <w:spacing w:lineRule="auto" w:line="333" w:before="0" w:after="240"/>
        <w:ind w:left="0" w:right="0" w:hanging="360"/>
        <w:jc w:val="both"/>
        <w:rPr/>
      </w:pPr>
      <w:r>
        <w:rPr>
          <w:color w:val="000000"/>
        </w:rPr>
        <w:t>•</w:t>
      </w:r>
      <w:r>
        <w:rPr>
          <w:rFonts w:ascii="Times New Roman;serif" w:hAnsi="Times New Roman;serif"/>
          <w:b w:val="false"/>
          <w:color w:val="000000"/>
          <w:sz w:val="22"/>
        </w:rPr>
        <w:t>Adjusted EBITDA (a non-GAAP measure) forecast to range between $230 million to $245 million</w:t>
      </w:r>
    </w:p>
    <w:p>
      <w:pPr>
        <w:pStyle w:val="TextBody"/>
        <w:bidi w:val="0"/>
        <w:spacing w:lineRule="auto" w:line="333" w:before="0" w:after="120"/>
        <w:jc w:val="both"/>
        <w:rPr>
          <w:rFonts w:ascii="Times New Roman;serif" w:hAnsi="Times New Roman;serif"/>
          <w:b/>
          <w:color w:val="000000"/>
          <w:sz w:val="22"/>
          <w:u w:val="single"/>
        </w:rPr>
      </w:pPr>
      <w:r>
        <w:rPr>
          <w:rFonts w:ascii="Times New Roman;serif" w:hAnsi="Times New Roman;serif"/>
          <w:b/>
          <w:color w:val="000000"/>
          <w:sz w:val="22"/>
          <w:u w:val="single"/>
        </w:rPr>
        <w:t>Conference Call</w:t>
      </w:r>
    </w:p>
    <w:p>
      <w:pPr>
        <w:pStyle w:val="TextBody"/>
        <w:bidi w:val="0"/>
        <w:spacing w:lineRule="auto" w:line="333" w:before="0" w:after="240"/>
        <w:jc w:val="both"/>
        <w:rPr/>
      </w:pPr>
      <w:r>
        <w:rPr>
          <w:rFonts w:ascii="Times New Roman;serif" w:hAnsi="Times New Roman;serif"/>
          <w:b w:val="false"/>
          <w:color w:val="070707"/>
          <w:sz w:val="22"/>
        </w:rPr>
        <w:t>The Company will host a conference call on Thursday, August 6, 2026 at 10:00 a.m. EDT to discuss its second quarter financial results. Participants can access the call by p</w:t>
      </w:r>
      <w:r>
        <w:rPr>
          <w:rFonts w:ascii="Times New Roman;serif" w:hAnsi="Times New Roman;serif"/>
          <w:b w:val="false"/>
          <w:color w:val="000000"/>
          <w:sz w:val="22"/>
        </w:rPr>
        <w:t>hone in the U.S. or Canada at (833) 636-1319 or internationally at (412) 902-4286.</w:t>
      </w:r>
    </w:p>
    <w:p>
      <w:pPr>
        <w:pStyle w:val="TextBody"/>
        <w:bidi w:val="0"/>
        <w:spacing w:lineRule="auto" w:line="333" w:before="0" w:after="240"/>
        <w:jc w:val="left"/>
        <w:rPr/>
      </w:pPr>
      <w:r>
        <w:rPr>
          <w:rFonts w:ascii="Times New Roman;serif" w:hAnsi="Times New Roman;serif"/>
          <w:b w:val="false"/>
          <w:color w:val="000000"/>
          <w:sz w:val="22"/>
        </w:rPr>
        <w:t>The Internet webcast link and accompanying slide presentation can be accessed at</w:t>
      </w:r>
      <w:r>
        <w:rPr>
          <w:color w:val="000000"/>
        </w:rPr>
        <w:t xml:space="preserve"> </w:t>
      </w:r>
      <w:r>
        <w:rPr>
          <w:rFonts w:ascii="Times New Roman;serif" w:hAnsi="Times New Roman;serif"/>
          <w:b/>
          <w:color w:val="000000"/>
          <w:sz w:val="22"/>
        </w:rPr>
        <w:t xml:space="preserve">https://viavid.webcasts.com/starthere.jsp?ei=1770268&amp;tp_key=a6ff1aab23 </w:t>
      </w:r>
      <w:r>
        <w:rPr>
          <w:rFonts w:ascii="Times New Roman;serif" w:hAnsi="Times New Roman;serif"/>
          <w:b w:val="false"/>
          <w:color w:val="000000"/>
          <w:sz w:val="22"/>
        </w:rPr>
        <w:t>and will also be posted in the "Investor Relations" section of the Company's website at https://ir.prioritycommerce.com/.</w:t>
      </w:r>
    </w:p>
    <w:p>
      <w:pPr>
        <w:pStyle w:val="TextBody"/>
        <w:bidi w:val="0"/>
        <w:spacing w:lineRule="auto" w:line="333" w:before="0" w:after="240"/>
        <w:jc w:val="both"/>
        <w:rPr/>
      </w:pPr>
      <w:r>
        <w:rPr>
          <w:rFonts w:ascii="Times New Roman;serif" w:hAnsi="Times New Roman;serif"/>
          <w:b w:val="false"/>
          <w:color w:val="000000"/>
          <w:sz w:val="22"/>
        </w:rPr>
        <w:t>An audio replay of the call will be available shortly after the conference call until August 20, 2026, at 11:59 p.m. EDT. To listen to the audio replay, dial (844) 512-2921 or (412) 317-6671 and enter conference ID number</w:t>
      </w:r>
      <w:r>
        <w:rPr>
          <w:color w:val="000000"/>
        </w:rPr>
        <w:t xml:space="preserve"> </w:t>
      </w:r>
      <w:r>
        <w:rPr>
          <w:rFonts w:ascii="Times New Roman;serif" w:hAnsi="Times New Roman;serif"/>
          <w:b/>
          <w:color w:val="000000"/>
          <w:sz w:val="22"/>
        </w:rPr>
        <w:t>10210738</w:t>
      </w:r>
      <w:r>
        <w:rPr>
          <w:rFonts w:ascii="Times New Roman;serif" w:hAnsi="Times New Roman;serif"/>
          <w:b w:val="false"/>
          <w:color w:val="000000"/>
          <w:sz w:val="22"/>
        </w:rPr>
        <w:t>. Alternatively, you may access the webcast replay in the "Investor Relations" section of the Company's website at https://ir.prioritycommerce.com.</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color w:val="0A0A0A"/>
          <w:sz w:val="22"/>
          <w:u w:val="single"/>
        </w:rPr>
      </w:pPr>
      <w:r>
        <w:rPr>
          <w:rFonts w:ascii="Times New Roman;serif" w:hAnsi="Times New Roman;serif"/>
          <w:b/>
          <w:color w:val="0A0A0A"/>
          <w:sz w:val="22"/>
          <w:u w:val="single"/>
        </w:rPr>
        <w:t>Non-GAAP Financial Measures</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pStyle w:val="TextBody"/>
        <w:bidi w:val="0"/>
        <w:spacing w:lineRule="auto" w:line="333"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Adjusted Gross Profit and Adjusted Gross Profit Margin</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tbl>
      <w:tblPr>
        <w:tblW w:w="10205" w:type="dxa"/>
        <w:jc w:val="left"/>
        <w:tblInd w:w="0" w:type="dxa"/>
        <w:tblLayout w:type="fixed"/>
        <w:tblCellMar>
          <w:top w:w="28" w:type="dxa"/>
          <w:left w:w="28" w:type="dxa"/>
          <w:bottom w:w="28" w:type="dxa"/>
          <w:right w:w="28" w:type="dxa"/>
        </w:tblCellMar>
      </w:tblPr>
      <w:tblGrid>
        <w:gridCol w:w="1106"/>
        <w:gridCol w:w="921"/>
        <w:gridCol w:w="882"/>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156"/>
      </w:tblGrid>
      <w:tr>
        <w:trPr/>
        <w:tc>
          <w:tcPr>
            <w:tcW w:w="110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262,256 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239,812 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511,814 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464,442 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 of revenue (excluding depreciation and amortization)</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(162,358)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(147,399)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(313,145)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(284,752)</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gross profit</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99,898 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92,413 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198,669 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179,690 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gross profit margin</w:t>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38.1 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38.5 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38.8 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38.7 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 of revenue generating assets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(5,469)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(4,911)</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(10,743)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(9,597)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94,429 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87,502 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187,926 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170,093 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 margin</w:t>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36.0 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36.5 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36.7 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36.6 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240" w:after="240"/>
        <w:jc w:val="both"/>
        <w:rPr>
          <w:rFonts w:ascii="Times New Roman;serif" w:hAnsi="Times New Roman;serif"/>
          <w:b/>
          <w:i/>
          <w:color w:val="000000"/>
          <w:sz w:val="22"/>
        </w:rPr>
      </w:pPr>
      <w:r>
        <w:rPr>
          <w:rFonts w:ascii="Times New Roman;serif" w:hAnsi="Times New Roman;serif"/>
          <w:b/>
          <w:i/>
          <w:color w:val="000000"/>
          <w:sz w:val="22"/>
        </w:rPr>
        <w:t xml:space="preserve">EBITDA and Adjusted EBITDA </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EBITDA and adjusted EBITDA are performance measures. EBITDA is earnings before interest, income tax,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 </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The reconciliation of adjusted EBITDA to its most comparable GAAP measure is provided below:</w:t>
      </w:r>
    </w:p>
    <w:tbl>
      <w:tblPr>
        <w:tblW w:w="10205" w:type="dxa"/>
        <w:jc w:val="left"/>
        <w:tblInd w:w="0" w:type="dxa"/>
        <w:tblLayout w:type="fixed"/>
        <w:tblCellMar>
          <w:top w:w="28" w:type="dxa"/>
          <w:left w:w="28" w:type="dxa"/>
          <w:bottom w:w="28" w:type="dxa"/>
          <w:right w:w="28" w:type="dxa"/>
        </w:tblCellMar>
      </w:tblPr>
      <w:tblGrid>
        <w:gridCol w:w="1424"/>
        <w:gridCol w:w="1091"/>
        <w:gridCol w:w="1098"/>
        <w:gridCol w:w="246"/>
        <w:gridCol w:w="902"/>
        <w:gridCol w:w="118"/>
        <w:gridCol w:w="118"/>
        <w:gridCol w:w="118"/>
        <w:gridCol w:w="118"/>
        <w:gridCol w:w="246"/>
        <w:gridCol w:w="902"/>
        <w:gridCol w:w="118"/>
        <w:gridCol w:w="109"/>
        <w:gridCol w:w="109"/>
        <w:gridCol w:w="109"/>
        <w:gridCol w:w="226"/>
        <w:gridCol w:w="946"/>
        <w:gridCol w:w="109"/>
        <w:gridCol w:w="109"/>
        <w:gridCol w:w="109"/>
        <w:gridCol w:w="109"/>
        <w:gridCol w:w="226"/>
        <w:gridCol w:w="946"/>
        <w:gridCol w:w="109"/>
        <w:gridCol w:w="109"/>
        <w:gridCol w:w="109"/>
        <w:gridCol w:w="109"/>
        <w:gridCol w:w="163"/>
      </w:tblGrid>
      <w:tr>
        <w:trPr/>
        <w:tc>
          <w:tcPr>
            <w:tcW w:w="142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2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9,863 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10,879 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19,623 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19,147 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21,051 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23,054 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w:t>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3,774 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4,423 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20,893 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14,093 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EBITDA</w:t>
            </w:r>
          </w:p>
        </w:tc>
        <w:tc>
          <w:tcPr>
            <w:tcW w:w="11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55,581 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52,449 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107,618 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99,920 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Debt modification and extinguishment expenses</w:t>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(non-recurring)</w:t>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Non-cash stock-based compensation</w:t>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2,283 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3,206 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EBITDA</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59,395 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56,050 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117,489 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107,344 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lineRule="auto" w:line="333"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Further detail of certain of these adjustments, and where these items are recorded in our consolidated statements of operations, is provided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46"/>
        <w:gridCol w:w="1359"/>
        <w:gridCol w:w="1369"/>
        <w:gridCol w:w="275"/>
        <w:gridCol w:w="860"/>
        <w:gridCol w:w="132"/>
        <w:gridCol w:w="132"/>
        <w:gridCol w:w="132"/>
        <w:gridCol w:w="132"/>
        <w:gridCol w:w="275"/>
        <w:gridCol w:w="640"/>
        <w:gridCol w:w="132"/>
        <w:gridCol w:w="109"/>
        <w:gridCol w:w="109"/>
        <w:gridCol w:w="109"/>
        <w:gridCol w:w="226"/>
        <w:gridCol w:w="706"/>
        <w:gridCol w:w="109"/>
        <w:gridCol w:w="109"/>
        <w:gridCol w:w="109"/>
        <w:gridCol w:w="109"/>
        <w:gridCol w:w="226"/>
        <w:gridCol w:w="706"/>
        <w:gridCol w:w="109"/>
        <w:gridCol w:w="109"/>
        <w:gridCol w:w="109"/>
        <w:gridCol w:w="109"/>
        <w:gridCol w:w="158"/>
      </w:tblGrid>
      <w:tr>
        <w:trPr/>
        <w:tc>
          <w:tcPr>
            <w:tcW w:w="15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Selling, general and administrative expenses (non-recurring):</w:t>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Legal fees</w:t>
            </w:r>
            <w:r>
              <w:rPr>
                <w:rFonts w:ascii="Times New Roman;serif" w:hAnsi="Times New Roman;serif"/>
                <w:b w:val="false"/>
                <w:color w:val="000000"/>
                <w:sz w:val="14"/>
              </w:rPr>
              <w:t>(1)</w:t>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Professional, accounting and consulting fees</w:t>
            </w:r>
            <w:r>
              <w:rPr>
                <w:rFonts w:ascii="Times New Roman;serif" w:hAnsi="Times New Roman;serif"/>
                <w:b w:val="false"/>
                <w:color w:val="000000"/>
                <w:sz w:val="14"/>
              </w:rPr>
              <w:t>(2)</w:t>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Other expenses, net</w:t>
            </w:r>
            <w:r>
              <w:rPr>
                <w:rFonts w:ascii="Times New Roman;serif" w:hAnsi="Times New Roman;serif"/>
                <w:b w:val="false"/>
                <w:color w:val="000000"/>
                <w:sz w:val="14"/>
              </w:rPr>
              <w:t>(3)</w:t>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Litigation settlement</w:t>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1,531</w:t>
            </w:r>
            <w:r>
              <w:rPr>
                <w:color w:val="000000"/>
              </w:rPr>
              <w:t>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6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395</w:t>
            </w:r>
            <w:r>
              <w:rPr>
                <w:color w:val="000000"/>
              </w:rPr>
              <w:t>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5,500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2,594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(1) These legal expenses primarily relate to litigation matters, mergers and acquisitions, and other transactions (e.g., the on-going special committee process), all of which are non-recurring in nature.</w:t>
        <w:br/>
        <w:t>(2) These professional, accounting, and consulting fees are associated with non-recurring projects, including professional fees and incremental audit fees incurred for valuation and audit work related to the on-going special committee process, acquisitions, disposals, and automation initiatives.</w:t>
        <w:br/>
        <w:t xml:space="preserve">(3) These other expenses primarily include non-recurring director and management fees related to the on-going special committee process as well as non-recurring fees for web and security hosting, and software licenses.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333"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0" w:after="0"/>
        <w:jc w:val="left"/>
        <w:rPr>
          <w:rFonts w:ascii="Times New Roman;serif" w:hAnsi="Times New Roman;serif"/>
          <w:b/>
          <w:i/>
          <w:color w:val="000000"/>
          <w:sz w:val="22"/>
        </w:rPr>
      </w:pPr>
      <w:r>
        <w:rPr>
          <w:rFonts w:ascii="Times New Roman;serif" w:hAnsi="Times New Roman;serif"/>
          <w:b/>
          <w:i/>
          <w:color w:val="000000"/>
          <w:sz w:val="22"/>
        </w:rPr>
        <w:t>Adjusted Earnings Per Share (Adjusted EPS)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Adjusted EPS is a performance measure. Adjusted EPS is calculated by dividing adjusted net income attributable to common shareholders by weighted average number shares outstanding for the respective periods.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Adjusted net income attributable to common shareholders begins with net income attributable to common shareholders adjusted to exclude various items listed below. We believe adjusted EPS is a measure that is useful to investors and management in understanding our ongoing profitability and in analysis of ongoing profitability trends.</w:t>
      </w:r>
    </w:p>
    <w:tbl>
      <w:tblPr>
        <w:tblW w:w="10205" w:type="dxa"/>
        <w:jc w:val="left"/>
        <w:tblInd w:w="0" w:type="dxa"/>
        <w:tblLayout w:type="fixed"/>
        <w:tblCellMar>
          <w:top w:w="28" w:type="dxa"/>
          <w:left w:w="28" w:type="dxa"/>
          <w:bottom w:w="28" w:type="dxa"/>
          <w:right w:w="28" w:type="dxa"/>
        </w:tblCellMar>
      </w:tblPr>
      <w:tblGrid>
        <w:gridCol w:w="1576"/>
        <w:gridCol w:w="1309"/>
        <w:gridCol w:w="1322"/>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5"/>
      </w:tblGrid>
      <w:tr>
        <w:trPr/>
        <w:tc>
          <w:tcPr>
            <w:tcW w:w="157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Reconciliation of Adjusted EPS</w:t>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19,147 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Debt extinguishment and modification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Stock based 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non-recurring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2,594 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acquisition related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18,731 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Tax impact of adjustments</w:t>
            </w:r>
            <w:r>
              <w:rPr>
                <w:rFonts w:ascii="Times New Roman;serif" w:hAnsi="Times New Roman;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(6,800)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 attributable to common share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24,335 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38,502 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Weighted average common shares outstanding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78,878 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dilutive potential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Weighted average common shares outstanding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79,968 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Earnings per common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Adjusted earnings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(1) The tax impact calculated using the blended statutory income tax rate (i.e. 26.0% for three and six months ended June 30, 2026 and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333"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Priority Commerce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pStyle w:val="TextBody"/>
        <w:bidi w:val="0"/>
        <w:spacing w:before="0" w:after="0"/>
        <w:jc w:val="both"/>
        <w:rPr/>
      </w:pPr>
      <w:r>
        <w:rPr/>
      </w:r>
    </w:p>
    <w:p>
      <w:pPr>
        <w:pStyle w:val="TextBody"/>
        <w:bidi w:val="0"/>
        <w:jc w:val="both"/>
        <w:rPr/>
      </w:pPr>
      <w:r>
        <w:rPr/>
      </w:r>
    </w:p>
    <w:p>
      <w:pPr>
        <w:pStyle w:val="TextBody"/>
        <w:bidi w:val="0"/>
        <w:spacing w:lineRule="auto" w:line="333"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About Priority Commerce</w:t>
      </w:r>
    </w:p>
    <w:p>
      <w:pPr>
        <w:pStyle w:val="TextBody"/>
        <w:bidi w:val="0"/>
        <w:spacing w:lineRule="auto" w:line="333" w:before="0" w:after="240"/>
        <w:jc w:val="left"/>
        <w:rPr/>
      </w:pPr>
      <w:r>
        <w:rPr>
          <w:rFonts w:ascii="Times New Roman;serif" w:hAnsi="Times New Roman;serif"/>
          <w:b w:val="false"/>
          <w:color w:val="000000"/>
          <w:sz w:val="22"/>
        </w:rPr>
        <w:t xml:space="preserve">Priority Commerce delivers payments and banking solutions that power connected commerce. Through a unified platform of payables, merchant services, and banking and treasury, we help businesses manage money more effectively and unlock growth. The Priority Commerce Engine accelerates cash flow, improves working capital, reduces costs, and creates new revenue opportunities. Learn more about Priority Commerce </w:t>
      </w:r>
      <w:r>
        <w:rPr>
          <w:rFonts w:ascii="Times New Roman;serif" w:hAnsi="Times New Roman;serif"/>
          <w:b w:val="false"/>
          <w:i/>
          <w:color w:val="000000"/>
          <w:sz w:val="22"/>
        </w:rPr>
        <w:t xml:space="preserve">(NASDAQ: PRTH) </w:t>
      </w:r>
      <w:r>
        <w:rPr>
          <w:rFonts w:ascii="Times New Roman;serif" w:hAnsi="Times New Roman;serif"/>
          <w:b w:val="false"/>
          <w:color w:val="000000"/>
          <w:sz w:val="22"/>
        </w:rPr>
        <w:t>at prioritycommerce.com</w:t>
      </w:r>
    </w:p>
    <w:p>
      <w:pPr>
        <w:pStyle w:val="TextBody"/>
        <w:bidi w:val="0"/>
        <w:spacing w:lineRule="auto" w:line="288" w:before="0" w:after="240"/>
        <w:jc w:val="center"/>
        <w:rPr>
          <w:rFonts w:ascii="Times New Roman;serif" w:hAnsi="Times New Roman;serif"/>
          <w:b/>
          <w:color w:val="0A0A0A"/>
          <w:sz w:val="22"/>
          <w:u w:val="single"/>
        </w:rPr>
      </w:pPr>
      <w:r>
        <w:rPr>
          <w:rFonts w:ascii="Times New Roman;serif" w:hAnsi="Times New Roman;serif"/>
          <w:b/>
          <w:color w:val="0A0A0A"/>
          <w:sz w:val="22"/>
          <w:u w:val="single"/>
        </w:rPr>
        <w:t>Forward-Looking Statements</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2026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10, 2026. These filings are available online at www.sec.gov or www.prioritycommerce.com.</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pStyle w:val="TextBody"/>
        <w:bidi w:val="0"/>
        <w:spacing w:lineRule="auto" w:line="240" w:before="0" w:after="0"/>
        <w:jc w:val="left"/>
        <w:rPr/>
      </w:pPr>
      <w:r>
        <w:rPr>
          <w:rFonts w:ascii="Times New Roman;serif" w:hAnsi="Times New Roman;serif"/>
          <w:b/>
          <w:color w:val="000000"/>
          <w:sz w:val="22"/>
        </w:rPr>
        <w:t>Priority Commerce Investor Inquiries:</w:t>
      </w:r>
      <w:r>
        <w:rPr>
          <w:rFonts w:ascii="Times New Roman;serif" w:hAnsi="Times New Roman;serif"/>
          <w:b w:val="false"/>
          <w:color w:val="000000"/>
          <w:sz w:val="22"/>
        </w:rPr>
        <w:br/>
        <w:t>priorityIR@icrinc.com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Priority Technology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Consolidated Statements of Operations and Comprehensive Income</w:t>
      </w:r>
    </w:p>
    <w:p>
      <w:pPr>
        <w:pStyle w:val="TextBody"/>
        <w:bidi w:val="0"/>
        <w:spacing w:lineRule="auto" w:line="333"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 share amounts)</w:t>
      </w:r>
    </w:p>
    <w:p>
      <w:pPr>
        <w:pStyle w:val="TextBody"/>
        <w:bidi w:val="0"/>
        <w:spacing w:before="0" w:after="0"/>
        <w:jc w:val="center"/>
        <w:rPr/>
      </w:pPr>
      <w:r>
        <w:rPr/>
      </w:r>
    </w:p>
    <w:tbl>
      <w:tblPr>
        <w:tblW w:w="10176" w:type="dxa"/>
        <w:jc w:val="center"/>
        <w:tblInd w:w="0" w:type="dxa"/>
        <w:tblLayout w:type="fixed"/>
        <w:tblCellMar>
          <w:top w:w="28" w:type="dxa"/>
          <w:left w:w="28" w:type="dxa"/>
          <w:bottom w:w="28" w:type="dxa"/>
          <w:right w:w="28" w:type="dxa"/>
        </w:tblCellMar>
      </w:tblPr>
      <w:tblGrid>
        <w:gridCol w:w="1727"/>
        <w:gridCol w:w="1512"/>
        <w:gridCol w:w="1531"/>
        <w:gridCol w:w="273"/>
        <w:gridCol w:w="709"/>
        <w:gridCol w:w="131"/>
        <w:gridCol w:w="131"/>
        <w:gridCol w:w="131"/>
        <w:gridCol w:w="131"/>
        <w:gridCol w:w="273"/>
        <w:gridCol w:w="709"/>
        <w:gridCol w:w="131"/>
        <w:gridCol w:w="109"/>
        <w:gridCol w:w="109"/>
        <w:gridCol w:w="109"/>
        <w:gridCol w:w="248"/>
        <w:gridCol w:w="658"/>
        <w:gridCol w:w="123"/>
        <w:gridCol w:w="119"/>
        <w:gridCol w:w="119"/>
        <w:gridCol w:w="119"/>
        <w:gridCol w:w="248"/>
        <w:gridCol w:w="654"/>
        <w:gridCol w:w="172"/>
      </w:tblGrid>
      <w:tr>
        <w:trPr/>
        <w:tc>
          <w:tcPr>
            <w:tcW w:w="1727"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262,256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511,814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464,442</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(excludes depreciation and amortization)</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162,358</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284,752</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Salary and employee benefits</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52,835</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38,508</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229,212</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445,380</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394,467</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33,044</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69,975</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extinguishment and modification costs</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(44,155)</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13,637</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w:t>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19,147</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Other comprehensive income </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Comprehensive income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9,752</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19,159</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19,407</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earnings per common share</w:t>
            </w:r>
            <w:r>
              <w:rPr>
                <w:rFonts w:ascii="Times New Roman;serif" w:hAnsi="Times New Roman;serif"/>
                <w:b/>
                <w:color w:val="000000"/>
                <w:sz w:val="13"/>
              </w:rPr>
              <w:t>(1)</w:t>
            </w:r>
            <w:r>
              <w:rPr>
                <w:rFonts w:ascii="Times New Roman;serif" w:hAnsi="Times New Roman;serif"/>
                <w:b/>
                <w:color w:val="000000"/>
                <w:sz w:val="20"/>
              </w:rPr>
              <w:t xml:space="preserve">: </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0.30 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0.59 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0.57 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ind w:left="0" w:right="0" w:hanging="360"/>
        <w:jc w:val="both"/>
        <w:rPr/>
      </w:pPr>
      <w:r>
        <w:rPr>
          <w:rFonts w:ascii="Times New Roman;serif" w:hAnsi="Times New Roman;serif"/>
          <w:b w:val="false"/>
          <w:i/>
          <w:color w:val="000000"/>
          <w:sz w:val="13"/>
        </w:rPr>
        <w:t>(1)</w:t>
      </w:r>
      <w:r>
        <w:rPr>
          <w:rFonts w:ascii="Times New Roman;serif" w:hAnsi="Times New Roman;serif"/>
          <w:b w:val="false"/>
          <w:i/>
          <w:color w:val="000000"/>
          <w:sz w:val="20"/>
        </w:rPr>
        <w:t xml:space="preserve">Adjusted EPS in a non-GAAP earnings measure. See Adjusted EPS reconciliation for further detail.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Priority Technology Holdings,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Consolidated Balance Sheets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bl>
      <w:tblPr>
        <w:tblW w:w="10022" w:type="dxa"/>
        <w:jc w:val="left"/>
        <w:tblInd w:w="0" w:type="dxa"/>
        <w:tblLayout w:type="fixed"/>
        <w:tblCellMar>
          <w:top w:w="28" w:type="dxa"/>
          <w:left w:w="28" w:type="dxa"/>
          <w:bottom w:w="28" w:type="dxa"/>
          <w:right w:w="28" w:type="dxa"/>
        </w:tblCellMar>
      </w:tblPr>
      <w:tblGrid>
        <w:gridCol w:w="2383"/>
        <w:gridCol w:w="2102"/>
        <w:gridCol w:w="2129"/>
        <w:gridCol w:w="211"/>
        <w:gridCol w:w="991"/>
        <w:gridCol w:w="109"/>
        <w:gridCol w:w="109"/>
        <w:gridCol w:w="109"/>
        <w:gridCol w:w="109"/>
        <w:gridCol w:w="275"/>
        <w:gridCol w:w="1294"/>
        <w:gridCol w:w="201"/>
      </w:tblGrid>
      <w:tr>
        <w:trPr/>
        <w:tc>
          <w:tcPr>
            <w:tcW w:w="2383"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77,192 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16,457 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notes receivable, net of allowance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Settlement assets </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1,295,896 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1,633,197 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1,515,052 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less current portion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416,641 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315,190 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2,496,391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2,398,804</w:t>
            </w:r>
            <w:r>
              <w:rPr>
                <w:color w:val="000000"/>
              </w:rPr>
              <w:t>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Stockholders' Deficit and Non-controlling interest</w:t>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residual commissions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 and advance payments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obligations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1,297,263 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1,481,420 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1,410,334 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 discounts and debt issuance costs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1,039,358 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2,567,442 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2,491,176 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(22,759)</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(91,453)</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 attributable to stockholders of Priority Commerce</w:t>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(100,415)</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consolidated subsidiaries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(92,372)</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stockholders' deficit and Non-controlling interest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2,496,391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2,398,804</w:t>
            </w:r>
            <w:r>
              <w:rPr>
                <w:color w:val="000000"/>
              </w:rPr>
              <w:t>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color w:val="000000"/>
          <w:sz w:val="22"/>
        </w:rPr>
        <w:t>Priority Technology Holdings, Inc</w:t>
      </w:r>
      <w:r>
        <w:rPr>
          <w:rFonts w:ascii="Times New Roman;serif" w:hAnsi="Times New Roman;serif"/>
          <w:b w:val="false"/>
          <w:color w:val="000000"/>
          <w:sz w:val="22"/>
        </w:rPr>
        <w:t>.</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5.4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Consolidated Statements of Cash Flows</w:t>
      </w:r>
    </w:p>
    <w:p>
      <w:pPr>
        <w:pStyle w:val="TextBody"/>
        <w:bidi w:val="0"/>
        <w:spacing w:lineRule="auto" w:line="240"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bl>
      <w:tblPr>
        <w:tblW w:w="9713" w:type="dxa"/>
        <w:jc w:val="center"/>
        <w:tblInd w:w="0" w:type="dxa"/>
        <w:tblLayout w:type="fixed"/>
        <w:tblCellMar>
          <w:top w:w="28" w:type="dxa"/>
          <w:left w:w="28" w:type="dxa"/>
          <w:bottom w:w="28" w:type="dxa"/>
          <w:right w:w="28" w:type="dxa"/>
        </w:tblCellMar>
      </w:tblPr>
      <w:tblGrid>
        <w:gridCol w:w="2429"/>
        <w:gridCol w:w="2138"/>
        <w:gridCol w:w="2152"/>
        <w:gridCol w:w="211"/>
        <w:gridCol w:w="991"/>
        <w:gridCol w:w="109"/>
        <w:gridCol w:w="109"/>
        <w:gridCol w:w="109"/>
        <w:gridCol w:w="109"/>
        <w:gridCol w:w="211"/>
        <w:gridCol w:w="991"/>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assets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ESPP, and incentive units compensation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extinguishment and modification costs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contingent consideration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residual commissions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 and advance payments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55,345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27,080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 net of cash acquired</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equipment and software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(203,024)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(21,145)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and modification costs paid</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withheld for taxes </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obligations,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deferred/contingent consideration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83,230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178,091</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 and restricted cash:</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(decrease)/increase in cash and cash equivalents, and restricted cash</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beginning of period</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993,864 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and restricted cash at end of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1,281,549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1,177,890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and cash equivalents, and restricted cash:</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included in settlement assets (restricted in nature)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and cash equivalents, and restricted cash</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1,281,549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1,177,890</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color w:val="000000"/>
          <w:sz w:val="22"/>
        </w:rPr>
        <w:t>Priority Technology Holdings, Inc</w:t>
      </w:r>
      <w:r>
        <w:rPr>
          <w:rFonts w:ascii="Times New Roman;serif" w:hAnsi="Times New Roman;serif"/>
          <w:b w:val="false"/>
          <w:color w:val="000000"/>
          <w:sz w:val="22"/>
        </w:rPr>
        <w:t>.</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5.4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Reportable Segments' Results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before="0" w:after="0"/>
        <w:jc w:val="center"/>
        <w:rPr/>
      </w:pPr>
      <w:r>
        <w:rPr/>
      </w:r>
    </w:p>
    <w:tbl>
      <w:tblPr>
        <w:tblW w:w="10185" w:type="dxa"/>
        <w:jc w:val="left"/>
        <w:tblInd w:w="0" w:type="dxa"/>
        <w:tblLayout w:type="fixed"/>
        <w:tblCellMar>
          <w:top w:w="28" w:type="dxa"/>
          <w:left w:w="28" w:type="dxa"/>
          <w:bottom w:w="28" w:type="dxa"/>
          <w:right w:w="28" w:type="dxa"/>
        </w:tblCellMar>
      </w:tblPr>
      <w:tblGrid>
        <w:gridCol w:w="1285"/>
        <w:gridCol w:w="1131"/>
        <w:gridCol w:w="113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Merchant Solutions: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Indicators: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card processing dollar value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19,549,972 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18,864,185 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37,886,641 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36,560,510 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card transaction count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Payables: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Indicators: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Buyer funded card processing dollar value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funded issuing dollar value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ACH transaction count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Solutions: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Indicators: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CFTPay billed clients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CFTPay monthly enrollments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total account balances</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This represents the average total account balance in the Treasury Solutions segment, and excludes the deposits maintained in the Merchant Solutions and Payables segments. The total account and deposit balances as of June 30, 2026 and 2025, were $1.8 billion and $1.4 billion, respectively.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color w:val="000000"/>
          <w:sz w:val="22"/>
        </w:rPr>
        <w:t>Priority Technology Holdings, Inc</w:t>
      </w:r>
      <w:r>
        <w:rPr>
          <w:rFonts w:ascii="Times New Roman;serif" w:hAnsi="Times New Roman;serif"/>
          <w:b w:val="false"/>
          <w:color w:val="000000"/>
          <w:sz w:val="22"/>
        </w:rPr>
        <w:t>.</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5.4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Reportable Segments' Results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092"/>
        <w:gridCol w:w="800"/>
        <w:gridCol w:w="783"/>
        <w:gridCol w:w="109"/>
        <w:gridCol w:w="109"/>
        <w:gridCol w:w="109"/>
        <w:gridCol w:w="276"/>
        <w:gridCol w:w="965"/>
        <w:gridCol w:w="142"/>
        <w:gridCol w:w="109"/>
        <w:gridCol w:w="109"/>
        <w:gridCol w:w="109"/>
        <w:gridCol w:w="211"/>
        <w:gridCol w:w="631"/>
        <w:gridCol w:w="109"/>
        <w:gridCol w:w="109"/>
        <w:gridCol w:w="109"/>
        <w:gridCol w:w="109"/>
        <w:gridCol w:w="273"/>
        <w:gridCol w:w="955"/>
        <w:gridCol w:w="141"/>
        <w:gridCol w:w="109"/>
        <w:gridCol w:w="109"/>
        <w:gridCol w:w="109"/>
        <w:gridCol w:w="211"/>
        <w:gridCol w:w="764"/>
        <w:gridCol w:w="109"/>
        <w:gridCol w:w="109"/>
        <w:gridCol w:w="109"/>
        <w:gridCol w:w="109"/>
        <w:gridCol w:w="211"/>
        <w:gridCol w:w="736"/>
        <w:gridCol w:w="161"/>
      </w:tblGrid>
      <w:tr>
        <w:trPr/>
        <w:tc>
          <w:tcPr>
            <w:tcW w:w="10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Adjusted EBITDA to GAAP Measure:</w:t>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(non-recurring)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16,646</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41,960</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(46,754)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13,637</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9,863</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5"/>
        <w:gridCol w:w="779"/>
        <w:gridCol w:w="761"/>
        <w:gridCol w:w="109"/>
        <w:gridCol w:w="109"/>
        <w:gridCol w:w="109"/>
        <w:gridCol w:w="273"/>
        <w:gridCol w:w="955"/>
        <w:gridCol w:w="141"/>
        <w:gridCol w:w="109"/>
        <w:gridCol w:w="109"/>
        <w:gridCol w:w="109"/>
        <w:gridCol w:w="211"/>
        <w:gridCol w:w="631"/>
        <w:gridCol w:w="109"/>
        <w:gridCol w:w="109"/>
        <w:gridCol w:w="109"/>
        <w:gridCol w:w="109"/>
        <w:gridCol w:w="270"/>
        <w:gridCol w:w="946"/>
        <w:gridCol w:w="140"/>
        <w:gridCol w:w="109"/>
        <w:gridCol w:w="109"/>
        <w:gridCol w:w="109"/>
        <w:gridCol w:w="211"/>
        <w:gridCol w:w="763"/>
        <w:gridCol w:w="109"/>
        <w:gridCol w:w="109"/>
        <w:gridCol w:w="109"/>
        <w:gridCol w:w="109"/>
        <w:gridCol w:w="211"/>
        <w:gridCol w:w="826"/>
        <w:gridCol w:w="159"/>
      </w:tblGrid>
      <w:tr>
        <w:trPr/>
        <w:tc>
          <w:tcPr>
            <w:tcW w:w="107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Adjusted EBITDA to GAAP Measure:</w:t>
            </w:r>
          </w:p>
        </w:tc>
      </w:tr>
      <w:tr>
        <w:trPr/>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(non-recurring)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33,387</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83,014</w:t>
            </w: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(95,273)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27,043</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19,623</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2"/>
        <w:gridCol w:w="800"/>
        <w:gridCol w:w="783"/>
        <w:gridCol w:w="109"/>
        <w:gridCol w:w="109"/>
        <w:gridCol w:w="109"/>
        <w:gridCol w:w="276"/>
        <w:gridCol w:w="965"/>
        <w:gridCol w:w="142"/>
        <w:gridCol w:w="109"/>
        <w:gridCol w:w="109"/>
        <w:gridCol w:w="109"/>
        <w:gridCol w:w="211"/>
        <w:gridCol w:w="631"/>
        <w:gridCol w:w="109"/>
        <w:gridCol w:w="109"/>
        <w:gridCol w:w="109"/>
        <w:gridCol w:w="109"/>
        <w:gridCol w:w="273"/>
        <w:gridCol w:w="955"/>
        <w:gridCol w:w="141"/>
        <w:gridCol w:w="109"/>
        <w:gridCol w:w="109"/>
        <w:gridCol w:w="109"/>
        <w:gridCol w:w="211"/>
        <w:gridCol w:w="764"/>
        <w:gridCol w:w="109"/>
        <w:gridCol w:w="109"/>
        <w:gridCol w:w="109"/>
        <w:gridCol w:w="109"/>
        <w:gridCol w:w="211"/>
        <w:gridCol w:w="736"/>
        <w:gridCol w:w="161"/>
      </w:tblGrid>
      <w:tr>
        <w:trPr/>
        <w:tc>
          <w:tcPr>
            <w:tcW w:w="10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Adjusted EBITDA to GAAP Measure:</w:t>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(non-recurring)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21,121</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40,341</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(47,794)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15,302</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10,879</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center"/>
        <w:rPr/>
      </w:pPr>
      <w:r>
        <w:rPr>
          <w:rFonts w:ascii="Times New Roman;serif" w:hAnsi="Times New Roman;serif"/>
          <w:b/>
          <w:color w:val="000000"/>
          <w:sz w:val="22"/>
        </w:rPr>
        <w:t>Priority Technology Holdings, Inc</w:t>
      </w:r>
      <w:r>
        <w:rPr>
          <w:rFonts w:ascii="Times New Roman;serif" w:hAnsi="Times New Roman;serif"/>
          <w:b w:val="false"/>
          <w:color w:val="000000"/>
          <w:sz w:val="22"/>
        </w:rPr>
        <w:t>.</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5.4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Reportable Segments' Results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3"/>
        <w:gridCol w:w="765"/>
        <w:gridCol w:w="747"/>
        <w:gridCol w:w="109"/>
        <w:gridCol w:w="109"/>
        <w:gridCol w:w="109"/>
        <w:gridCol w:w="271"/>
        <w:gridCol w:w="949"/>
        <w:gridCol w:w="140"/>
        <w:gridCol w:w="109"/>
        <w:gridCol w:w="109"/>
        <w:gridCol w:w="109"/>
        <w:gridCol w:w="211"/>
        <w:gridCol w:w="631"/>
        <w:gridCol w:w="109"/>
        <w:gridCol w:w="109"/>
        <w:gridCol w:w="109"/>
        <w:gridCol w:w="109"/>
        <w:gridCol w:w="269"/>
        <w:gridCol w:w="939"/>
        <w:gridCol w:w="139"/>
        <w:gridCol w:w="109"/>
        <w:gridCol w:w="109"/>
        <w:gridCol w:w="109"/>
        <w:gridCol w:w="211"/>
        <w:gridCol w:w="762"/>
        <w:gridCol w:w="109"/>
        <w:gridCol w:w="109"/>
        <w:gridCol w:w="109"/>
        <w:gridCol w:w="109"/>
        <w:gridCol w:w="211"/>
        <w:gridCol w:w="826"/>
        <w:gridCol w:w="158"/>
      </w:tblGrid>
      <w:tr>
        <w:trPr/>
        <w:tc>
          <w:tcPr>
            <w:tcW w:w="11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Adjusted EBITDA to GAAP Measure:</w:t>
            </w:r>
          </w:p>
        </w:tc>
      </w:tr>
      <w:tr>
        <w:trPr/>
        <w:tc>
          <w:tcPr>
            <w:tcW w:w="2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modification and extinguishment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(non-recurring)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40,197</w:t>
            </w: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78,110</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(95,286)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25,820</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19,147</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center"/>
        <w:rPr/>
      </w:pPr>
      <w:bookmarkStart w:id="1" w:name="q22026_prthsupplementals.htm"/>
      <w:bookmarkStart w:id="2" w:name="ksq22026_prthsupplementals"/>
      <w:bookmarkEnd w:id="1"/>
      <w:bookmarkEnd w:id="2"/>
      <w:r>
        <w:rPr/>
        <w:drawing>
          <wp:inline distT="0" distB="0" distL="0" distR="0">
            <wp:extent cx="9753600" cy="54864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jc w:val="center"/>
        <w:rPr>
          <w:color w:val="FFFFFF"/>
          <w:sz w:val="2"/>
        </w:rPr>
      </w:pPr>
      <w:r>
        <w:rPr>
          <w:color w:val="FFFFFF"/>
          <w:sz w:val="2"/>
        </w:rPr>
        <w:t xml:space="preserve">R: 0 G: 62 B: 41 R: 1 G: 39 B: 26 R: 254 G: 109 B: 18 R: 255 G: 255 B: 255 R: 231 G: 229 B: 170 R: 166 G: 166 B: 166 R: 117 G: 209 B: 208 R: 131 G: 201 B: 126 R: 37 G: 37 B: 37 Priority Technology Holdings, Inc. (Nasdaq: PRTH) Supplemental Slides: Q2 2026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2 Disclaimer Important Notice Regarding Forward-Looking Statements and Non-GAAP Measures This presentation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“anticipates,” “outlook” or words of similar meaning. These forward-looking statements include, but are not limited to, Priority Technology Holdings, Inc.’s (“Priority Commerce”, “we”, “our” or “us”) 2026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presentation in the context of the risks and uncertainties disclosed in our Securities and Exchange Commission (“SEC”) filings, including our Annual Report on Form 10-K filed with the SEC on March 10, 2026. These filings are available online at www.sec.gov or www.prioritycommerce.com. 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presentation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 This presentation includes certain non-GAAP financial measures that are not prepared in accordance with accounting principles generally accepted in the United States (“GAAP”) and that may be different from non- GAAP financial measures used by other companies. Priority Commerce believes that the use of these non-GAAP financial measures provides an additional tool for investors to use in evaluating ongoing operating results and trends of the Company. These non-GAAP measures should not be considered in isolation from, or as an alternative to, financial measures determined in accordance with GAAP. See the footnotes on the slides where these measures are discussed and the slides at the end of this presentation for a reconciliation of such non-GAAP financial measures to the most comparable GAAP numbers. Additionally, we present guidance for Adjusted EBITDA and Adjusted EBITDA as percentage of revenue, non-GAAP measures without reconciliation due to the inherent difficulty in forecasting and quantifying certain amounts that are necessary for such reconciliations. See more information in Priority Commerce’s earnings press release. Adjusted Gross profit referred throughout this presentation is a non-GAAP measure calculated by subtracting Cost of services (excluding depreciation and amortization) from Revenue. Adjusted Gross profit margin referred throughout this presentation is a non-GAAP measure calculated by dividing Adjusted Gross Profit discussed above by Revenue. Adjusted EBITDA referred to throughout this presentation is a non-GAAP measure calculated as net income prior to interest expense, tax expense, depreciation and amortization expense, adjusted to add back certain non-cash charges and / or non-recurring charges deemed to not be part of normal operating expenses. Adjusted EBITDA margin referred throughout this presentation is a non-GAAP measure calculated by dividing Adjusted EBITDA discussed above by Revenue. See Appendix 1 – 2 of this presentation for a reconciliation of Adjusted Gross Profit to Gross Profit as per GAAP, a reconciliation of Adj. EBITDA to GAAP Income (loss) before Taxes and Priority Commerce’s earnings press release for more details.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3 Key 2nd Quarter 2026 Highlights Q2 2026 RESULTS MAINTAINING FY 2026 GUIDANCE Q2 2026 KEY METRICS REVENUE +9% ADJ GROSS PROFIT1 +8% ADJ EBITDA1 +6% ADJ EPS (diluted) $0.29 $1.8B Account Balances 1.8M Customer Accounts $151B Total Payments Volume2 1 Adjusted Gross Profit, Adjusted Gross Profit margin, Adjusted EBITDA and Adjusted EBITDA margin referred to in this presentation are non-GAAP measures. See slide 2 for further details 2 Represents LTM payments volume as of June 30, 2026 +12% REVENUE (In Millions) ADJUSTED EBITDA1 (In Millions) $1,010 - $1,040 $230 - $245 2026 Guidance Range 2026 Guidance Range YTD Actual YTD Actual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4 Q2 2026 Consolidated Results $92.4M $99.9M $56.0M $59.4M $239.8M $262.3M Q2 25 Q2 26 Q2 25 Q2 26 Q2 25 Q2 26Q2 25 Q2 26 9% 8% 6% Adjusted EBITDA1 increased 6% to $59.4 million Adj Gross Profit margin1 decreased 40 basis points to 38.1% Adj Gross Profit1 increased 8% to $99.9 million Revenue increased 9% to $262.3 million 1 Adjusted Gross Profit, Adjusted Gross Profit margin, Adjusted EBITDA and Adjusted EBITDA margin referred to in this presentation are non-GAAP measures. See slide 2 for further details 40bps 38.5% 38.1%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5 YTD 2026 Consolidated Results $179.7M $198.7M $107.3M $117.5M $464.4M $511.8M 10% 11% 9% Adjusted EBITDA1 increased 9% to $117.5 million Adj Gross Profit margin1 increased 10 basis points to 38.8% Adj Gross Profit1 increased 11% to $198.7 million Revenue increased 10% to $511.8 million 1 Adjusted Gross Profit, Adjusted Gross Profit margin, Adjusted EBITDA and Adjusted EBITDA margin referred to in this presentation are non-GAAP measures. See slide 2 for further details 10bps 38.7% 38.8% YTD 25 YTD 26 YTD 25 YTD 26 YTD 25 YTD 26YTD 25 YTD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6 Accelerate Cash Flow Optimize Working Capital ▪ Priority Commerce Engine (PCE) is a unified platform that provides our customers a personalized financial toolset to accelerate cash flow and optimize working capital on a single platform to collect, store, lend, and send money combining merchant services, payables and banking &amp; treasury solutions ▪ Built with vision: PCE is a native platform built to manage money movement in complex multi- party environments Priority Commerce: Powering an Ecosystem of Integrated Financial Solutions A Proprietary API Suite that Enables Acquiring, Treasury &amp; Payables Solutions Treasury Solutions Passport automates reconciliation, streamlines financial operations &amp; provides full transparency to your liquidity Merchant Solutions Full featured POS &amp; merchant acquiring solutions that accelerate your cash flow to capture revenue opportunities for businesses Payables Optimize your working capital and earn cash back by leveraging our payables &amp; financing solutions while automating reconciliation LendCollect Store We Provide Personalized Payments and Banking Solutions to: Send + Priority Commerce Engine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7 Priority Commerce Engine Acc el er at eC as h Fl ow Payment Orchestration Optim ize W orkingCapital TreasurySolutionsDat a&amp; Bu sin es s In sig ht s Payable Management (Credit, Debit, ACH, Check, Wire) (GLMapping,Recon,FDIC Pass-Through Insurance) (Card Issuing, AP Automation, ACH+) In te gr at ed Pa rt ne rs Consumer Finance Sports &amp; Entertainment Payroll &amp; Benefits Property Tech &amp; Construction Others Consumers Small Businesses Property Managers Others Sports Franchises ✓ Monthly Platform SaaS Fees✓ Interchange on Card Volume ✓ Payment Processing Fees ✓ Float Income on Account Balances End Custom ers Revenue Streams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8 Second Quarter 2026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9 Merchant Solutions Highlights – Q2 2026 1 Adjusted Gross Profit, Adjusted Gross Profit margin, Adjusted EBITDA and Adjusted EBITDA margin referred to in this presentation are non-GAAP measures. See slide 2 for further details Revenue $175.8MM +8% YoY Adj. Gross Profit1 $39.8MM +12% YoY | 22.7% Margin Adj. EBITDA1 $30.9MM +11% YoY | 17.6% Margin Q2 2026 Segment Highlights ➔ Revenue growth driven by combination of 4.5% organic growth plus acquisitions in 2H 2025 ➔ Total Card $ Volumes in Q2 increased 3.6% YoY to $19.5bn ➔ Gross Margins expanded by over 100 bps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10 Payables Highlights – Q2 2026 1 Adjusted Gross Profit, Adjusted Gross Profit margin, Adjusted EBITDA and Adjusted EBITDA margin referred to in this presentation are non-GAAP measures. See slide 2 for further details Revenue $30.4MM +22% YoY Adj. Gross Profit1 $6.5MM (10%) YoY | 21.4% Margin Adj. EBITDA1 $3.1MM (17%) YoY | 10.2% Margin Q2 2026 Segment Highlights ➔ Revenue growth driven by 26% YoY increase in Buyer-Funded revenues ➔ Gross Margins and Adj EBITDA impacted by revenue mix combined with increased card network and interchange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11 Treasury Solutions Highlights – Q2 2026 1 Adjusted Gross Profit, Adjusted Gross Profit margin, Adjusted EBITDA and Adjusted EBITDA margin referred to in this presentation are non-GAAP measures. See slide 2 for further details Revenue $60.5MM +15% YoY Adj. Gross Profit1 $53.6MM +8% YoY | 88.5% Margin Adj. EBITDA1 $47.5MM +4% YoY | 78.5% Margin Q2 2026 Segment Highlights ➔ CFTPay Avg Monthly New Enrollments slowed to 46k but Billed Client growth remained strong with 15% YoY increase to 1.1MM ➔ 133 Integrated Partners at quarter-end (up 30% from Q2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12 Consolidated Operating Expenses – Q2 2026 Salaries &amp; Benefits $29.1MM +8% YoY SG&amp;A $16.8MM +21% YoY Depreciation &amp; Amortization $20.9MM +48% YoY Q2 2026 Highlights ➔ Higher Salaries &amp; Benefits primarily related to acquisitions in 2H 2025 ➔ Increase in SG&amp;A expenses driven by higher software (incl public cloud migration) and marketing related expenses combined with non-recurring legal and transaction related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13 Capital Structure Highlights Net Leverage Calculation (In Millions) Total Debt Balance1 $1,020.0 ( - ) Unrestricted Cash Balance $120.3 Net Debt $899.7 LTM Adj. EBITDA (Q2 2026)2 $235.3 Net Leverage Ratio 3.82x 1 Total debt balance excludes non-recourse borrowings under the residual financing facility 2 Adjusted Gross Profit, Adjusted Gross Profit margin, Adjusted EBITDA and Adjusted EBITDA margin referred to in this presentation are non-GAAP measures. See slide 2 for further details Key Updates and Highlights   Available liquidity over $220 million including unfunded $100 million Revolver and $120 million cash balance Pro forma net leverage ratio of 3.75x based on run-rate impact of acquisitions Capital allocation strategy will focus on continued de- leveraging throughout 2026 complimented by tuck-in acquisitions Historical Leverage Profile   Net leverage ratio reduced to 3.82x based on continued growth in Adjusted EBITDA and free cash flow generation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14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15 The reconciliation of adjusted gross profit to its most comparable GAAP measure is provided below: Appendix 1 – Adjusted Gross Profit1 Reconciliation Note: Certain dollar amounts may not add mathematically due to rounding 1Adjusted Gross Profit, Adjusted Gross Profit margin, Adjusted EBITDA and Adjusted EBITDA margin referred to in this presentation are non-GAAP measures. See slide 2 for further details. Merchant Solutions Payables Treasury Solutions Eliminations Total Merchant Solutions Payables Treasury Solutions Eliminations Total Revenues $ 175.8 $ 30.4 $ 60.5 $ (4.5) $ 262.3 $ 163.2 $ 25.0 $ 52.7 $ (1.1) $ 239.8 Cost of Revenue (excluding depreciation and amortization) (136.0) (23.9) (7.0) 4.5 (162.4) (127.8) (17.8) (2.9) 1.1 (147.4) Adjusted Gross Profit 39.8 6.5 53.6 (0.0) 99.9 35.4 7.3 49.7 (0.0) 92.4 Adjusted Gross Profit Margin 22.7% 21.4% 88.5% 38.1% 21.7% 29.1% 94.4% 38.5% Depreciation and amortization of revenue generating assets (2.2) (0.7) (2.6) -- (5.5) (2.0) (0.7) (2.2) -- (4.9) Gross profit $ 37.7 $ 5.8 $ 51.0 $ (0.0) $ 94.4 $ 33.4 $ 6.6 $ 47.5 $ (0.0) $ 87.5 Gross profit margin 21.4% 19.0% 84.2% 36.0% 20.5% 26.3% 90.3% 36.5% (in Millions) (in Millions) Three Months Ended June 30, 2026 Three Months Ended June 30,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16 The reconciliation of adjusted EBITDA to its most comparable GAAP measure is provided below: Appendix 2 – Adjusted EBITDA1 Reconciliation Note: Certain dollar amounts may not add mathematically due to rounding 1Adjusted Gross Profit, Adjusted Gross Profit margin, Adjusted EBITDA and Adjusted EBITDA margin referred to in this presentation are non-GAAP measures. See slide 2 for further details. (in Millions) (in Millions) Three Months Ended June 30, 2026 Three Months Ended June 30, 2025 Merchant Solutions Payables Treasury Solutions Eliminations Total Merchant Solutions Payables Treasury Solutions Eliminations Total Adjusted EBITDA 30.9$ 3.1$ 47.5$ (22.1)$ 59.4$ 27.7$ 3.8$ 45.6$ (21.0)$ 56.0$ Adjusted EBITDA Margin 17.1% 16.8% 79.3% 23.8% 17.0% 15.1% 86.5% 23.4% Interest Expense (1.1) -- (0.3) (19.6) (21.1) -- (0.8) (0.2) (22.0) (23.1) Depreciation and Amortization (13.1) (1.3) (5.3) (1.2) (20.9) (6.6) (1.3) (4.9) (1.3) (14.1) Selling, General and Administrative (Non-Recurring) -- -- -- (1.5) (1.5) -- -- -- (0.4) (0.4) Non-Cash Stock Based Compensation -- (0.0) -- (2.2) (2.3) 0.0 (0.1) (0.0) (3.1) (3.2) Income (Loss) Before Taxes 16.6$ 1.8$ 42.0$ (46.8)$ 13.6$ 21.1$ 1.6$ 40.3$ (47.8)$ 15.3$ Income (Loss) Before Taxes % of Revenue 9.5% 5.9% 69.3% -- 5.2% 12.9% 6.5% 76.6%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prioritycommerce.com R: 0 G: 62 B: 41 R: 1 G: 39 B: 26 R: 254 G: 109 B: 18 R: 255 G: 255 B: 255 R: 231 G: 229 B: 170 R: 166 G: 166 B: 166 R: 117 G: 209 B: 208 R: 131 G: 201 B: 126 R: 37 G: 37 B: 37 17 The reconciliation of Adjusted Earnings Per Share is provided below: Appendix 3 – Adjusted Earnings Per Share Reconciliation 1 The tax impact calculated using the blended statutory income tax rate (i.e. 26.0% for three months ended June 30, 2026 and 2025) (in Millions) Three Months Ended June 30, 2026 2025 Reconciliation of Adjusted EPS Net income attributable to common shareholders 9.9$ 10.9$ Stock based compensation 2.3 3.2 Other non-recurring expenses 1.5 0.4 Amortization of acquisition related intangible assets 15.7 9.4 Tax impact of adjustments (1) (5.1) (3.2) Adjusted net income attributable to common share holders 24.3$ 20.7$ Weighted average common shares outstanding (basic) 81.5 78.8 Effect of dilutive potential common shares 2.2 1.1 Weighted average common shares outstanding (diluted) 83.7 79.9 Earnings (loss) per common share: Basic 0.12$ 0.14$ Diluted 0.12$ 0.14$ Adjusted earnings per common share: Basic 0.30$ 0.26$ Diluted 0.29$ 0.26$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7466</Words>
  <Characters>40151</Characters>
  <CharactersWithSpaces>47045</CharactersWithSpaces>
  <Paragraphs>1238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q22026_prthsupplementals</dc:title>
</cp:coreProperties>
</file>