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4"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4"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7"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41"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3" w:lineRule="exact"/>
        <w:rPr>
          <w:sz w:val="24"/>
          <w:szCs w:val="24"/>
          <w:color w:val="auto"/>
        </w:rPr>
      </w:pPr>
    </w:p>
    <w:p>
      <w:pPr>
        <w:ind w:left="4644"/>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351"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52"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81"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0" w:lineRule="exact"/>
        <w:rPr>
          <w:rFonts w:ascii="MS PGothic" w:cs="MS PGothic" w:eastAsia="MS PGothic" w:hAnsi="MS PGothic"/>
          <w:sz w:val="16"/>
          <w:szCs w:val="16"/>
          <w:color w:val="auto"/>
        </w:rPr>
      </w:pPr>
    </w:p>
    <w:p>
      <w:pPr>
        <w:ind w:left="4" w:right="4259" w:hanging="4"/>
        <w:spacing w:after="0" w:line="216" w:lineRule="exact"/>
        <w:tabs>
          <w:tab w:leader="none" w:pos="4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2241550</wp:posOffset>
            </wp:positionH>
            <wp:positionV relativeFrom="paragraph">
              <wp:posOffset>223520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40"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311"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86"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16"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38"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No fee required.</w:t>
      </w:r>
    </w:p>
    <w:p>
      <w:pPr>
        <w:spacing w:after="0" w:line="85"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8"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1068070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3"/>
          </w:cols>
          <w:pgMar w:left="416" w:top="10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1040765</wp:posOffset>
            </wp:positionV>
            <wp:extent cx="2545715"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PROXY STATEMENT AND NOTICE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2026 ANNUAL MEETING OF STOCKHOLDERS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Thursday, June 11, 2026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9:30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Priority Technology Holdings, Inc., a Delaware corporation, is a payments and banking fintech purpose-built to collect, store, lend and send money with a connected commerce engine that combines full-service merchant acquiring for accounts receivable, complete automated payables tools for bill payment, and sophisticated treasury management solutions to accelerate cash flow and optimize working capital for its customers. Its common stock is listed on the Nasdaq Capital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577215</wp:posOffset>
            </wp:positionV>
            <wp:extent cx="172275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20"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Board of Directors and officers of Priority Technology Holdings Inc. join me in extending to you a cordial invitation to attend our 2026 Annual Meeting of Stockholders. The Annual Meeting will be held on Thursday, June 11, 2026, at 9:30 a.m. Eastern Daylight Time.</w:t>
      </w:r>
    </w:p>
    <w:p>
      <w:pPr>
        <w:spacing w:after="0" w:line="203"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Stockholders will be able to attend, vote and submit questions (both before, and for a portion of, the meeting) from any location via the Internet at www.virtualshareholdermeeting.com/PRTH2026. If you plan to participate in the virtual meeting, please see “Proxy Statement Q&amp;A.”</w:t>
      </w:r>
    </w:p>
    <w:p>
      <w:pPr>
        <w:spacing w:after="0" w:line="18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four proposals set forth in the Notice of 2026 Annual Meeting of Stockholders and the Proxy Statement following this letter.</w:t>
      </w:r>
    </w:p>
    <w:p>
      <w:pPr>
        <w:spacing w:after="0" w:line="175"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0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you have any questions concerning the Annual Meeting and you are the stockholder of record of your shares of stock, please contact Meghna Mehra at PriorityIR@icrinc.com or (203) 682-8273. If your shares of stock are held by a broker or other nominee (that is, in ''street name''), please contact your broker or other nominee for questions concerning the annual meeting.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speaking with you on June 11th.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C. Priore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 Priore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732155</wp:posOffset>
            </wp:positionV>
            <wp:extent cx="172275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2026 ANNUAL MEETING OF STOCKHOLDERS</w:t>
      </w:r>
    </w:p>
    <w:p>
      <w:pPr>
        <w:spacing w:after="0" w:line="341"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Priority Technology Holdings, Inc. (the "Company") will be held at 9:30 a.m. EDT on Thursday, June 11, 2026. Our Annual Meeting can be accessed virtually via the Internet at: www.virtualshareholdermeeting.com/PRTH2026.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will be asked to vote on the following proposals:</w:t>
      </w:r>
    </w:p>
    <w:p>
      <w:pPr>
        <w:spacing w:after="0" w:line="32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(the "Board of Directors") and named in this Proxy Statement.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2 to Priority Technology Holdings, Inc. 2018 Equity Incentive Plan.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(as defined in this Proxy Statement).</w:t>
      </w:r>
    </w:p>
    <w:p>
      <w:pPr>
        <w:spacing w:after="0" w:line="76" w:lineRule="exact"/>
        <w:rPr>
          <w:rFonts w:ascii="Times New Roman" w:cs="Times New Roman" w:eastAsia="Times New Roman" w:hAnsi="Times New Roman"/>
          <w:sz w:val="18"/>
          <w:szCs w:val="18"/>
          <w:color w:val="auto"/>
        </w:rPr>
      </w:pPr>
    </w:p>
    <w:p>
      <w:pPr>
        <w:ind w:left="660" w:right="540" w:hanging="328"/>
        <w:spacing w:after="0" w:line="37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("KPMG") as the Company's Independent Registered Public Accounting Firm for the year ending December 31, 2026.</w:t>
      </w:r>
    </w:p>
    <w:p>
      <w:pPr>
        <w:spacing w:after="0" w:line="184"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directors (Proposal Number One);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Amendment 2 to Priority Technology Holdings, Inc. 2018 Equity Incentive Plan (Proposal Number Two);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(Proposal Number Three);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proposed Independent Registered Public Accounting Firm (Proposal Number Four).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may also transact any other business that may properly come before the Annual Meeting or any adjournments or postponements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Preliminary Take-Private Proposal</w:t>
      </w:r>
    </w:p>
    <w:p>
      <w:pPr>
        <w:spacing w:after="0" w:line="29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As previously disclosed, on November 9, 2025, the Company received a preliminary, non-binding proposal from an investor group led by the Company's Chairman and Chief Executive Officer, Thomas Priore, to acquire all of the outstanding shares of the Company's common stock not already held by such investor group for cash consideration in the range of $6.00 to $6.15 per share. The Board of Directors has formed a Special Committee of independent and disinterested directors to evaluate the proposal and any potential strategic alternatives. The Special Committee has retained Barclays as its financial advisor and Paul, Weiss, Rifkind, Wharton &amp; Garrison LLP as its independent legal counsel. As of the date of this Proxy Statement, no definitive agreement has been entered into with respect to the Proposed Take-Private Transaction. The Proposed Take-Private Transaction is not a matter being submitted for a vote at the Annual Meeting. For additional information, please see “</w:t>
      </w:r>
      <w:r>
        <w:rPr>
          <w:rFonts w:ascii="Times New Roman" w:cs="Times New Roman" w:eastAsia="Times New Roman" w:hAnsi="Times New Roman"/>
          <w:sz w:val="18"/>
          <w:szCs w:val="18"/>
          <w:i w:val="1"/>
          <w:iCs w:val="1"/>
          <w:color w:val="auto"/>
        </w:rPr>
        <w:t>Proxy Statement Q&amp;A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Corporate Governance — Special Committee</w:t>
      </w:r>
      <w:r>
        <w:rPr>
          <w:rFonts w:ascii="Times New Roman" w:cs="Times New Roman" w:eastAsia="Times New Roman" w:hAnsi="Times New Roman"/>
          <w:sz w:val="18"/>
          <w:szCs w:val="18"/>
          <w:color w:val="auto"/>
        </w:rPr>
        <w:t>” in the accompanying Proxy Statement.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Close of business on April 14,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40" w:lineRule="auto"/>
        <w:rPr>
          <w:sz w:val="20"/>
          <w:szCs w:val="20"/>
          <w:color w:val="auto"/>
        </w:rPr>
      </w:pPr>
      <w:r>
        <w:rPr>
          <w:rFonts w:ascii="Times New Roman" w:cs="Times New Roman" w:eastAsia="Times New Roman" w:hAnsi="Times New Roman"/>
          <w:sz w:val="18"/>
          <w:szCs w:val="18"/>
          <w:color w:val="auto"/>
        </w:rPr>
        <w:t>The solicitation of the enclosed proxy is made on behalf of the Board of Directors for use at the Annual Meeting to be held on Thursday, June 11, 2026. It is expected that this Proxy Statement and related materials will first be provided to stockholders on or about April 28, 2026. Only stockholders of record at the close of business on April 14, 2026,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2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Bradley J. Miller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J. Miller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Chief Risk Officer, and Corporate Secretary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our Annual Report are available via the Internet at </w:t>
      </w:r>
      <w:r>
        <w:rPr>
          <w:rFonts w:ascii="Times New Roman" w:cs="Times New Roman" w:eastAsia="Times New Roman" w:hAnsi="Times New Roman"/>
          <w:sz w:val="18"/>
          <w:szCs w:val="18"/>
          <w:b w:val="1"/>
          <w:bCs w:val="1"/>
          <w:color w:val="auto"/>
        </w:rPr>
        <w:t>http://materials.proxyvote.com/74275G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General Information about the Proxy Materials and the Annual Meeting</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02"/>
        </w:trPr>
        <w:tc>
          <w:tcPr>
            <w:tcW w:w="96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Officers and Board of Directors</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Independent Registered Public Accounting Firm</w:t>
            </w:r>
          </w:p>
        </w:tc>
        <w:tc>
          <w:tcPr>
            <w:tcW w:w="1360" w:type="dxa"/>
            <w:vAlign w:val="bottom"/>
            <w:vMerge w:val="restart"/>
          </w:tcPr>
          <w:p>
            <w:pPr>
              <w:spacing w:after="0"/>
              <w:rPr>
                <w:sz w:val="18"/>
                <w:szCs w:val="18"/>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6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of Executive Officers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Equity Awards at 2025 Year End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Directors, and Executive Officers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One - Election of Directors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Two - Approval of Amendment 2 to Equity Incentive Plan</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Three - Approval of Named Executive Officer Compensation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68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Four - Ratification of Independent Registered Public Accounting Firm</w:t>
            </w:r>
          </w:p>
        </w:tc>
        <w:tc>
          <w:tcPr>
            <w:tcW w:w="1360" w:type="dxa"/>
            <w:vAlign w:val="bottom"/>
            <w:tcBorders>
              <w:bottom w:val="single" w:sz="8" w:color="CCEEFF"/>
            </w:tcBorders>
            <w:vMerge w:val="restart"/>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68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8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4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75"/>
        </w:trPr>
        <w:tc>
          <w:tcPr>
            <w:tcW w:w="1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342900</wp:posOffset>
            </wp:positionV>
            <wp:extent cx="17227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PROXY MATERIALS AND THE ANNUAL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36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Board of Directors (the "Board" or "Board of Directors") of Priority Technology Holdings, Inc. ("we," "us," "our," "Priority," "PRTH," or the "Company") is soliciting proxies for our 2026 Annual Meeting of Stockholders on June 11, 2026 (the "Annual Meeting"). This Proxy Statement and accompanying proxy card are being mailed on or about April 28, 2026 to stockholders of record as of April 14, 2026, the record date (the "Record Date") for the Annual Meeting.</w:t>
      </w:r>
    </w:p>
    <w:p>
      <w:pPr>
        <w:spacing w:after="0" w:line="209"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for the Company's stockholders to vote on the following proposals:</w:t>
      </w:r>
    </w:p>
    <w:p>
      <w:pPr>
        <w:spacing w:after="0" w:line="347"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and named in the Proxy Statement;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2 to the Priority Technology Holdings, Inc. 2018 Equity Incentive Plan</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("NEOs"); and</w:t>
      </w:r>
    </w:p>
    <w:p>
      <w:pPr>
        <w:spacing w:after="0" w:line="103" w:lineRule="exact"/>
        <w:rPr>
          <w:rFonts w:ascii="Times New Roman" w:cs="Times New Roman" w:eastAsia="Times New Roman" w:hAnsi="Times New Roman"/>
          <w:sz w:val="18"/>
          <w:szCs w:val="18"/>
          <w:color w:val="auto"/>
        </w:rPr>
      </w:pPr>
    </w:p>
    <w:p>
      <w:pPr>
        <w:ind w:left="1300" w:right="740" w:hanging="320"/>
        <w:spacing w:after="0" w:line="39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year ending December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asking for my vote and approximately how much will these solicitation activities cost?</w:t>
      </w:r>
    </w:p>
    <w:p>
      <w:pPr>
        <w:spacing w:after="0" w:line="351"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87,277,566 shares of common stock issued and 82,357,422 outstanding.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the Record Date may attend and vote virtually at the Annual Meeting by logging in at www.virtualshareholdermeeting.com/PRTH2026.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submitted to stockholders at the Annual Meeting.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ask questions at the Virtual Annual Meeting?</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our record date who attend and participate in our virtual Annual Meeting at www.virtualshareholdermeeting.com/PRTH2026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of common stock as a stockholder of record and as a beneficial owner "in street name"?</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the Company's transfer agent, Equiniti Trust Company, LLC, you are considered the stockholder of record for these shares of stock. As the stockholder of record, you have the right to grant your voting proxy directly to the persons listed on your proxy card or vote in person at the Annual Meeting.</w:t>
      </w:r>
    </w:p>
    <w:p>
      <w:pPr>
        <w:spacing w:after="0" w:line="20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351"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Four (ratification of auditor appointment). Therefore, your broker will not have discretion to vote on any other proposal unless you</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instruct your broker how to vote your shares of stock by returning your completed and signed voting instruction card.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1"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election of the director nominees ("Proposal Number One"), stockholders may:</w:t>
      </w:r>
    </w:p>
    <w:p>
      <w:pPr>
        <w:spacing w:after="0" w:line="21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any of the nominees;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any of the nominees;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any of the nominees.</w:t>
      </w:r>
    </w:p>
    <w:p>
      <w:pPr>
        <w:spacing w:after="0" w:line="34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18" w:lineRule="exact"/>
        <w:rPr>
          <w:sz w:val="20"/>
          <w:szCs w:val="20"/>
          <w:color w:val="auto"/>
        </w:rPr>
      </w:pPr>
    </w:p>
    <w:p>
      <w:pPr>
        <w:jc w:val="both"/>
        <w:ind w:right="20"/>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amendment two to the Priority Technology Holdings, Inc. 2018 Equity Incentive Plan (the “Purchase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an amendment to the Purchase Plan ("Proposal Number Two"), stockholders may:</w:t>
      </w:r>
    </w:p>
    <w:p>
      <w:pPr>
        <w:spacing w:after="0" w:line="333"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amendment;</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amendment;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amendment.</w:t>
      </w:r>
    </w:p>
    <w:p>
      <w:pPr>
        <w:spacing w:after="0" w:line="347" w:lineRule="exact"/>
        <w:rPr>
          <w:sz w:val="20"/>
          <w:szCs w:val="20"/>
          <w:color w:val="auto"/>
        </w:rPr>
      </w:pPr>
    </w:p>
    <w:p>
      <w:pPr>
        <w:ind w:right="20"/>
        <w:spacing w:after="0" w:line="391" w:lineRule="auto"/>
        <w:rPr>
          <w:sz w:val="20"/>
          <w:szCs w:val="20"/>
          <w:color w:val="auto"/>
        </w:rPr>
      </w:pPr>
      <w:r>
        <w:rPr>
          <w:rFonts w:ascii="Times New Roman" w:cs="Times New Roman" w:eastAsia="Times New Roman" w:hAnsi="Times New Roman"/>
          <w:sz w:val="18"/>
          <w:szCs w:val="18"/>
          <w:color w:val="auto"/>
        </w:rPr>
        <w:t>The amendment to the Purchase Plan will increase the aggregate number of shares of common stock of the Company authorized for issuance under the Purchase Plan by 8,000,000.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Three"), stockholders may:</w:t>
      </w:r>
    </w:p>
    <w:p>
      <w:pPr>
        <w:spacing w:after="0" w:line="347"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360"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w:t>
      </w:r>
    </w:p>
    <w:p>
      <w:pPr>
        <w:spacing w:after="0" w:line="186" w:lineRule="exact"/>
        <w:rPr>
          <w:sz w:val="20"/>
          <w:szCs w:val="20"/>
          <w:color w:val="auto"/>
        </w:rPr>
      </w:pPr>
    </w:p>
    <w:p>
      <w:pPr>
        <w:ind w:right="60"/>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ratification of the appointment of KPMG as the Company's independent registered public accounting firm for the year ending December 31, 2026, and what vote is needed to approve this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ratification of KPMG ("Proposal Number Four"), stockholders may:</w:t>
      </w:r>
    </w:p>
    <w:p>
      <w:pPr>
        <w:spacing w:after="0" w:line="360"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ratify KPMG's appointment;</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ratifying KPMG's appointment;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ratifying KPMG's appointment.</w:t>
      </w:r>
    </w:p>
    <w:p>
      <w:pPr>
        <w:spacing w:after="0" w:line="347" w:lineRule="exact"/>
        <w:rPr>
          <w:sz w:val="20"/>
          <w:szCs w:val="20"/>
          <w:color w:val="auto"/>
        </w:rPr>
      </w:pPr>
    </w:p>
    <w:p>
      <w:pPr>
        <w:ind w:right="40"/>
        <w:spacing w:after="0" w:line="375" w:lineRule="auto"/>
        <w:rPr>
          <w:sz w:val="20"/>
          <w:szCs w:val="20"/>
          <w:color w:val="auto"/>
        </w:rPr>
      </w:pPr>
      <w:r>
        <w:rPr>
          <w:rFonts w:ascii="Times New Roman" w:cs="Times New Roman" w:eastAsia="Times New Roman" w:hAnsi="Times New Roman"/>
          <w:sz w:val="18"/>
          <w:szCs w:val="18"/>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343"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six nominated directors (Proposal Number One);</w:t>
      </w:r>
    </w:p>
    <w:p>
      <w:pPr>
        <w:spacing w:after="0" w:line="103" w:lineRule="exact"/>
        <w:rPr>
          <w:rFonts w:ascii="Times New Roman" w:cs="Times New Roman" w:eastAsia="Times New Roman" w:hAnsi="Times New Roman"/>
          <w:sz w:val="18"/>
          <w:szCs w:val="18"/>
          <w:color w:val="auto"/>
        </w:rPr>
      </w:pPr>
    </w:p>
    <w:p>
      <w:pPr>
        <w:ind w:left="1300" w:right="440" w:hanging="320"/>
        <w:spacing w:after="0" w:line="367"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Amendment 2 to the Priority Technology Holdings, Inc. 2021 Employee Stock Purchase Agreement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Two);</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basis, the compensation of our Named Executive Officers (Proposal Number Three);</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(Proposal Number 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four ways.</w:t>
      </w:r>
    </w:p>
    <w:p>
      <w:pPr>
        <w:spacing w:after="0" w:line="347" w:lineRule="exact"/>
        <w:rPr>
          <w:sz w:val="20"/>
          <w:szCs w:val="20"/>
          <w:color w:val="auto"/>
        </w:rPr>
      </w:pPr>
    </w:p>
    <w:p>
      <w:pPr>
        <w:ind w:left="660" w:right="340" w:hanging="328"/>
        <w:spacing w:after="0" w:line="3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vote over the Internet by completing the voting instructions form found at www.proxyvote.com. You will need your proxy card when voting over the Internet.</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vote by touch-tone telephone by calling 1-800-690-6903.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vote by mail by signing, dating, and mailing your proxy card in the enclosed envelope.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you may vote in person at the virtual Annual Meeting.</w:t>
      </w:r>
    </w:p>
    <w:p>
      <w:pPr>
        <w:spacing w:after="0" w:line="34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35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2026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351" w:lineRule="exact"/>
        <w:rPr>
          <w:sz w:val="20"/>
          <w:szCs w:val="20"/>
          <w:color w:val="auto"/>
        </w:rPr>
      </w:pPr>
    </w:p>
    <w:p>
      <w:pPr>
        <w:ind w:right="140"/>
        <w:spacing w:after="0" w:line="391" w:lineRule="auto"/>
        <w:rPr>
          <w:sz w:val="20"/>
          <w:szCs w:val="20"/>
          <w:color w:val="auto"/>
        </w:rPr>
      </w:pPr>
      <w:r>
        <w:rPr>
          <w:rFonts w:ascii="Times New Roman" w:cs="Times New Roman" w:eastAsia="Times New Roman" w:hAnsi="Times New Roman"/>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351"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Bradley Miller, our General Counsel, Chief Risk Officer, and Corporate Secretary, will count the votes and act as the inspector of election for the Annual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351"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 of the Annual Meeting materials?</w:t>
      </w:r>
    </w:p>
    <w:p>
      <w:pPr>
        <w:spacing w:after="0" w:line="351"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2026 Notice of Annual Meeting or by calling us at (404) 952-2107.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the Company's Annual Report?</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copy of our 2025 Annual Report on Form 10-K (the "Annual Report") is available at www.prioritycommerce.com. Stockholders may also obtain a free copy of our Annual Report by sending a request in writing to Bradley Miller at the Company's address set forth in the 2026 Notice of Annual Meeting or by calling us at (404) 952-2107.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preliminary Take-Private proposal?</w:t>
      </w:r>
    </w:p>
    <w:p>
      <w:pPr>
        <w:spacing w:after="0" w:line="31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On November 9, 2025, the Company received a preliminary, non-binding proposal from an investor group led by Thomas Priore, the Company's Chairman and Chief Executive Officer (together with his affiliated entities, the "Proposing Shareholders"), to acquire all of the outstanding shares of the Company's common stock that the Proposing Shareholders do not already own for cash consideration in the range of $6.00 to $6.15 per share (the “Proposed Take-Private Transaction”). As of the date of this Proxy Statement, the proposal remains preliminary and non-binding, and no definitive agreement has been entered into with respect to the Proposed Take-Private Transaction. There can be no assurance that any definitive offer will be made or accepted, that any agreement will be executed, or that any transaction will be consummated. For additional information regarding the Special Committee's evaluation of the proposal, see “</w:t>
      </w:r>
      <w:r>
        <w:rPr>
          <w:rFonts w:ascii="Times New Roman" w:cs="Times New Roman" w:eastAsia="Times New Roman" w:hAnsi="Times New Roman"/>
          <w:sz w:val="18"/>
          <w:szCs w:val="18"/>
          <w:i w:val="1"/>
          <w:iCs w:val="1"/>
          <w:color w:val="auto"/>
        </w:rPr>
        <w:t>Corporate Governance — Special Committee</w:t>
      </w:r>
      <w:r>
        <w:rPr>
          <w:rFonts w:ascii="Times New Roman" w:cs="Times New Roman" w:eastAsia="Times New Roman" w:hAnsi="Times New Roman"/>
          <w:sz w:val="18"/>
          <w:szCs w:val="18"/>
          <w:color w:val="auto"/>
        </w:rPr>
        <w:t>.” Stockholders may also review the Company's Current Reports on Form 8-K filed on November 10, 2025 and November 12, 2025, and its Annual Report on Form 10-K for the fiscal year ended December 31, 2025, available at www.sec.gov.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the Take-Private proposal being voted on at the Annual Meeting?</w:t>
      </w:r>
    </w:p>
    <w:p>
      <w:pPr>
        <w:spacing w:after="0" w:line="297"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No. The Proposed Take-Private Transaction is not a proposal being submitted for a vote at this Annual Meeting. If a definitive agreement is entered into with respect to the Proposed Take-Private Transaction, stockholder approval would be solicited pursuant to a separate proxy statement at that time. The matters being submitted for your vote at this Annual Meeting are described under “</w:t>
      </w:r>
      <w:r>
        <w:rPr>
          <w:rFonts w:ascii="Times New Roman" w:cs="Times New Roman" w:eastAsia="Times New Roman" w:hAnsi="Times New Roman"/>
          <w:sz w:val="18"/>
          <w:szCs w:val="18"/>
          <w:i w:val="1"/>
          <w:iCs w:val="1"/>
          <w:color w:val="auto"/>
        </w:rPr>
        <w:t>What am I voting on</w:t>
      </w:r>
      <w:r>
        <w:rPr>
          <w:rFonts w:ascii="Times New Roman" w:cs="Times New Roman" w:eastAsia="Times New Roman" w:hAnsi="Times New Roman"/>
          <w:sz w:val="18"/>
          <w:szCs w:val="18"/>
          <w:color w:val="auto"/>
        </w:rPr>
        <w:t>?”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Does Mr. Priore have a conflict of interest with respect to the proposals at the Annual Meeting?</w:t>
      </w:r>
    </w:p>
    <w:p>
      <w:pPr>
        <w:spacing w:after="0" w:line="297"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Mr. Priore is the Company's Chairman and Chief Executive Officer, a nominee for director at this Annual Meeting, and the leader of the investor group that submitted the proposal. As a result, Mr. Priore has interests in the proposals at this Annual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Meeting, including the election of directors and the equity plan amendment, that may differ from, or be in addition to, the interests of the Company's other stockholders. Stockholders should consider these interests when evaluating the proposals at this Annual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351"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If you have any questions about the Annual Meeting or how to submit or revoke your proxy, or to request an invitation to the Annual Meeting, contact Bradley Miller at the Company's address set forth in the 2026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O’Leary</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53</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Kiewiet</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53</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Miller</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Counsel, Chief Risk Officer, and Corporate Secretary</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Ram</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43</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66</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58</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47</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59</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20"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b w:val="1"/>
          <w:bCs w:val="1"/>
          <w:color w:val="auto"/>
        </w:rPr>
        <w:t xml:space="preserve">Thomas Priore </w:t>
      </w:r>
      <w:r>
        <w:rPr>
          <w:rFonts w:ascii="Times New Roman" w:cs="Times New Roman" w:eastAsia="Times New Roman" w:hAnsi="Times New Roman"/>
          <w:sz w:val="18"/>
          <w:szCs w:val="18"/>
          <w:color w:val="auto"/>
        </w:rPr>
        <w:t>has served as Chairman and Chief Executive Officer since December 2018 and as Executive Chairman and founding member of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2005 through November 2018. Under Mr. Priore's strategic direction, Priority has grown from a founder-financed technology startup to become the 5th largest non-bank merchant acquirer (after considering the merger of Global Payments and Worldpay) in the U.S. by volume, according to the Nilson Report issued in March 2025. Priority is a solutions provider in Payments and BaaS industry, operating at scale with 1.2 million customer accounts across its SMB, B2B and Enterprise customers channels. Priority processes $130 billion in annual transaction activity while administering approximately $1.2 billion in account balances.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w:t>
      </w:r>
    </w:p>
    <w:p>
      <w:pPr>
        <w:spacing w:after="0" w:line="183"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222222"/>
        </w:rPr>
        <w:t xml:space="preserve">Tim O’Leary </w:t>
      </w:r>
      <w:r>
        <w:rPr>
          <w:rFonts w:ascii="Times New Roman" w:cs="Times New Roman" w:eastAsia="Times New Roman" w:hAnsi="Times New Roman"/>
          <w:sz w:val="18"/>
          <w:szCs w:val="18"/>
          <w:color w:val="222222"/>
        </w:rPr>
        <w:t>has served as Chief Financial Officer of Priority since September 2022. Mr. O’Leary has over 20 years of capital markets and banking</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spacing w:after="0" w:line="174"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17"/>
          <w:szCs w:val="17"/>
          <w:b w:val="1"/>
          <w:bCs w:val="1"/>
          <w:color w:val="auto"/>
        </w:rPr>
        <w:t xml:space="preserve">Sean Kiewiet </w:t>
      </w:r>
      <w:r>
        <w:rPr>
          <w:rFonts w:ascii="Times New Roman" w:cs="Times New Roman" w:eastAsia="Times New Roman" w:hAnsi="Times New Roman"/>
          <w:sz w:val="17"/>
          <w:szCs w:val="17"/>
          <w:color w:val="auto"/>
        </w:rPr>
        <w:t>has served as Chief Strategy Officer since 2022 and co-founded Priority after serving as the Director of Technology for Cornerstone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Mr. Kiewiet served as Chief Technology 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Bradley Miller </w:t>
      </w:r>
      <w:r>
        <w:rPr>
          <w:rFonts w:ascii="Times New Roman" w:cs="Times New Roman" w:eastAsia="Times New Roman" w:hAnsi="Times New Roman"/>
          <w:sz w:val="18"/>
          <w:szCs w:val="18"/>
          <w:color w:val="222222"/>
        </w:rPr>
        <w:t>has served as Priority’s General Counsel and Chief Risk Officer since February 2020. Mr. Miller has over 25 years of legal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industry experience having served as EVP, General Counsel, and Chief Risk Officer of United Community Banks, Inc. for over 12 years, responsible for the oversight of all legal, compliance, and enterprise risk functions. Prior to that, Mr. Miller began his career with Kilpatrick Stockton LLP (now Kilpatrick Townsend LLP) focusing his practice on consumer and commercial litigation, privacy, and regulatory matters. Mr. Miller is responsible for all facets of Priority’s legal, risk, and compliance functions.</w:t>
      </w:r>
    </w:p>
    <w:p>
      <w:pPr>
        <w:spacing w:after="0" w:line="191"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b w:val="1"/>
          <w:bCs w:val="1"/>
          <w:color w:val="222222"/>
        </w:rPr>
        <w:t xml:space="preserve">Ranjana Ram </w:t>
      </w:r>
      <w:r>
        <w:rPr>
          <w:rFonts w:ascii="Times New Roman" w:cs="Times New Roman" w:eastAsia="Times New Roman" w:hAnsi="Times New Roman"/>
          <w:sz w:val="18"/>
          <w:szCs w:val="18"/>
          <w:color w:val="222222"/>
        </w:rPr>
        <w:t>serves as Chief Operating Officer at Priority. Ms. Ram is a CFA charterholder and has been focused on executing on strategic growth and</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33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Marc Crisafulli </w:t>
      </w:r>
      <w:r>
        <w:rPr>
          <w:rFonts w:ascii="Times New Roman" w:cs="Times New Roman" w:eastAsia="Times New Roman" w:hAnsi="Times New Roman"/>
          <w:sz w:val="18"/>
          <w:szCs w:val="18"/>
          <w:color w:val="auto"/>
        </w:rPr>
        <w:t>is an experienced executive and has over 30 years in legal, compliance and regulatory governance roles with various companies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a director of Priority in 2022. Mr. Crisafulli is currently Counsel at Nixon Peabody and serves as chair of Bally Corporation's Rhode Island Board, director for Pavillion Payments and chair of Rhode Island's I-195 Redevelopment District Commission. Prior to that, Mr. Crisafulli served as Executive Vice President, Government Relations, Legal and Regulatory at Bally’s Corporation. Mr. Crisafulli has also held senior leadership roles with Brightstar Corporation and Suffolk Construction Company and was managing partner at Hinkley Allen &amp; Snyder.</w:t>
      </w:r>
    </w:p>
    <w:p>
      <w:pPr>
        <w:spacing w:after="0" w:line="177"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Marietta Davis </w:t>
      </w:r>
      <w:r>
        <w:rPr>
          <w:rFonts w:ascii="Times New Roman" w:cs="Times New Roman" w:eastAsia="Times New Roman" w:hAnsi="Times New Roman"/>
          <w:sz w:val="18"/>
          <w:szCs w:val="18"/>
          <w:color w:val="auto"/>
        </w:rPr>
        <w:t>has served as a director of Priority since January 2021. Ms. Davis worked for IBM where she was the worldwide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for the Accenture relationship where she led a global team focusing on growing IBM’s Cloud and Cognitive Application portfolio. Prior to joining IBM, Ms. Davis spent 17 years at Microsoft Corporation in a variety of leadership roles. Ms. Davis also serves in an advisory board role for The Posse Foundation, a non-profit organization that identifies, trains and mentors young, diverse leaders as they navigate college and enter the workforce.</w:t>
      </w:r>
    </w:p>
    <w:p>
      <w:pPr>
        <w:spacing w:after="0" w:line="171"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Christina Favilla </w:t>
      </w:r>
      <w:r>
        <w:rPr>
          <w:rFonts w:ascii="Times New Roman" w:cs="Times New Roman" w:eastAsia="Times New Roman" w:hAnsi="Times New Roman"/>
          <w:sz w:val="18"/>
          <w:szCs w:val="18"/>
          <w:color w:val="auto"/>
        </w:rPr>
        <w:t>has served as a director of Priority since October 2019. She previously served as Chief Operating Officer of Sterling National Bank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until December 2018 and as Chief Operating Officer of GE Capital’s lending and leasing business from February 2012 until June 2017. Prior to 2012, she served as President of Discover Bank for six years. She currently serves as a board member of a privately held fintech company and Opportunity Financial (NYSE: OPFI), a specialty consumer finance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178"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Clayton Main </w:t>
      </w:r>
      <w:r>
        <w:rPr>
          <w:rFonts w:ascii="Times New Roman" w:cs="Times New Roman" w:eastAsia="Times New Roman" w:hAnsi="Times New Roman"/>
          <w:sz w:val="18"/>
          <w:szCs w:val="18"/>
          <w:color w:val="auto"/>
        </w:rPr>
        <w:t>is a seasoned financial executive with over two decades of experience in investment management, structured finance, and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Partner and Investment Committee member at Bregal Sagemount, he helps oversee $7.5 billion in capital across multiple fund strategies, with a focus on senior debt, junior debt, and structured equity investments in the software, financial technology, and business services sectors. Before joining Bregal Sagemount, Clayton spent 12 years at Goldman, Sachs &amp; Co., where he was a founding member of the Goldman Sachs Specialty Lending Group. In this role, he led business development efforts in the Southwest U.S. and was responsible for originating, structuring, and managing leveraged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transactions across various industries. Clayton holds a BBA from Southern Methodist University, where he graduated Magna Cum Laude with Honors in Business.</w:t>
      </w:r>
    </w:p>
    <w:p>
      <w:pPr>
        <w:spacing w:after="0" w:line="186"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Michael Passilla </w:t>
      </w:r>
      <w:r>
        <w:rPr>
          <w:rFonts w:ascii="Times New Roman" w:cs="Times New Roman" w:eastAsia="Times New Roman" w:hAnsi="Times New Roman"/>
          <w:sz w:val="18"/>
          <w:szCs w:val="18"/>
          <w:color w:val="auto"/>
        </w:rPr>
        <w:t>has served as a director of Priority since June 2019. Mr. Passilla served as Vice Chairman for JP Morgan Chase &amp; Company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and an MBA from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32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Policies and Procedures</w:t>
      </w:r>
    </w:p>
    <w:p>
      <w:pPr>
        <w:spacing w:after="0" w:line="29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Company maintains an Insider Trading Policy Statement that governs the purchase, sale, and/or other dispositions of its securities by directors, officers and employees. The Corporation believes that the Insider Trading Policy Statement is reasonably designed to promote compliance with insider trading laws, rules and regulations, and Nasdaq listing standards. The Insider Trading Policy Statement is available as an exhibit to the Company's Form 10-K for the year ended December 31, 2025, filed with the SEC</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91"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Committee</w:t>
      </w:r>
    </w:p>
    <w:p>
      <w:pPr>
        <w:spacing w:after="0" w:line="35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On November 12, 2025, in response to the receipt of the preliminary, non-binding proposal dated November 9, 2025 from Thomas Priore, the Company's Chairman and Chief Executive Officer, to acquire all of the outstanding shares of the Company's common stock not already owned by the Proposing Shareholders for cash consideration in the range of $6.00 to $6.15 per share, the Board formed a special committee (the “Special Committee”) comprised solely of independent and disinterested directors. The Special Committee is authorized, among other things, to evaluate the proposal and potential strategic alternatives. The members of the Special Committee are Mike Passilla, Clayton Main, and Chris Favilla. Mr. Priore is not a member of the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and has not participated, and will not participate, in the Special Committee's deliberations or its evaluation of the proposal.</w:t>
      </w:r>
    </w:p>
    <w:p>
      <w:pPr>
        <w:spacing w:after="0" w:line="34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On December 8, 2025, the Company announced that the Special Committee retained Barclays to act as its financial advisor and Paul, Weiss, Rifkind, Wharton &amp; Garrison LLP to act as its independent legal counsel. As of the date of this Proxy Statement, the Special Committee has not set a definitive timetable for completion of its evaluation of the proposal or any alternative. There can be no assurance that any definitive offer will be made or accepted, that any agreement will be executed, or that any transaction will be consummated. A copy of the proposal letter from Mr. Priore is available as an exhibit to the Company's Current Report on Form 8-K filed with the Securities and Exchange Commission on November 10, 2025.</w:t>
      </w:r>
    </w:p>
    <w:p>
      <w:pPr>
        <w:spacing w:after="0" w:line="209"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Special Committee provides reports and recommendations to the Board at such times as the Special Committee deems appropriate, and the Board has resolved that it will not approve any action related to the Proposed Take-Private Transaction that is required to be taken by the full Board unless the Special Committee has previously recommended such approval. The Company does not intend to comment further or disclose developments regarding the proposal unless and until further disclosure is appropriate or required.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Main, and Passilla, are independent directors. Our independent directors have regularly scheduled meetings at which only independent directors are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324" w:lineRule="exact"/>
        <w:rPr>
          <w:sz w:val="20"/>
          <w:szCs w:val="20"/>
          <w:color w:val="auto"/>
        </w:rPr>
      </w:pPr>
    </w:p>
    <w:p>
      <w:pPr>
        <w:jc w:val="both"/>
        <w:ind w:right="20"/>
        <w:spacing w:after="0" w:line="375" w:lineRule="auto"/>
        <w:rPr>
          <w:sz w:val="20"/>
          <w:szCs w:val="20"/>
          <w:color w:val="auto"/>
        </w:rPr>
      </w:pPr>
      <w:r>
        <w:rPr>
          <w:rFonts w:ascii="Times New Roman" w:cs="Times New Roman" w:eastAsia="Times New Roman" w:hAnsi="Times New Roman"/>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19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319"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 of stockholders.</w:t>
      </w:r>
    </w:p>
    <w:p>
      <w:pPr>
        <w:spacing w:after="0" w:line="320"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2026 Notice of Annual Meeting. The Nominating and Governance Committee does not distinguish among nominees recommended by stockholders and other persons.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Interested Party Communications</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w:t>
      </w:r>
    </w:p>
    <w:p>
      <w:pPr>
        <w:spacing w:after="0" w:line="337"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Our Board met ten times during 2025. Also during 2025, the Audit Committee met four times, the Nominating and Governance Committee met once, and the Compensation Committee met three times. All of our then directors attended all of the Board meetings during 2025 and all of our then members of the Audit Committee, the Nominating and Governance Committee, and the Compensation Committee attended all of the respective committee meetings during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Attendance at Annual Meetings of Stockholders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sessions of non-management directors are held regularly throughout the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identifies the committee members and committee chairperson (as indicated by a "C") as of the date of this Proxy Statement: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243"/>
        </w:trPr>
        <w:tc>
          <w:tcPr>
            <w:tcW w:w="5000" w:type="dxa"/>
            <w:vAlign w:val="bottom"/>
            <w:gridSpan w:val="2"/>
            <w:vMerge w:val="continue"/>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Favilla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Passilla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right="9600" w:firstLine="8"/>
        <w:spacing w:after="0" w:line="610"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 director </w:t>
      </w:r>
      <w:r>
        <w:rPr>
          <w:rFonts w:ascii="Times New Roman" w:cs="Times New Roman" w:eastAsia="Times New Roman" w:hAnsi="Times New Roman"/>
          <w:sz w:val="18"/>
          <w:szCs w:val="18"/>
          <w:u w:val="single" w:color="auto"/>
          <w:color w:val="auto"/>
        </w:rPr>
        <w:t>Audit Committee</w:t>
      </w:r>
    </w:p>
    <w:p>
      <w:pPr>
        <w:spacing w:after="0" w:line="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Board has established an Audit Committee comprised of independent directors. The Audit Committee consists of Michael Passilla, Marc Crisafulli, Marietta Davis, Christina Favilla, and Clayton Main,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spacing w:after="0" w:line="209"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Passilla serves as the financial expert on the Audit Committee.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320"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Board has established a Compensation Committee consisting of Marc Crisafulli, Marietta Davis, Christina Favilla, Clayton Main and Michael Passilla, with Mr. Crisafulli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Nominating and Governance Committee</w:t>
      </w:r>
    </w:p>
    <w:p>
      <w:pPr>
        <w:spacing w:after="0" w:line="32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Board has established a Nominating and Governance Committee comprised of Christina Favilla, Marc Crisafulli, Marietta Davis, Clayton Main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spacing w:after="0" w:line="205"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1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09"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its Annual Report on Form 10-K for the year ended December 31, 2025, filed with the SEC.</w:t>
      </w:r>
    </w:p>
    <w:p>
      <w:pPr>
        <w:spacing w:after="0" w:line="190"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Priority Technology Holdings, Inc.'s Independent Registered Public Accounting Firm for the years ended December 31, 2025, 2024, 2023, 2022, and 2021 was Ernst &amp; Young LLP. The Audit Committee of the Board has appointed KPMG LLP as its Independent Registered Public Accounting Firm for the year ended December 31,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Crisafulli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Clayton 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00" w:lineRule="exact"/>
        <w:rPr>
          <w:sz w:val="20"/>
          <w:szCs w:val="20"/>
          <w:color w:val="auto"/>
        </w:rPr>
      </w:pPr>
    </w:p>
    <w:p>
      <w:pPr>
        <w:spacing w:after="0" w:line="326"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On March 11, 2026, the Audit Committee of the Board of Directors approved the dismissal of Ernst &amp; Young LLP as Company’s independent registered public accounting firm.</w:t>
      </w:r>
    </w:p>
    <w:p>
      <w:pPr>
        <w:spacing w:after="0" w:line="190"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Other than as described below, the reports of EY on the consolidated financial statements of the Company and its subsidiaries as of and for the fiscal years ended December 31, 2025, and 2024 did not contain an adverse opinion or a disclaimer of opinion and were not qualified or modified as to uncertainty, audit scope, or accounting principles.</w:t>
      </w:r>
    </w:p>
    <w:p>
      <w:pPr>
        <w:spacing w:after="0" w:line="197" w:lineRule="exact"/>
        <w:rPr>
          <w:sz w:val="20"/>
          <w:szCs w:val="20"/>
          <w:color w:val="auto"/>
        </w:rPr>
      </w:pPr>
    </w:p>
    <w:p>
      <w:pPr>
        <w:jc w:val="both"/>
        <w:spacing w:after="0" w:line="307" w:lineRule="exact"/>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March 11, 2026, there were no: (1) disagreements (within the meaning of Item 304(a)(1)(iv) of Regulation S-K) between the Company and EY on any matter of accounting principles or practices, financial statement disclosure, or auditing scope or procedures, any of which, if not resolved to EY’s satisfaction, would have caused EY to make reference thereto in their reports, or (2) “reportable events” (as defined in Item 304(a)(1)(v) of Regulation S-K), except for the material weaknesses in the Company’s internal control over financial reporting related to the design and operation of certain automated controls (including related information technology general controls) for certain tools or applications involved in the transformation and ingestion of third-party processors’ data in the Company’s control environment, as reported in Part II, Item 9A, “Controls and Procedures,” in the Company’s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filed with the Securities and Exchange Commission (the “SEC”) on March 6, 2025, and in Part I, Item 4, “Controls and Procedures,” in the Company’s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quarters ended March 31, 2025, June 30, 2025, and September 30, 2025, filed with the SEC on May 6, 2025, August 7, 2025, and November 6, 2025, respectively. The material weakness was subsequently remediated as reported in the Company’s Annual Report on Form 10-K for the fiscal year ended on December 31, 2025, filed with SEC on March 10, 2026. This reportable event was discussed among the Audit Committee and EY. EY has been authorized by the Company to respond fully to the inquiries of KPMG, the successor independent registered public accounting firm, concerning this reportable event.</w:t>
      </w:r>
    </w:p>
    <w:p>
      <w:pPr>
        <w:spacing w:after="0" w:line="326"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The Company provided EY with a copy of the foregoing disclosures and requested that EY furnish a letter addressed to the Securities and Exchange Commission stating whether it agrees with the statements made herein. A copy of such letter from EY is attached as Exhibit 16.1 on the Form 8-K filed by the Company on March 11,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2026, KPMG LLP was engaged by the Audit Committee as the Company’s independent registered public accounting firm.</w:t>
      </w:r>
    </w:p>
    <w:p>
      <w:pPr>
        <w:spacing w:after="0" w:line="347"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March 11, 2026, neither the Company nor anyone on its behalf consulted with KPMG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had late Form 4s: Brad Miller (1), Timothy O'Leary (1), Marietta Davis (1), Marc Crisafulli (1), Clayton Main (1), Christina Favilla (1), and Michael Passilla (1). All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("NEOs").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NEOs for Priority's year ended December 31, 2025 were:</w:t>
      </w:r>
    </w:p>
    <w:p>
      <w:pPr>
        <w:spacing w:after="0" w:line="32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Priore, its Chairman and Chief Executive Officer;</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O’Leary, its Chief Financial Officer</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Miller, its General Counsel and Chief Risk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Compensation Table, ("SCT") presents summary information regarding the total compensation for Priority's years 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for the Named Executive Officers: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40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6"/>
                <w:szCs w:val="6"/>
                <w:color w:val="auto"/>
              </w:rPr>
            </w:pPr>
          </w:p>
        </w:tc>
        <w:tc>
          <w:tcPr>
            <w:tcW w:w="9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180" w:type="dxa"/>
            <w:vAlign w:val="bottom"/>
          </w:tcPr>
          <w:p>
            <w:pPr>
              <w:spacing w:after="0"/>
              <w:rPr>
                <w:sz w:val="6"/>
                <w:szCs w:val="6"/>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40" w:type="dxa"/>
            <w:vAlign w:val="bottom"/>
          </w:tcPr>
          <w:p>
            <w:pPr>
              <w:spacing w:after="0"/>
              <w:rPr>
                <w:sz w:val="6"/>
                <w:szCs w:val="6"/>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1"/>
                <w:szCs w:val="21"/>
                <w:b w:val="1"/>
                <w:bCs w:val="1"/>
                <w:color w:val="auto"/>
                <w:vertAlign w:val="superscript"/>
              </w:rPr>
              <w:t>1,2</w:t>
            </w:r>
            <w:r>
              <w:rPr>
                <w:rFonts w:ascii="Times New Roman" w:cs="Times New Roman" w:eastAsia="Times New Roman" w:hAnsi="Times New Roman"/>
                <w:sz w:val="16"/>
                <w:szCs w:val="16"/>
                <w:b w:val="1"/>
                <w:bCs w:val="1"/>
                <w:color w:val="auto"/>
              </w:rPr>
              <w:t xml:space="preserve"> $</w:t>
            </w:r>
          </w:p>
        </w:tc>
        <w:tc>
          <w:tcPr>
            <w:tcW w:w="200" w:type="dxa"/>
            <w:vAlign w:val="bottom"/>
          </w:tcPr>
          <w:p>
            <w:pPr>
              <w:spacing w:after="0"/>
              <w:rPr>
                <w:sz w:val="6"/>
                <w:szCs w:val="6"/>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2,438,088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8,004,152</w:t>
            </w:r>
          </w:p>
        </w:tc>
        <w:tc>
          <w:tcPr>
            <w:tcW w:w="0" w:type="dxa"/>
            <w:vAlign w:val="bottom"/>
          </w:tcPr>
          <w:p>
            <w:pPr>
              <w:spacing w:after="0"/>
              <w:rPr>
                <w:sz w:val="1"/>
                <w:szCs w:val="1"/>
                <w:color w:val="auto"/>
              </w:rPr>
            </w:pPr>
          </w:p>
        </w:tc>
      </w:tr>
      <w:tr>
        <w:trPr>
          <w:trHeight w:val="61"/>
        </w:trPr>
        <w:tc>
          <w:tcPr>
            <w:tcW w:w="3400" w:type="dxa"/>
            <w:vAlign w:val="bottom"/>
            <w:vMerge w:val="continue"/>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1,369,566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1,833,833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5,003,399</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and Chairman</w:t>
            </w:r>
          </w:p>
        </w:tc>
        <w:tc>
          <w:tcPr>
            <w:tcW w:w="9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4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2,474,000</w:t>
            </w: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1,273,800</w:t>
            </w:r>
          </w:p>
        </w:tc>
        <w:tc>
          <w:tcPr>
            <w:tcW w:w="0" w:type="dxa"/>
            <w:vAlign w:val="bottom"/>
          </w:tcPr>
          <w:p>
            <w:pPr>
              <w:spacing w:after="0"/>
              <w:rPr>
                <w:sz w:val="1"/>
                <w:szCs w:val="1"/>
                <w:color w:val="auto"/>
              </w:rPr>
            </w:pPr>
          </w:p>
        </w:tc>
      </w:tr>
      <w:tr>
        <w:trPr>
          <w:trHeight w:val="3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vMerge w:val="continue"/>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1,791,760</w:t>
            </w:r>
          </w:p>
        </w:tc>
        <w:tc>
          <w:tcPr>
            <w:tcW w:w="0" w:type="dxa"/>
            <w:vAlign w:val="bottom"/>
          </w:tcPr>
          <w:p>
            <w:pPr>
              <w:spacing w:after="0"/>
              <w:rPr>
                <w:sz w:val="1"/>
                <w:szCs w:val="1"/>
                <w:color w:val="auto"/>
              </w:rPr>
            </w:pP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General Counsel and Chief Risk Officer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576,300</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401(k) matching contributions for Mr. O'Leary and Mr. Miller.</w:t>
      </w:r>
    </w:p>
    <w:p>
      <w:pPr>
        <w:spacing w:after="0" w:line="73" w:lineRule="exact"/>
        <w:rPr>
          <w:rFonts w:ascii="Times New Roman" w:cs="Times New Roman" w:eastAsia="Times New Roman" w:hAnsi="Times New Roman"/>
          <w:sz w:val="21"/>
          <w:szCs w:val="21"/>
          <w:color w:val="auto"/>
          <w:vertAlign w:val="superscript"/>
        </w:rPr>
      </w:pPr>
    </w:p>
    <w:p>
      <w:pPr>
        <w:ind w:left="340" w:right="260" w:hanging="332"/>
        <w:spacing w:after="0" w:line="210"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medical insurance premium paid by the Company on behalf of Mr. Priore. Amount also includes long-term incentive award of $2.4 million approved by the Compensation Committee of the Board with a three-year cliff performance based vesting. These awards may be settled in cash or Common shares of the Company.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Thomas Priore</w:t>
      </w:r>
    </w:p>
    <w:p>
      <w:pPr>
        <w:spacing w:after="0" w:line="32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Chief Executive Officer. As Chief Executive Officer, the Compensation Committee set performance goals for Mr. Priore based upon revenue, adjusted EBITDA (i.e. earnings before</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color w:val="auto"/>
        </w:rPr>
        <w:t>interest, income tax, and depreciation and amortization expenses, a non-GAAP measure), and personal performance goals for determining his short-term and long-term incentive. Mr. Priore’s annual short-term incentive bonus target is 100% of his base salary and his annual long-term incentive bonus target is 200% of his base salary. Given the Company’s performance and Mr. Priore’s leadership and meaningful contributions, the 2025 annual short-term incentive bonus and long-term incentive bonus were achieved.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Tim O’Leary</w:t>
      </w:r>
    </w:p>
    <w:p>
      <w:pPr>
        <w:spacing w:after="0" w:line="322"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Mr. O’Leary is eligible for an annual discretionary bonus at a target of up to 65% of his base salary. As a result of his meaningful contributions, Mr. O’Leary was awarded an annual incentive bonus in the amount of $260,000. Mr. O’Leary was granted a total award of 276,923 shares, consisting of 138,462 RSUs that vest in equal installments over three years on each anniversary of the grant date, and 138,461 PSUs with a three-year cliff performance based vesting.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Bradley Miller</w:t>
      </w:r>
    </w:p>
    <w:p>
      <w:pPr>
        <w:spacing w:after="0" w:line="32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Mr. Miller is eligible for a discretionary target bonus of up to 50% of his base salary. Additionally, Mr. Miller may be awarded equity grants from time to time in the discretion of the Compensation Committee. As a result of his meaningful contributions in 2025, Mr. Miller was awarded an annual incentive bonus in the amount of $187,500. Mr. Miller was granted an RSU award that fully vested upon grant of 52,301 shares. Mr. Miller was also granted a stock award of 123,077 shares, consisting of 61,539 RSUs that vest in equal installments over three years on each anniversary of the grant date, and 61,538 PSUs with a three-year cliff performance based vesting.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Priority maintains a tax-qualified 401(k) defined contribution plan available to substantially all of our employees. The 401(k) plan is available on the same terms to all of its U.S. employees, including Mr. O'Leary and Mr. Miller. Mr. Priore does not participate in the plan. Each participant may elect to make a voluntary contribution of an amount between 0% to 100% of their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337"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The following Pay Versus Performance ("PVP") tables set forth compensation information for our PEO and non-PEO NEOs in accordance with SEC guidance for the years ended December 31, 2025, 2024 and 2023.</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tcPr>
          <w:p>
            <w:pPr>
              <w:spacing w:after="0"/>
              <w:rPr>
                <w:sz w:val="13"/>
                <w:szCs w:val="13"/>
                <w:color w:val="auto"/>
              </w:rPr>
            </w:pPr>
          </w:p>
        </w:tc>
        <w:tc>
          <w:tcPr>
            <w:tcW w:w="13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122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
              <w:spacing w:after="0" w:line="146"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1"/>
                <w:szCs w:val="11"/>
                <w:color w:val="auto"/>
              </w:rPr>
            </w:pPr>
          </w:p>
        </w:tc>
        <w:tc>
          <w:tcPr>
            <w:tcW w:w="130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1"/>
                <w:szCs w:val="11"/>
                <w:color w:val="auto"/>
              </w:rPr>
            </w:pPr>
          </w:p>
        </w:tc>
        <w:tc>
          <w:tcPr>
            <w:tcW w:w="13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 (loss) ($</w:t>
            </w:r>
          </w:p>
        </w:tc>
        <w:tc>
          <w:tcPr>
            <w:tcW w:w="0" w:type="dxa"/>
            <w:vAlign w:val="bottom"/>
          </w:tcPr>
          <w:p>
            <w:pPr>
              <w:spacing w:after="0"/>
              <w:rPr>
                <w:sz w:val="1"/>
                <w:szCs w:val="1"/>
                <w:color w:val="auto"/>
              </w:rPr>
            </w:pPr>
          </w:p>
        </w:tc>
      </w:tr>
      <w:tr>
        <w:trPr>
          <w:trHeight w:val="148"/>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40" w:type="dxa"/>
            <w:vAlign w:val="bottom"/>
            <w:gridSpan w:val="2"/>
          </w:tcPr>
          <w:p>
            <w:pPr>
              <w:jc w:val="center"/>
              <w:ind w:left="98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20" w:type="dxa"/>
            <w:vAlign w:val="bottom"/>
          </w:tcPr>
          <w:p>
            <w:pPr>
              <w:spacing w:after="0"/>
              <w:rPr>
                <w:sz w:val="12"/>
                <w:szCs w:val="12"/>
                <w:color w:val="auto"/>
              </w:rPr>
            </w:pPr>
          </w:p>
        </w:tc>
        <w:tc>
          <w:tcPr>
            <w:tcW w:w="13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00" w:type="dxa"/>
            <w:vAlign w:val="bottom"/>
          </w:tcPr>
          <w:p>
            <w:pPr>
              <w:spacing w:after="0"/>
              <w:rPr>
                <w:sz w:val="12"/>
                <w:szCs w:val="12"/>
                <w:color w:val="auto"/>
              </w:rPr>
            </w:pPr>
          </w:p>
        </w:tc>
        <w:tc>
          <w:tcPr>
            <w:tcW w:w="13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Total for PEO ($)(a)</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NEOs ($)(c)</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PEO NEOs ($)(d)</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in thousands)(f)</w:t>
            </w:r>
          </w:p>
        </w:tc>
        <w:tc>
          <w:tcPr>
            <w:tcW w:w="0" w:type="dxa"/>
            <w:vAlign w:val="bottom"/>
          </w:tcPr>
          <w:p>
            <w:pPr>
              <w:spacing w:after="0"/>
              <w:rPr>
                <w:sz w:val="1"/>
                <w:szCs w:val="1"/>
                <w:color w:val="auto"/>
              </w:rPr>
            </w:pPr>
          </w:p>
        </w:tc>
      </w:tr>
      <w:tr>
        <w:trPr>
          <w:trHeight w:val="21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8,004,152</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55,681</w:t>
            </w:r>
          </w:p>
        </w:tc>
        <w:tc>
          <w:tcPr>
            <w:tcW w:w="0" w:type="dxa"/>
            <w:vAlign w:val="bottom"/>
          </w:tcPr>
          <w:p>
            <w:pPr>
              <w:spacing w:after="0"/>
              <w:rPr>
                <w:sz w:val="1"/>
                <w:szCs w:val="1"/>
                <w:color w:val="auto"/>
              </w:rPr>
            </w:pPr>
          </w:p>
        </w:tc>
      </w:tr>
      <w:tr>
        <w:trPr>
          <w:trHeight w:val="214"/>
        </w:trPr>
        <w:tc>
          <w:tcPr>
            <w:tcW w:w="1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5,003,399</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7,074,347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1,856,750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6,723,595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24,015</w:t>
            </w:r>
          </w:p>
        </w:tc>
        <w:tc>
          <w:tcPr>
            <w:tcW w:w="0" w:type="dxa"/>
            <w:vAlign w:val="bottom"/>
          </w:tcPr>
          <w:p>
            <w:pPr>
              <w:spacing w:after="0"/>
              <w:rPr>
                <w:sz w:val="1"/>
                <w:szCs w:val="1"/>
                <w:color w:val="auto"/>
              </w:rPr>
            </w:pPr>
          </w:p>
        </w:tc>
      </w:tr>
      <w:tr>
        <w:trPr>
          <w:trHeight w:val="218"/>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5,008,055</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4,918,784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376,895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from the Summary Compensation Table for the Company's PEO, Thomas Priore for 2025, 2024 and 2023.</w:t>
      </w:r>
    </w:p>
    <w:p>
      <w:pPr>
        <w:spacing w:after="0" w:line="27"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PEO, as adjusted in the table below.</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average summary compensation for all NEOs from the Summary Compensation Table for the named executive officers.</w:t>
      </w:r>
    </w:p>
    <w:p>
      <w:pPr>
        <w:spacing w:after="0" w:line="9"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NEOs were Timothy O'Leary and Bradley Miller.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NEOs were Timothy O'Leary and Ranjana Ram.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NEOs were Timothy O'Leary and Bradley Miller.</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NEOs, as adjusted in the tables below.</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Assumes $100 investment on December 31, 2022 in our common stock.</w:t>
      </w:r>
    </w:p>
    <w:p>
      <w:pPr>
        <w:spacing w:after="0" w:line="9" w:lineRule="exact"/>
        <w:rPr>
          <w:rFonts w:ascii="Times New Roman" w:cs="Times New Roman" w:eastAsia="Times New Roman" w:hAnsi="Times New Roman"/>
          <w:sz w:val="18"/>
          <w:szCs w:val="18"/>
          <w:i w:val="1"/>
          <w:iCs w:val="1"/>
          <w:color w:val="auto"/>
        </w:rPr>
      </w:pPr>
    </w:p>
    <w:p>
      <w:pPr>
        <w:ind w:left="660" w:right="840" w:hanging="328"/>
        <w:spacing w:after="0" w:line="260" w:lineRule="auto"/>
        <w:tabs>
          <w:tab w:leader="none" w:pos="65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Company's net income on the Consolidated Statements of Operations and Comprehensive Income (Loss) reported in the Company's Annual Report on Form 10K.</w:t>
      </w:r>
    </w:p>
    <w:p>
      <w:pPr>
        <w:spacing w:after="0" w:line="195"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to the PEO consist of:</w:t>
      </w:r>
    </w:p>
    <w:p>
      <w:pPr>
        <w:sectPr>
          <w:pgSz w:w="11900" w:h="16838" w:orient="portrait"/>
          <w:cols w:equalWidth="0" w:num="1">
            <w:col w:w="11240"/>
          </w:cols>
          <w:pgMar w:left="320" w:top="162"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Summary Compensation Table Total for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2343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10" w:lineRule="exact"/>
        <w:rPr>
          <w:sz w:val="20"/>
          <w:szCs w:val="20"/>
          <w:color w:val="auto"/>
        </w:rPr>
      </w:pPr>
    </w:p>
    <w:p>
      <w:pPr>
        <w:ind w:left="20" w:right="90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Adjustments to Determine Compensation "Actually Paid" for PEO </w:t>
      </w:r>
      <w:r>
        <w:rPr>
          <w:rFonts w:ascii="Times New Roman" w:cs="Times New Roman" w:eastAsia="Times New Roman" w:hAnsi="Times New Roman"/>
          <w:sz w:val="16"/>
          <w:szCs w:val="16"/>
          <w:color w:val="auto"/>
        </w:rPr>
        <w:t>Deductions for amounts reported under the "Stock Awards" column in the SCT Fair value of awards granted during the year that remain outstanding at year end Change in fair value of awards granted in prior years that remain outstanding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234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234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
        <w:spacing w:after="0" w:line="245" w:lineRule="auto"/>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PEO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8,004,152</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5,003,399</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5,008,055</w:t>
            </w:r>
          </w:p>
        </w:tc>
      </w:tr>
      <w:tr>
        <w:trPr>
          <w:trHeight w:val="43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(2,996,498)</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(299,039)</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2,331,025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2,252,396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277,958</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(805,109)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426,609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(236,207)</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(68,190)</w:t>
            </w:r>
          </w:p>
        </w:tc>
      </w:tr>
      <w:tr>
        <w:trPr>
          <w:trHeight w:val="211"/>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6,297,363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7,074,347</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4,918,784</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260"/>
            <w:col w:w="4300"/>
          </w:cols>
          <w:pgMar w:left="320" w:top="162"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from, and additions to, average compensation in the Summary Compensation Table by year to calculate Compensation Actually Paid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Non-PEO NEOs consist of:</w:t>
      </w:r>
    </w:p>
    <w:p>
      <w:pPr>
        <w:sectPr>
          <w:pgSz w:w="11900" w:h="16838" w:orient="portrait"/>
          <w:cols w:equalWidth="0" w:num="1">
            <w:col w:w="11240"/>
          </w:cols>
          <w:pgMar w:left="320" w:top="162" w:right="339" w:bottom="1440" w:gutter="0" w:footer="0" w:header="0"/>
          <w:type w:val="continuous"/>
        </w:sect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Summary Compensation Table Total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2343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0" w:lineRule="exact"/>
        <w:rPr>
          <w:sz w:val="20"/>
          <w:szCs w:val="20"/>
          <w:color w:val="auto"/>
        </w:rPr>
      </w:pPr>
    </w:p>
    <w:p>
      <w:pPr>
        <w:ind w:left="20" w:right="90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Adjustments to Determine Compensation "Actually Paid" for Non-PEO NEOs </w:t>
      </w:r>
      <w:r>
        <w:rPr>
          <w:rFonts w:ascii="Times New Roman" w:cs="Times New Roman" w:eastAsia="Times New Roman" w:hAnsi="Times New Roman"/>
          <w:sz w:val="16"/>
          <w:szCs w:val="16"/>
          <w:color w:val="auto"/>
        </w:rPr>
        <w:t>Deductions for amounts reported under the "Stock Awards" column in the SCT Fair value of awards granted during the year that remain outstanding at year end Change in fair value of awards granted in prior years that remain outstanding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234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234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ind w:left="20"/>
        <w:spacing w:after="0" w:line="245" w:lineRule="auto"/>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 and vested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Non-PEO NEOs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2,132,880</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1,856,750</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924,450</w:t>
            </w:r>
          </w:p>
        </w:tc>
      </w:tr>
      <w:tr>
        <w:trPr>
          <w:trHeight w:val="43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(3,037,760)</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(2,463,400)</w:t>
            </w:r>
          </w:p>
        </w:tc>
        <w:tc>
          <w:tcPr>
            <w:tcW w:w="320" w:type="dxa"/>
            <w:vAlign w:val="bottom"/>
          </w:tcPr>
          <w:p>
            <w:pPr>
              <w:spacing w:after="0"/>
              <w:rPr>
                <w:sz w:val="24"/>
                <w:szCs w:val="24"/>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(600,000)</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2,180,000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5,633,984</w:t>
            </w:r>
          </w:p>
        </w:tc>
        <w:tc>
          <w:tcPr>
            <w:tcW w:w="320" w:type="dxa"/>
            <w:vAlign w:val="bottom"/>
          </w:tcPr>
          <w:p>
            <w:pPr>
              <w:spacing w:after="0"/>
              <w:rPr>
                <w:sz w:val="18"/>
                <w:szCs w:val="18"/>
                <w:color w:val="auto"/>
              </w:rPr>
            </w:pPr>
          </w:p>
        </w:tc>
        <w:tc>
          <w:tcPr>
            <w:tcW w:w="110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659,259</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(785,730)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1,418,565</w:t>
            </w:r>
          </w:p>
        </w:tc>
        <w:tc>
          <w:tcPr>
            <w:tcW w:w="320" w:type="dxa"/>
            <w:vAlign w:val="bottom"/>
          </w:tcPr>
          <w:p>
            <w:pPr>
              <w:spacing w:after="0"/>
              <w:rPr>
                <w:sz w:val="18"/>
                <w:szCs w:val="18"/>
                <w:color w:val="auto"/>
              </w:rPr>
            </w:pPr>
          </w:p>
        </w:tc>
        <w:tc>
          <w:tcPr>
            <w:tcW w:w="110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(395,818)</w:t>
            </w:r>
          </w:p>
        </w:tc>
      </w:tr>
      <w:tr>
        <w:trPr>
          <w:trHeight w:val="38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(631,841)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277,696</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(210,996)</w:t>
            </w:r>
          </w:p>
        </w:tc>
      </w:tr>
      <w:tr>
        <w:trPr>
          <w:trHeight w:val="211"/>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(142,451)</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6,723,595</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376,895</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260"/>
            <w:col w:w="4300"/>
          </w:cols>
          <w:pgMar w:left="320" w:top="1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324"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 ended December 31, 2025 for our non-employee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74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26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0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740" w:type="dxa"/>
            <w:vAlign w:val="bottom"/>
            <w:vMerge w:val="continue"/>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86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1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Plan Compensation $</w:t>
            </w:r>
          </w:p>
        </w:tc>
        <w:tc>
          <w:tcPr>
            <w:tcW w:w="15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 Crisafulli</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Marietta Davis</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Christina Favilla</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Passilla</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85,000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185,000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Clayton Main</w:t>
            </w:r>
            <w:r>
              <w:rPr>
                <w:rFonts w:ascii="Times New Roman" w:cs="Times New Roman" w:eastAsia="Times New Roman" w:hAnsi="Times New Roman"/>
                <w:sz w:val="21"/>
                <w:szCs w:val="21"/>
                <w:color w:val="auto"/>
                <w:vertAlign w:val="superscript"/>
              </w:rPr>
              <w:t>(1)</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40,000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140,000</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Appointed to the board on April 1,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Director Compensation</w:t>
      </w:r>
    </w:p>
    <w:p>
      <w:pPr>
        <w:spacing w:after="0" w:line="322"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$25,000 in 2025 in addition to their director cash compensation. The chair of the Nominating and Corporate Governance Committee and the chair of the Compensation Committee both received $5,000 in 2025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33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following table provides information regarding stock options not exercised, stock that has not yet vested, and equity incentive plan awards for each NEO outstanding as of the end of 2025. Each outstanding award is represented by a separate row that indicates the number of securities underlying the award.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8"/>
        </w:trPr>
        <w:tc>
          <w:tcPr>
            <w:tcW w:w="1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26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of</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 Units, or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Options</w:t>
            </w:r>
          </w:p>
        </w:tc>
        <w:tc>
          <w:tcPr>
            <w:tcW w:w="1160" w:type="dxa"/>
            <w:vAlign w:val="bottom"/>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 Yet Vested</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(a)</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 Yet Vested ($)</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Thomas Priore</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555,506</w:t>
            </w:r>
          </w:p>
        </w:tc>
        <w:tc>
          <w:tcPr>
            <w:tcW w:w="260" w:type="dxa"/>
            <w:vAlign w:val="bottom"/>
            <w:vMerge w:val="continue"/>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3,027,508</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401,642</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2,188,949</w:t>
            </w:r>
          </w:p>
        </w:tc>
        <w:tc>
          <w:tcPr>
            <w:tcW w:w="0" w:type="dxa"/>
            <w:vAlign w:val="bottom"/>
          </w:tcPr>
          <w:p>
            <w:pPr>
              <w:spacing w:after="0"/>
              <w:rPr>
                <w:sz w:val="1"/>
                <w:szCs w:val="1"/>
                <w:color w:val="auto"/>
              </w:rPr>
            </w:pPr>
          </w:p>
        </w:tc>
      </w:tr>
      <w:tr>
        <w:trPr>
          <w:trHeight w:val="265"/>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123,077</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0465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4659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290" w:lineRule="exact"/>
        <w:rPr>
          <w:sz w:val="20"/>
          <w:szCs w:val="20"/>
          <w:color w:val="auto"/>
        </w:rPr>
      </w:pPr>
    </w:p>
    <w:p>
      <w:pPr>
        <w:ind w:left="660" w:right="20" w:hanging="328"/>
        <w:spacing w:after="0" w:line="289" w:lineRule="auto"/>
        <w:tabs>
          <w:tab w:leader="none" w:pos="66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Priore are 127,795 shares granted on February 8, 2024 and 58,480 shares granted on February 5, 2025. Awards outstanding also includes 369,231 shares subject to certain conditions.</w:t>
      </w:r>
    </w:p>
    <w:p>
      <w:pPr>
        <w:spacing w:after="0" w:line="2" w:lineRule="exact"/>
        <w:rPr>
          <w:rFonts w:ascii="Times New Roman" w:cs="Times New Roman" w:eastAsia="Times New Roman" w:hAnsi="Times New Roman"/>
          <w:sz w:val="16"/>
          <w:szCs w:val="16"/>
          <w:i w:val="1"/>
          <w:iCs w:val="1"/>
          <w:color w:val="auto"/>
        </w:rPr>
      </w:pPr>
    </w:p>
    <w:p>
      <w:pPr>
        <w:ind w:left="660" w:hanging="328"/>
        <w:spacing w:after="0" w:line="280" w:lineRule="auto"/>
        <w:tabs>
          <w:tab w:leader="none" w:pos="66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O'Leary are 61,727 shares granted on September 19, 2023, 62,992 shares granted on September 19, 2024 and 276,923 shares granted on November 21, 2025.</w:t>
      </w:r>
    </w:p>
    <w:p>
      <w:pPr>
        <w:spacing w:after="0" w:line="16"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Miller are 123,077 shares granted on November 21,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EXECUTIVE OFFICERS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w:t>
      </w:r>
    </w:p>
    <w:p>
      <w:pPr>
        <w:spacing w:after="0" w:line="32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shares of common stock;</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named executive officer; and</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320"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3900" w:type="dxa"/>
            <w:vAlign w:val="bottom"/>
          </w:tcPr>
          <w:p>
            <w:pPr>
              <w:jc w:val="center"/>
              <w:ind w:left="1659"/>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Percentage of</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tcPr>
          <w:p>
            <w:pPr>
              <w:jc w:val="center"/>
              <w:ind w:left="1659"/>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2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Outstanding Common Stock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39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Thomas Priore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3"/>
                <w:szCs w:val="23"/>
                <w:color w:val="auto"/>
                <w:vertAlign w:val="superscript"/>
              </w:rPr>
              <w:t>3)(4)</w:t>
            </w:r>
          </w:p>
        </w:tc>
        <w:tc>
          <w:tcPr>
            <w:tcW w:w="3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46,566,776</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56.54 %</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Sean Kiewiet</w:t>
            </w:r>
          </w:p>
        </w:tc>
        <w:tc>
          <w:tcPr>
            <w:tcW w:w="360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732,366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vMerge w:val="continue"/>
            <w:shd w:val="clear" w:color="auto" w:fill="CCEEFF"/>
          </w:tcPr>
          <w:p>
            <w:pPr>
              <w:spacing w:after="0"/>
              <w:rPr>
                <w:sz w:val="5"/>
                <w:szCs w:val="5"/>
                <w:color w:val="auto"/>
              </w:rPr>
            </w:pPr>
          </w:p>
        </w:tc>
        <w:tc>
          <w:tcPr>
            <w:tcW w:w="3600" w:type="dxa"/>
            <w:vAlign w:val="bottom"/>
            <w:vMerge w:val="continue"/>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Bradley Miller</w:t>
            </w:r>
          </w:p>
        </w:tc>
        <w:tc>
          <w:tcPr>
            <w:tcW w:w="3600" w:type="dxa"/>
            <w:vAlign w:val="bottom"/>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rPr>
              <w:t>231,598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
        </w:trPr>
        <w:tc>
          <w:tcPr>
            <w:tcW w:w="6020" w:type="dxa"/>
            <w:vAlign w:val="bottom"/>
            <w:vMerge w:val="continue"/>
          </w:tcPr>
          <w:p>
            <w:pPr>
              <w:spacing w:after="0"/>
              <w:rPr>
                <w:sz w:val="5"/>
                <w:szCs w:val="5"/>
                <w:color w:val="auto"/>
              </w:rPr>
            </w:pPr>
          </w:p>
        </w:tc>
        <w:tc>
          <w:tcPr>
            <w:tcW w:w="3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Ranjana Ram</w:t>
            </w:r>
          </w:p>
        </w:tc>
        <w:tc>
          <w:tcPr>
            <w:tcW w:w="360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709,466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vMerge w:val="continue"/>
            <w:shd w:val="clear" w:color="auto" w:fill="CCEEFF"/>
          </w:tcPr>
          <w:p>
            <w:pPr>
              <w:spacing w:after="0"/>
              <w:rPr>
                <w:sz w:val="5"/>
                <w:szCs w:val="5"/>
                <w:color w:val="auto"/>
              </w:rPr>
            </w:pPr>
          </w:p>
        </w:tc>
        <w:tc>
          <w:tcPr>
            <w:tcW w:w="3600" w:type="dxa"/>
            <w:vAlign w:val="bottom"/>
            <w:vMerge w:val="continue"/>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Tim O'Leary</w:t>
            </w:r>
          </w:p>
        </w:tc>
        <w:tc>
          <w:tcPr>
            <w:tcW w:w="3600" w:type="dxa"/>
            <w:vAlign w:val="bottom"/>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rPr>
              <w:t>242,858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
        </w:trPr>
        <w:tc>
          <w:tcPr>
            <w:tcW w:w="6020" w:type="dxa"/>
            <w:vAlign w:val="bottom"/>
            <w:vMerge w:val="continue"/>
          </w:tcPr>
          <w:p>
            <w:pPr>
              <w:spacing w:after="0"/>
              <w:rPr>
                <w:sz w:val="5"/>
                <w:szCs w:val="5"/>
                <w:color w:val="auto"/>
              </w:rPr>
            </w:pPr>
          </w:p>
        </w:tc>
        <w:tc>
          <w:tcPr>
            <w:tcW w:w="3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 Crisafulli</w:t>
            </w:r>
          </w:p>
        </w:tc>
        <w:tc>
          <w:tcPr>
            <w:tcW w:w="360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92,102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vMerge w:val="continue"/>
            <w:shd w:val="clear" w:color="auto" w:fill="CCEEFF"/>
          </w:tcPr>
          <w:p>
            <w:pPr>
              <w:spacing w:after="0"/>
              <w:rPr>
                <w:sz w:val="5"/>
                <w:szCs w:val="5"/>
                <w:color w:val="auto"/>
              </w:rPr>
            </w:pPr>
          </w:p>
        </w:tc>
        <w:tc>
          <w:tcPr>
            <w:tcW w:w="3600" w:type="dxa"/>
            <w:vAlign w:val="bottom"/>
            <w:vMerge w:val="continue"/>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Marietta Davis</w:t>
            </w:r>
          </w:p>
        </w:tc>
        <w:tc>
          <w:tcPr>
            <w:tcW w:w="3600" w:type="dxa"/>
            <w:vAlign w:val="bottom"/>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rPr>
              <w:t>83,548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6020" w:type="dxa"/>
            <w:vAlign w:val="bottom"/>
            <w:vMerge w:val="continue"/>
          </w:tcPr>
          <w:p>
            <w:pPr>
              <w:spacing w:after="0"/>
              <w:rPr>
                <w:sz w:val="5"/>
                <w:szCs w:val="5"/>
                <w:color w:val="auto"/>
              </w:rPr>
            </w:pPr>
          </w:p>
        </w:tc>
        <w:tc>
          <w:tcPr>
            <w:tcW w:w="3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Christina Favilla</w:t>
            </w:r>
          </w:p>
        </w:tc>
        <w:tc>
          <w:tcPr>
            <w:tcW w:w="360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133,526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vMerge w:val="continue"/>
            <w:shd w:val="clear" w:color="auto" w:fill="CCEEFF"/>
          </w:tcPr>
          <w:p>
            <w:pPr>
              <w:spacing w:after="0"/>
              <w:rPr>
                <w:sz w:val="5"/>
                <w:szCs w:val="5"/>
                <w:color w:val="auto"/>
              </w:rPr>
            </w:pPr>
          </w:p>
        </w:tc>
        <w:tc>
          <w:tcPr>
            <w:tcW w:w="3600" w:type="dxa"/>
            <w:vAlign w:val="bottom"/>
            <w:vMerge w:val="continue"/>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Clayton Main</w:t>
            </w:r>
          </w:p>
        </w:tc>
        <w:tc>
          <w:tcPr>
            <w:tcW w:w="3600" w:type="dxa"/>
            <w:vAlign w:val="bottom"/>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rPr>
              <w:t>12,971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6020" w:type="dxa"/>
            <w:vAlign w:val="bottom"/>
            <w:vMerge w:val="continue"/>
          </w:tcPr>
          <w:p>
            <w:pPr>
              <w:spacing w:after="0"/>
              <w:rPr>
                <w:sz w:val="5"/>
                <w:szCs w:val="5"/>
                <w:color w:val="auto"/>
              </w:rPr>
            </w:pPr>
          </w:p>
        </w:tc>
        <w:tc>
          <w:tcPr>
            <w:tcW w:w="3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0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Michael Passilla</w:t>
            </w:r>
          </w:p>
        </w:tc>
        <w:tc>
          <w:tcPr>
            <w:tcW w:w="360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134,328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vMerge w:val="continue"/>
            <w:shd w:val="clear" w:color="auto" w:fill="CCEEFF"/>
          </w:tcPr>
          <w:p>
            <w:pPr>
              <w:spacing w:after="0"/>
              <w:rPr>
                <w:sz w:val="5"/>
                <w:szCs w:val="5"/>
                <w:color w:val="auto"/>
              </w:rPr>
            </w:pPr>
          </w:p>
        </w:tc>
        <w:tc>
          <w:tcPr>
            <w:tcW w:w="3600" w:type="dxa"/>
            <w:vAlign w:val="bottom"/>
            <w:vMerge w:val="continue"/>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All directors and executive officers as a group (10 individuals)</w:t>
            </w:r>
          </w:p>
        </w:tc>
        <w:tc>
          <w:tcPr>
            <w:tcW w:w="3600" w:type="dxa"/>
            <w:vAlign w:val="bottom"/>
            <w:vMerge w:val="restart"/>
          </w:tcPr>
          <w:p>
            <w:pPr>
              <w:jc w:val="right"/>
              <w:ind w:right="999"/>
              <w:spacing w:after="0"/>
              <w:rPr>
                <w:sz w:val="20"/>
                <w:szCs w:val="20"/>
                <w:color w:val="auto"/>
              </w:rPr>
            </w:pPr>
            <w:r>
              <w:rPr>
                <w:rFonts w:ascii="Times New Roman" w:cs="Times New Roman" w:eastAsia="Times New Roman" w:hAnsi="Times New Roman"/>
                <w:sz w:val="16"/>
                <w:szCs w:val="16"/>
                <w:color w:val="auto"/>
              </w:rPr>
              <w:t>48,939,539</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59.42 %</w:t>
            </w:r>
          </w:p>
        </w:tc>
        <w:tc>
          <w:tcPr>
            <w:tcW w:w="0" w:type="dxa"/>
            <w:vAlign w:val="bottom"/>
          </w:tcPr>
          <w:p>
            <w:pPr>
              <w:spacing w:after="0"/>
              <w:rPr>
                <w:sz w:val="1"/>
                <w:szCs w:val="1"/>
                <w:color w:val="auto"/>
              </w:rPr>
            </w:pPr>
          </w:p>
        </w:tc>
      </w:tr>
      <w:tr>
        <w:trPr>
          <w:trHeight w:val="68"/>
        </w:trPr>
        <w:tc>
          <w:tcPr>
            <w:tcW w:w="6020" w:type="dxa"/>
            <w:vAlign w:val="bottom"/>
            <w:vMerge w:val="continue"/>
          </w:tcPr>
          <w:p>
            <w:pPr>
              <w:spacing w:after="0"/>
              <w:rPr>
                <w:sz w:val="5"/>
                <w:szCs w:val="5"/>
                <w:color w:val="auto"/>
              </w:rPr>
            </w:pPr>
          </w:p>
        </w:tc>
        <w:tc>
          <w:tcPr>
            <w:tcW w:w="3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Less than 1%</w:t>
      </w:r>
    </w:p>
    <w:p>
      <w:pPr>
        <w:spacing w:after="0" w:line="75"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business address of each of the individuals is c/o Priority Technology Holdings, Inc., 2001 Westside Parkway, Alpharetta, GA 30004.</w:t>
      </w:r>
    </w:p>
    <w:p>
      <w:pPr>
        <w:spacing w:after="0" w:line="117"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5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percentage of beneficial ownership of Priority is calculated based on 82,357,422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88" w:lineRule="exact"/>
        <w:rPr>
          <w:rFonts w:ascii="Times New Roman" w:cs="Times New Roman" w:eastAsia="Times New Roman" w:hAnsi="Times New Roman"/>
          <w:sz w:val="18"/>
          <w:szCs w:val="18"/>
          <w:i w:val="1"/>
          <w:iCs w:val="1"/>
          <w:color w:val="auto"/>
        </w:rPr>
      </w:pPr>
    </w:p>
    <w:p>
      <w:pPr>
        <w:jc w:val="both"/>
        <w:ind w:left="660" w:hanging="328"/>
        <w:spacing w:after="0" w:line="263" w:lineRule="auto"/>
        <w:tabs>
          <w:tab w:leader="none" w:pos="6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70" w:lineRule="exact"/>
        <w:rPr>
          <w:rFonts w:ascii="Times New Roman" w:cs="Times New Roman" w:eastAsia="Times New Roman" w:hAnsi="Times New Roman"/>
          <w:sz w:val="16"/>
          <w:szCs w:val="16"/>
          <w:i w:val="1"/>
          <w:iCs w:val="1"/>
          <w:color w:val="auto"/>
        </w:rPr>
      </w:pPr>
    </w:p>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Mr. Priore is the leader of an investor group that submitted a preliminary, non-binding proposal, dated November 9, 2025, to acquire all of the outstanding shares of the Company's common stock not already owned by such investor group for cash consideration in the range of $6.00 to $6.15 per share. See </w:t>
      </w:r>
      <w:r>
        <w:rPr>
          <w:rFonts w:ascii="Times New Roman" w:cs="Times New Roman" w:eastAsia="Times New Roman" w:hAnsi="Times New Roman"/>
          <w:sz w:val="16"/>
          <w:szCs w:val="16"/>
          <w:i w:val="1"/>
          <w:iCs w:val="1"/>
          <w:color w:val="auto"/>
        </w:rPr>
        <w:t>“Corporate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Governance —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PROPOSAL NUMBER ONE</w:t>
      </w:r>
    </w:p>
    <w:p>
      <w:pPr>
        <w:spacing w:after="0" w:line="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19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Board proposes that the following six director nominees be elected to the Board to serve until the next annual meeting in 2027, or until his or her earlier resignation, death, or removal.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2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513"/>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66</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Clayton Main</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47</w:t>
            </w: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59</w:t>
            </w:r>
          </w:p>
        </w:tc>
      </w:tr>
    </w:tbl>
    <w:p>
      <w:pPr>
        <w:spacing w:after="0" w:line="34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Certain biographical information about the nominees as of the date of this Proxy Statement can be found above under "Executive Officers and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Mr. Priore in the Election of Directors</w:t>
      </w:r>
    </w:p>
    <w:p>
      <w:pPr>
        <w:spacing w:after="0" w:line="364"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Stockholders should be aware that Thomas Priore, a nominee for election as a director at this Annual Meeting, is also the leader of the investor group that submitted the preliminary, non-binding proposal to acquire all of the outstanding shares of the Company's common stock not already owned by the Proposing Shareholders for cash consideration in the range of $6.00 to $6.15 per share, as described in “</w:t>
      </w:r>
      <w:r>
        <w:rPr>
          <w:rFonts w:ascii="Times New Roman" w:cs="Times New Roman" w:eastAsia="Times New Roman" w:hAnsi="Times New Roman"/>
          <w:sz w:val="18"/>
          <w:szCs w:val="18"/>
          <w:i w:val="1"/>
          <w:iCs w:val="1"/>
          <w:color w:val="auto"/>
        </w:rPr>
        <w:t>Corporate Governance — Special Committee</w:t>
      </w:r>
      <w:r>
        <w:rPr>
          <w:rFonts w:ascii="Times New Roman" w:cs="Times New Roman" w:eastAsia="Times New Roman" w:hAnsi="Times New Roman"/>
          <w:sz w:val="18"/>
          <w:szCs w:val="18"/>
          <w:color w:val="auto"/>
        </w:rPr>
        <w:t>.” Mr. Priore serves as the Company's Chairman and Chief Executive Officer. As of November 9, 2025, Mr. Priore beneficially owned approximately 56.7% of the Company's outstanding common stock, including shares held by his affiliated entities. Mr. Priore has interests in the outcome of this election, and the other proposals at this Annual Meeting, that may differ from, or be in addition to, the interests of the Company's other stockholders. The Special Committee of independent and disinterested directors is evaluating the proposal independently of Mr. Priore, and Mr. Priore has not participated, and will not participate, in the Special Committee's evaluation or deliberations.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TWO</w:t>
      </w:r>
    </w:p>
    <w:p>
      <w:pPr>
        <w:spacing w:after="0" w:line="324" w:lineRule="exact"/>
        <w:rPr>
          <w:sz w:val="20"/>
          <w:szCs w:val="20"/>
          <w:color w:val="auto"/>
        </w:rPr>
      </w:pPr>
    </w:p>
    <w:p>
      <w:pPr>
        <w:jc w:val="center"/>
        <w:spacing w:after="0" w:line="400" w:lineRule="auto"/>
        <w:rPr>
          <w:sz w:val="20"/>
          <w:szCs w:val="20"/>
          <w:color w:val="auto"/>
        </w:rPr>
      </w:pPr>
      <w:r>
        <w:rPr>
          <w:rFonts w:ascii="Times New Roman" w:cs="Times New Roman" w:eastAsia="Times New Roman" w:hAnsi="Times New Roman"/>
          <w:sz w:val="20"/>
          <w:szCs w:val="20"/>
          <w:b w:val="1"/>
          <w:bCs w:val="1"/>
          <w:color w:val="auto"/>
        </w:rPr>
        <w:t>APPROVAL OF PROPOSED AMENDMENT NO. 2 TO THE PRIORITY TECHNOLOGY HOLDINGS, INC. 2018 EQUITY INCENTIVE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The Priority Technology Holdings, Inc. 2018 Equity Incentive Plan (the “Equity Plan”) allows us to provide a variety of equity-based incentives and rewards to selected directors, consultants, officers and other key employees of the Company. We offer these incentives and rewards in order to assist in recruiting and retaining directors, consultants, advisors, officers and other employees. The plan previously reserved for issuance pursuant to awards up to an aggregate of 9,185,696 shares of our common stock. Additionally, if any award granted under the Equity Plan expires, terminates or is canceled or forfeited without being settled or exercised, or if a stock appreciation rights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Equity Plan.</w:t>
      </w:r>
    </w:p>
    <w:p>
      <w:pPr>
        <w:spacing w:after="0" w:line="228"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On February 5, 2026, the Board unanimously approved an amendment to the Equity Plan, subject to approval by our shareholders at this Annual Meeting, to increase the number of shares authorized for issuance under the plan by 8,000,000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amendment would increase the number of shares authorized for issuance under the Plan by 8,000,000 shares to a total of 17,185,696</w:t>
      </w:r>
    </w:p>
    <w:p>
      <w:pPr>
        <w:spacing w:after="0" w:line="104"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An increase in the aggregate number of shares authorized for issuance or transfer under the Equity Plan will allow us to continue to grant a variety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equity and incentive awards as a valuable tool to help us attract and retain our directors, consultants, advisors, officers and other employees, more closely align their interests with those of our shareholders, and motivate award recipients to increase shareholder value by contributing to the long-term growth and success of the Company.</w:t>
      </w:r>
    </w:p>
    <w:p>
      <w:pPr>
        <w:spacing w:after="0" w:line="202" w:lineRule="exact"/>
        <w:rPr>
          <w:sz w:val="20"/>
          <w:szCs w:val="20"/>
          <w:color w:val="auto"/>
        </w:rPr>
      </w:pPr>
    </w:p>
    <w:p>
      <w:pPr>
        <w:jc w:val="both"/>
        <w:ind w:firstLine="648"/>
        <w:spacing w:after="0" w:line="375" w:lineRule="auto"/>
        <w:rPr>
          <w:sz w:val="20"/>
          <w:szCs w:val="20"/>
          <w:color w:val="auto"/>
        </w:rPr>
      </w:pPr>
      <w:r>
        <w:rPr>
          <w:rFonts w:ascii="Times New Roman" w:cs="Times New Roman" w:eastAsia="Times New Roman" w:hAnsi="Times New Roman"/>
          <w:sz w:val="18"/>
          <w:szCs w:val="18"/>
          <w:color w:val="auto"/>
        </w:rPr>
        <w:t>The Compensation Committee carefully manages the equity awards and share usage under our equity plans. The requested increase is intended to provide the Company with a moderate pool to fund equity and incentive awards, which we believe are in line with competitive practices and will further shareholder interests.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to the Preliminary Take-Private Proposal</w:t>
      </w:r>
    </w:p>
    <w:p>
      <w:pPr>
        <w:spacing w:after="0" w:line="36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Company has received a preliminary, non-binding proposal from the Proposing Shareholders to acquire all of the outstanding shares of the Company's common stock not already owned by the Proposing Shareholders in a Take-Private transaction. If Amendment No. 2 is approved and additional awards are subsequently granted under the Equity Plan, those awards may be affected by any definitive agreement entered into with respect to the Proposed Take-Private Transaction, including with respect to the treatment of outstanding equity awards upon consummation of any such transaction. No definitive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agreement has been reached as of the date of this Proxy Statement, and there can be no assurance that any transaction will be consummated. The Board believes that the approval of Amendment No. 2 is in the best interests of the Company and its stockholders regardless of the outcome of the Special Committee's evaluation of the Proposal, because the additional shares are needed to support the Company's ability to attract and retain key personnel. Stockholders should consider the pendency of the Proposal in evaluating this proposal. For additional information, see “</w:t>
      </w:r>
      <w:r>
        <w:rPr>
          <w:rFonts w:ascii="Times New Roman" w:cs="Times New Roman" w:eastAsia="Times New Roman" w:hAnsi="Times New Roman"/>
          <w:sz w:val="18"/>
          <w:szCs w:val="18"/>
          <w:i w:val="1"/>
          <w:iCs w:val="1"/>
          <w:color w:val="auto"/>
        </w:rPr>
        <w:t>Corporate Governance —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5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approval of Proposal Number Two requires the affirmative vote of a majority of the votes properly cast at our Annual Meeting. Abstentions are not considered votes cast and thus will not affect the outcome of this proposal.</w:t>
      </w:r>
    </w:p>
    <w:p>
      <w:pPr>
        <w:spacing w:after="0" w:line="186" w:lineRule="exact"/>
        <w:rPr>
          <w:sz w:val="20"/>
          <w:szCs w:val="20"/>
          <w:color w:val="auto"/>
        </w:rPr>
      </w:pPr>
    </w:p>
    <w:p>
      <w:pPr>
        <w:ind w:right="400"/>
        <w:spacing w:after="0" w:line="39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amendment No. 2 to the Priority Technology Holdings, Inc. 2018 Equity Incentive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THREE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ADVISORY VOTE ON NAMED EXECUTIVE OFFICER COMPENSATION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61"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 xml:space="preserve">As described in detail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174"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 xml:space="preserve">Highlights of our executive compensation program, as described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include:</w:t>
      </w:r>
    </w:p>
    <w:p>
      <w:pPr>
        <w:spacing w:after="0" w:line="15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that are performance-based and align executive officer incentives with stockholder interests over multiple timeframes;</w:t>
      </w:r>
    </w:p>
    <w:p>
      <w:pPr>
        <w:spacing w:after="0" w:line="333"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that are earned based on performance measured against specific financial and strategic objectives for an executive’s area of responsibility, together with a qualitative assessment of performance;</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at-risk pay and compensation design that reflect an executive officer’s impact on Corporation performance over time; and</w:t>
      </w:r>
    </w:p>
    <w:p>
      <w:pPr>
        <w:spacing w:after="0" w:line="319"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risk management practices, including a clawback policy, anti-hedging policy, anti-pledging policy, stock ownership requirements, net share retention ratio, and net hold requirements with respect to equity grants.</w:t>
      </w:r>
    </w:p>
    <w:p>
      <w:pPr>
        <w:spacing w:after="0" w:line="16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the 2025 Summary Compensation Table, and the other related tables and narrative discussion.</w:t>
      </w:r>
    </w:p>
    <w:p>
      <w:pPr>
        <w:spacing w:after="0" w:line="19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Number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PROPOSAL NUMBER FOUR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PUBLIC ACCOUNTING FIRM</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The Audit Committee of the Board has appointed KPMG to serve as the Company's independent registered public accounting firm for the year ending December 31, 2026. The Board is submitting the appointment of KPMG as the Company's independent registered public accounting firm for stockholder ratification and recommends that stockholders ratify this appointment. Stockholder ratification of the appointment of KPMG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KPMG.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KPMG is expected to attend the Annual Meeting, and he or she will have the opportunity to make a statement and will be available to respond to appropriate questions. For additional information regarding the Company's relationship with KPMG, please refer to the Audit Committee Report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provided by EY, our independent registered public accounting firm for fiscal years 2025 and 2024 prior to the appointment of KPMG for fiscal year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2,735,000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632,781</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5,032,481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3,577,781</w:t>
            </w: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18"/>
          <w:szCs w:val="18"/>
          <w:color w:val="auto"/>
        </w:rPr>
        <w:t>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w:t>
      </w:r>
    </w:p>
    <w:p>
      <w:pPr>
        <w:spacing w:after="0" w:line="17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amounts reported as audit-related and tax are fees billed, including out-of-pocket expenses, for services rendered during the fiscal year, even if the auditor did not bill the registrant for those services until after year end. The audit-related fees for 2025 include fees billed for professional services in connection with review of the Form S-8. Tax fees include fees associated with tax compliance services, including the preparation, review and filing of certain tax returns, as well as tax advisory services. All services rendered by EY in the table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Auditors</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Audit Committee has also adopted policies and procedures for pre-approving all non-audit work performed by KPMG. The Audit Committee may pre-approve the use, as needed, of KPMG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Four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3"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KPMG LLP as the Company's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and Director Nominations for the 2027 Annual Meeting</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We expect that our 2027 Annual Meeting will be held in June 2027. Stockholders of record who intend to nominate a candidate for director or submit a proposal at the annual meeting of stockholders in 2027 must provide written notice to the Company in accordance with our bylaws. Under our bylaws, such notice must be received at the Company's principal executive offices, addressed to the Secretary of the Company, not earlier than February 11, 2027 nor later than March 13, 2027, which are dates at least 90 days but not more than 120 days in advance of the first anniversary of the date of the 2026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85" w:lineRule="exact"/>
        <w:rPr>
          <w:sz w:val="20"/>
          <w:szCs w:val="20"/>
          <w:color w:val="auto"/>
        </w:rPr>
      </w:pPr>
    </w:p>
    <w:p>
      <w:pPr>
        <w:jc w:val="both"/>
        <w:ind w:right="160"/>
        <w:spacing w:after="0" w:line="309"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Vote by 11:59 P.M. ET on June 10, 2026 for shares held directly and by 11:59 P.M. ET on June 8, 2026 for shares held in a Plan. Have your proxy card in hand when you access the web site and follow the instructions to obtain your records and to create an electronic voting instruction 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www.virtualshareholdermeeting.com/PRTH2026</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right="260"/>
        <w:spacing w:after="0" w:line="345"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90" w:lineRule="exact"/>
        <w:rPr>
          <w:sz w:val="20"/>
          <w:szCs w:val="20"/>
          <w:color w:val="auto"/>
        </w:rPr>
      </w:pPr>
    </w:p>
    <w:p>
      <w:pPr>
        <w:ind w:right="220"/>
        <w:spacing w:after="0" w:line="323"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Vote by 11:59 P.M. ET on June 10, 2026 for shares held directly and by 11:59 P.M. ET on June 8, 2026 for shares held in a Plan. Have your proxy card in hand when you call and then follow the instructions.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90"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1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w:t>
      </w:r>
    </w:p>
    <w:p>
      <w:pPr>
        <w:spacing w:after="0"/>
        <w:rPr>
          <w:sz w:val="20"/>
          <w:szCs w:val="20"/>
          <w:color w:val="auto"/>
        </w:rPr>
      </w:pPr>
      <w:r>
        <w:rPr>
          <w:rFonts w:ascii="Times New Roman" w:cs="Times New Roman" w:eastAsia="Times New Roman" w:hAnsi="Times New Roman"/>
          <w:sz w:val="14"/>
          <w:szCs w:val="14"/>
          <w:b w:val="1"/>
          <w:bCs w:val="1"/>
          <w:color w:val="auto"/>
        </w:rPr>
        <w:t>election of the following six director nominees:</w:t>
      </w:r>
    </w:p>
    <w:p>
      <w:pPr>
        <w:sectPr>
          <w:pgSz w:w="11900" w:h="16838" w:orient="portrait"/>
          <w:cols w:equalWidth="0" w:num="1">
            <w:col w:w="11080"/>
          </w:cols>
          <w:pgMar w:left="340" w:top="925" w:right="479" w:bottom="1440" w:gutter="0" w:footer="0" w:header="0"/>
        </w:sectPr>
      </w:pP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Election of Directors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1a. Thomas Priore</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1b. Marc Crisafulli</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1c. Marietta Davis</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1d. Christina Favilla</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1e. Clayton Main</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1f. Michael Passilla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420" w:val="left"/>
          <w:tab w:leader="none" w:pos="1140" w:val="left"/>
          <w:tab w:leader="none" w:pos="5900" w:val="left"/>
          <w:tab w:leader="none" w:pos="6460" w:val="left"/>
          <w:tab w:leader="none" w:pos="7180" w:val="left"/>
        </w:tabs>
        <w:rPr>
          <w:sz w:val="20"/>
          <w:szCs w:val="20"/>
          <w:color w:val="auto"/>
        </w:rPr>
      </w:pP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244" w:lineRule="exact"/>
        <w:rPr>
          <w:sz w:val="20"/>
          <w:szCs w:val="20"/>
          <w:color w:val="auto"/>
        </w:rPr>
      </w:pPr>
    </w:p>
    <w:p>
      <w:pPr>
        <w:ind w:left="1980" w:right="2720" w:firstLine="6"/>
        <w:spacing w:after="0" w:line="241" w:lineRule="auto"/>
        <w:tabs>
          <w:tab w:leader="none" w:pos="21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 non-binding advisory basis, the compensation of our Named Executive Officers.</w:t>
      </w:r>
    </w:p>
    <w:p>
      <w:pPr>
        <w:spacing w:after="0" w:line="1368" w:lineRule="exact"/>
        <w:rPr>
          <w:sz w:val="20"/>
          <w:szCs w:val="20"/>
          <w:color w:val="auto"/>
        </w:rPr>
      </w:pPr>
    </w:p>
    <w:p>
      <w:pPr>
        <w:sectPr>
          <w:pgSz w:w="11900" w:h="16838" w:orient="portrait"/>
          <w:cols w:equalWidth="0" w:num="2">
            <w:col w:w="2700" w:space="720"/>
            <w:col w:w="7660"/>
          </w:cols>
          <w:pgMar w:left="340" w:top="92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w:t>
      </w:r>
    </w:p>
    <w:p>
      <w:pPr>
        <w:spacing w:after="0"/>
        <w:rPr>
          <w:sz w:val="20"/>
          <w:szCs w:val="20"/>
          <w:color w:val="auto"/>
        </w:rPr>
      </w:pPr>
      <w:r>
        <w:rPr>
          <w:rFonts w:ascii="Times New Roman" w:cs="Times New Roman" w:eastAsia="Times New Roman" w:hAnsi="Times New Roman"/>
          <w:sz w:val="14"/>
          <w:szCs w:val="14"/>
          <w:b w:val="1"/>
          <w:bCs w:val="1"/>
          <w:color w:val="auto"/>
        </w:rPr>
        <w:t>FOR proposals 2, 3, and 4.</w:t>
      </w:r>
    </w:p>
    <w:p>
      <w:pPr>
        <w:sectPr>
          <w:pgSz w:w="11900" w:h="16838" w:orient="portrait"/>
          <w:cols w:equalWidth="0" w:num="1">
            <w:col w:w="11080"/>
          </w:cols>
          <w:pgMar w:left="340" w:top="925" w:right="479" w:bottom="1440" w:gutter="0" w:footer="0" w:header="0"/>
          <w:type w:val="continuous"/>
        </w:sectPr>
      </w:pPr>
    </w:p>
    <w:p>
      <w:pPr>
        <w:spacing w:after="0" w:line="228" w:lineRule="exact"/>
        <w:rPr>
          <w:sz w:val="20"/>
          <w:szCs w:val="20"/>
          <w:color w:val="auto"/>
        </w:rPr>
      </w:pPr>
    </w:p>
    <w:p>
      <w:pPr>
        <w:ind w:right="140" w:firstLine="6"/>
        <w:spacing w:after="0" w:line="241" w:lineRule="auto"/>
        <w:tabs>
          <w:tab w:leader="none" w:pos="1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Amendment 2 to Priority Technology Holdings, Inc. 2018 Equity Incentive Plan</w:t>
      </w:r>
    </w:p>
    <w:p>
      <w:pPr>
        <w:spacing w:after="0" w:line="200" w:lineRule="exact"/>
        <w:rPr>
          <w:sz w:val="20"/>
          <w:szCs w:val="20"/>
          <w:color w:val="auto"/>
        </w:rPr>
      </w:pPr>
    </w:p>
    <w:p>
      <w:pPr>
        <w:spacing w:after="0" w:line="300"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w:t>
      </w:r>
    </w:p>
    <w:p>
      <w:pPr>
        <w:spacing w:after="0" w:line="221" w:lineRule="auto"/>
        <w:rPr>
          <w:sz w:val="20"/>
          <w:szCs w:val="20"/>
          <w:color w:val="auto"/>
        </w:rPr>
      </w:pPr>
      <w:r>
        <w:rPr>
          <w:rFonts w:ascii="Times New Roman" w:cs="Times New Roman" w:eastAsia="Times New Roman" w:hAnsi="Times New Roman"/>
          <w:sz w:val="14"/>
          <w:szCs w:val="14"/>
          <w:color w:val="auto"/>
        </w:rPr>
        <w:t>other fiduciary, please give full title as such. Joint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4"/>
          <w:szCs w:val="14"/>
          <w:color w:val="auto"/>
        </w:rPr>
        <w:t>owners should each sign personally. All holders must sign. If a corporation or partnership, please sign in full</w:t>
      </w:r>
    </w:p>
    <w:p>
      <w:pPr>
        <w:spacing w:after="0"/>
        <w:rPr>
          <w:sz w:val="20"/>
          <w:szCs w:val="20"/>
          <w:color w:val="auto"/>
        </w:rPr>
      </w:pPr>
      <w:r>
        <w:rPr>
          <w:rFonts w:ascii="Times New Roman" w:cs="Times New Roman" w:eastAsia="Times New Roman" w:hAnsi="Times New Roman"/>
          <w:sz w:val="14"/>
          <w:szCs w:val="14"/>
          <w:color w:val="auto"/>
        </w:rPr>
        <w:t>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2846070" cy="248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420" w:val="left"/>
          <w:tab w:leader="none" w:pos="1140" w:val="left"/>
          <w:tab w:leader="none" w:pos="5900" w:val="left"/>
          <w:tab w:leader="none" w:pos="6460" w:val="left"/>
          <w:tab w:leader="none" w:pos="7180" w:val="left"/>
        </w:tabs>
        <w:rPr>
          <w:sz w:val="20"/>
          <w:szCs w:val="20"/>
          <w:color w:val="auto"/>
        </w:rPr>
      </w:pP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42" w:lineRule="exact"/>
        <w:rPr>
          <w:sz w:val="20"/>
          <w:szCs w:val="20"/>
          <w:color w:val="auto"/>
        </w:rPr>
      </w:pPr>
    </w:p>
    <w:p>
      <w:pPr>
        <w:ind w:left="1980" w:right="2680" w:firstLine="6"/>
        <w:spacing w:after="0" w:line="231" w:lineRule="auto"/>
        <w:tabs>
          <w:tab w:leader="none" w:pos="21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KPMG LLP as the Company's independent registered public accounting firm for the year ending December 31, 2026.</w:t>
      </w:r>
    </w:p>
    <w:p>
      <w:pPr>
        <w:spacing w:after="0" w:line="200" w:lineRule="exact"/>
        <w:rPr>
          <w:sz w:val="20"/>
          <w:szCs w:val="20"/>
          <w:color w:val="auto"/>
        </w:rPr>
      </w:pPr>
    </w:p>
    <w:p>
      <w:pPr>
        <w:spacing w:after="0" w:line="34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NOTE: To consider such other business as may</w:t>
      </w:r>
    </w:p>
    <w:p>
      <w:pPr>
        <w:ind w:left="1980"/>
        <w:spacing w:after="0" w:line="221" w:lineRule="auto"/>
        <w:rPr>
          <w:sz w:val="20"/>
          <w:szCs w:val="20"/>
          <w:color w:val="auto"/>
        </w:rPr>
      </w:pPr>
      <w:r>
        <w:rPr>
          <w:rFonts w:ascii="Times New Roman" w:cs="Times New Roman" w:eastAsia="Times New Roman" w:hAnsi="Times New Roman"/>
          <w:sz w:val="14"/>
          <w:szCs w:val="14"/>
          <w:color w:val="auto"/>
        </w:rPr>
        <w:t>properly come before the Annual Meeting and any</w:t>
      </w:r>
    </w:p>
    <w:p>
      <w:pPr>
        <w:ind w:left="1980"/>
        <w:spacing w:after="0"/>
        <w:rPr>
          <w:sz w:val="20"/>
          <w:szCs w:val="20"/>
          <w:color w:val="auto"/>
        </w:rPr>
      </w:pPr>
      <w:r>
        <w:rPr>
          <w:rFonts w:ascii="Times New Roman" w:cs="Times New Roman" w:eastAsia="Times New Roman" w:hAnsi="Times New Roman"/>
          <w:sz w:val="14"/>
          <w:szCs w:val="14"/>
          <w:color w:val="auto"/>
        </w:rPr>
        <w:t>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399415</wp:posOffset>
            </wp:positionV>
            <wp:extent cx="3240405" cy="248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40405" cy="24828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3140" w:space="280"/>
            <w:col w:w="7660"/>
          </w:cols>
          <w:pgMar w:left="340" w:top="92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25" w:right="47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11, 2026 9:30 A.M. Eastern Daylight Time</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310" w:lineRule="exact"/>
        <w:rPr>
          <w:sz w:val="20"/>
          <w:szCs w:val="20"/>
          <w:color w:val="auto"/>
        </w:rPr>
      </w:pPr>
    </w:p>
    <w:p>
      <w:pPr>
        <w:jc w:val="both"/>
        <w:ind w:right="120"/>
        <w:spacing w:after="0" w:line="369"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www.virtualshareholdermeeting.com/PRTH2026 or any adjournment or postponement thereof, with all powers which the undersigned would possess if present at the meeting.</w:t>
      </w:r>
    </w:p>
    <w:p>
      <w:pPr>
        <w:spacing w:after="0" w:line="179"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3, AND 4,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36</w:t>
      </w:r>
    </w:p>
    <w:sectPr>
      <w:pgSz w:w="11900" w:h="16838" w:orient="portrait"/>
      <w:cols w:equalWidth="0" w:num="1">
        <w:col w:w="11120"/>
      </w:cols>
      <w:pgMar w:left="44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lvl w:ilvl="1">
      <w:lvlJc w:val="left"/>
      <w:lvlText w:val="%2."/>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3"/>
    </w:lvl>
  </w:abstractNum>
  <w:abstractNum w:abstractNumId="21">
    <w:nsid w:val="2443A858"/>
    <w:multiLevelType w:val="hybridMultilevel"/>
    <w:lvl w:ilvl="0">
      <w:lvlJc w:val="left"/>
      <w:lvlText w:val="%1."/>
      <w:numFmt w:val="decimal"/>
      <w:start w:val="2"/>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2026-04-28T14:01:12Z</dcterms:created>
  <dcterms:modified xsi:type="dcterms:W3CDTF">2026-04-28T14:01:12Z</dcterms:modified>
</cp:coreProperties>
</file>