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780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MILLER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General Counsel and CRO</w:t>
            </w:r>
          </w:p>
        </w:tc>
        <w:tc>
          <w:tcPr>
            <w:tcW w:w="0" w:type="dxa"/>
            <w:vAlign w:val="bottom"/>
          </w:tcPr>
          <w:p>
            <w:pPr>
              <w:spacing w:after="0"/>
              <w:rPr>
                <w:sz w:val="1"/>
                <w:szCs w:val="1"/>
                <w:color w:val="auto"/>
              </w:rPr>
            </w:pPr>
          </w:p>
        </w:tc>
      </w:tr>
      <w:tr>
        <w:trPr>
          <w:trHeight w:val="218"/>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09/01/2022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3"/>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303"/>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3"/>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132,395</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right"/>
              <w:ind w:right="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09/01/2022</w:t>
            </w:r>
          </w:p>
        </w:tc>
        <w:tc>
          <w:tcPr>
            <w:tcW w:w="11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21"/>
                <w:szCs w:val="21"/>
                <w:color w:val="auto"/>
              </w:rPr>
            </w:pPr>
          </w:p>
        </w:tc>
        <w:tc>
          <w:tcPr>
            <w:tcW w:w="5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252,300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5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2022, a grant was approved for the Reporting Person for 200,000 restricted stock units which 66,666 vest on February 17, 2023, 66,666 vest on February 17, 2024, and 66,667 vest on February 17, 2025 subject to the Reporting Person's continued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09/06/2022</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5973"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2022-09-06T16:59:56Z</dcterms:created>
  <dcterms:modified xsi:type="dcterms:W3CDTF">2022-09-06T16:59:56Z</dcterms:modified>
</cp:coreProperties>
</file>