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Priore Thomas Charles</w:t>
              </w:r>
            </w:hyperlink>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2"/>
          </w:tcPr>
          <w:p>
            <w:pPr>
              <w:spacing w:after="0" w:line="187" w:lineRule="exact"/>
              <w:rPr>
                <w:rFonts w:ascii="Arial" w:cs="Arial" w:eastAsia="Arial" w:hAnsi="Arial"/>
                <w:sz w:val="21"/>
                <w:szCs w:val="21"/>
                <w:color w:val="0000EE"/>
                <w:w w:val="94"/>
              </w:rPr>
            </w:pPr>
            <w:hyperlink r:id="rId13">
              <w:r>
                <w:rPr>
                  <w:rFonts w:ascii="Arial" w:cs="Arial" w:eastAsia="Arial" w:hAnsi="Arial"/>
                  <w:sz w:val="21"/>
                  <w:szCs w:val="21"/>
                  <w:color w:val="0000EE"/>
                  <w:w w:val="94"/>
                </w:rPr>
                <w:t xml:space="preserve">Priority Technology Holdings, Inc. </w:t>
              </w:r>
            </w:hyperlink>
            <w:r>
              <w:rPr>
                <w:rFonts w:ascii="Arial" w:cs="Arial" w:eastAsia="Arial" w:hAnsi="Arial"/>
                <w:sz w:val="21"/>
                <w:szCs w:val="21"/>
                <w:color w:val="000000"/>
                <w:w w:val="94"/>
              </w:rPr>
              <w:t>[</w:t>
            </w:r>
            <w:r>
              <w:rPr>
                <w:rFonts w:ascii="Arial" w:cs="Arial" w:eastAsia="Arial" w:hAnsi="Arial"/>
                <w:sz w:val="21"/>
                <w:szCs w:val="21"/>
                <w:color w:val="0000EE"/>
                <w:w w:val="94"/>
              </w:rPr>
              <w:t xml:space="preserve"> </w:t>
            </w:r>
            <w:r>
              <w:rPr>
                <w:rFonts w:ascii="Arial" w:cs="Arial" w:eastAsia="Arial" w:hAnsi="Arial"/>
                <w:sz w:val="17"/>
                <w:szCs w:val="17"/>
                <w:color w:val="0000FF"/>
                <w:w w:val="94"/>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gridSpan w:val="3"/>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312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31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2">
            <w:col w:w="7500" w:space="23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tcBorders>
              <w:top w:val="single" w:sz="8" w:color="2C2C2C"/>
            </w:tcBorders>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5"/>
          </w:tcPr>
          <w:p>
            <w:pPr>
              <w:ind w:left="220"/>
              <w:spacing w:after="0"/>
              <w:rPr>
                <w:sz w:val="20"/>
                <w:szCs w:val="20"/>
                <w:color w:val="auto"/>
              </w:rPr>
            </w:pPr>
            <w:r>
              <w:rPr>
                <w:rFonts w:ascii="Arial" w:cs="Arial" w:eastAsia="Arial" w:hAnsi="Arial"/>
                <w:sz w:val="17"/>
                <w:szCs w:val="17"/>
                <w:color w:val="0000FF"/>
                <w:w w:val="90"/>
              </w:rPr>
              <w:t>President, CEO and Chairman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156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05/26/2021</w:t>
            </w: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00" w:type="dxa"/>
            <w:vAlign w:val="bottom"/>
            <w:gridSpan w:val="6"/>
            <w:vMerge w:val="continue"/>
          </w:tcPr>
          <w:p>
            <w:pPr>
              <w:spacing w:after="0"/>
              <w:rPr>
                <w:sz w:val="10"/>
                <w:szCs w:val="10"/>
                <w:color w:val="auto"/>
              </w:rPr>
            </w:pPr>
          </w:p>
        </w:tc>
        <w:tc>
          <w:tcPr>
            <w:tcW w:w="32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9"/>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ind w:left="220"/>
              <w:spacing w:after="0" w:line="101" w:lineRule="exact"/>
              <w:rPr>
                <w:sz w:val="20"/>
                <w:szCs w:val="20"/>
                <w:color w:val="auto"/>
              </w:rPr>
            </w:pPr>
            <w:r>
              <w:rPr>
                <w:rFonts w:ascii="Arial" w:cs="Arial" w:eastAsia="Arial" w:hAnsi="Arial"/>
                <w:sz w:val="11"/>
                <w:szCs w:val="11"/>
                <w:color w:val="auto"/>
              </w:rPr>
              <w:t>Person</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4"/>
          </w:tcPr>
          <w:p>
            <w:pPr>
              <w:ind w:left="820"/>
              <w:spacing w:after="0"/>
              <w:rPr>
                <w:sz w:val="20"/>
                <w:szCs w:val="20"/>
                <w:color w:val="auto"/>
              </w:rPr>
            </w:pPr>
            <w:r>
              <w:rPr>
                <w:rFonts w:ascii="Arial" w:cs="Arial" w:eastAsia="Arial" w:hAnsi="Arial"/>
                <w:sz w:val="17"/>
                <w:szCs w:val="17"/>
                <w:color w:val="0000FF"/>
              </w:rPr>
              <w:t>05/26/2021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Pr>
          <w:p>
            <w:pPr>
              <w:ind w:left="140"/>
              <w:spacing w:after="0"/>
              <w:rPr>
                <w:sz w:val="20"/>
                <w:szCs w:val="20"/>
                <w:color w:val="auto"/>
              </w:rPr>
            </w:pPr>
            <w:r>
              <w:rPr>
                <w:rFonts w:ascii="Arial" w:cs="Arial" w:eastAsia="Arial" w:hAnsi="Arial"/>
                <w:sz w:val="17"/>
                <w:szCs w:val="17"/>
                <w:color w:val="0000FF"/>
                <w:w w:val="97"/>
              </w:rPr>
              <w:t>605,623</w:t>
            </w:r>
          </w:p>
        </w:tc>
        <w:tc>
          <w:tcPr>
            <w:tcW w:w="460" w:type="dxa"/>
            <w:vAlign w:val="bottom"/>
          </w:tcPr>
          <w:p>
            <w:pPr>
              <w:ind w:left="26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3"/>
                <w:szCs w:val="23"/>
                <w:color w:val="auto"/>
              </w:rPr>
            </w:pPr>
          </w:p>
        </w:tc>
        <w:tc>
          <w:tcPr>
            <w:tcW w:w="1300" w:type="dxa"/>
            <w:vAlign w:val="bottom"/>
            <w:gridSpan w:val="3"/>
          </w:tcPr>
          <w:p>
            <w:pPr>
              <w:ind w:left="280"/>
              <w:spacing w:after="0"/>
              <w:rPr>
                <w:sz w:val="20"/>
                <w:szCs w:val="20"/>
                <w:color w:val="auto"/>
              </w:rPr>
            </w:pPr>
            <w:r>
              <w:rPr>
                <w:rFonts w:ascii="Arial" w:cs="Arial" w:eastAsia="Arial" w:hAnsi="Arial"/>
                <w:sz w:val="17"/>
                <w:szCs w:val="17"/>
                <w:color w:val="0000FF"/>
              </w:rPr>
              <w:t>34,218,873</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12,500,000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disposed of 353.3 Preferred Units in Priority Hospitality Technology, LLC in exchange for 605,623 shares of common stock in a negotiated stock exchange.</w:t>
      </w:r>
    </w:p>
    <w:p>
      <w:pPr>
        <w:spacing w:after="0" w:line="50" w:lineRule="exact"/>
        <w:rPr>
          <w:rFonts w:ascii="Arial" w:cs="Arial" w:eastAsia="Arial" w:hAnsi="Arial"/>
          <w:sz w:val="13"/>
          <w:szCs w:val="13"/>
          <w:color w:val="008000"/>
        </w:rPr>
      </w:pPr>
    </w:p>
    <w:p>
      <w:pPr>
        <w:ind w:left="40" w:right="2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Thomas Priore /s/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Incentive Equity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8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LLC, By: Priority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30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Holdings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8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By: /s/ Thomas Priore,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27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2021-05-28T20:58:28Z</dcterms:created>
  <dcterms:modified xsi:type="dcterms:W3CDTF">2021-05-28T20:58:28Z</dcterms:modified>
</cp:coreProperties>
</file>