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 I Acquisitions,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c/o Magna Management LLC</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2"/>
              </w:rPr>
              <w:t>40 Wall Street, 58th Floor</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5"/>
              </w:rPr>
              <w:t>New York, NY</w:t>
            </w:r>
          </w:p>
        </w:tc>
        <w:tc>
          <w:tcPr>
            <w:tcW w:w="94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5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tcPr>
          <w:p>
            <w:pPr>
              <w:jc w:val="center"/>
              <w:ind w:left="83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61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4"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described herein. Information about M I’s directors and executive officers and their ownership of MI’s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MI WILL FILE WITH THE SEC WHEN THEY BECOME AVAILABLE BECAUSE THEY WILL CONTAIN IMPORTANT INFORMATION ABOUT MI,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cpmtibution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Priority was not obtained; (ii) risks related to the ability of M I and Priority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M I; (v) risks related to disruption of management time from ongoing business operations due to the proposed transaction;</w:t>
      </w:r>
    </w:p>
    <w:p>
      <w:pPr>
        <w:spacing w:after="0" w:line="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risk that any announcements relating to the proposed transaction could have adverse effects on the market price of M I’s common stock;</w:t>
      </w:r>
    </w:p>
    <w:p>
      <w:pPr>
        <w:spacing w:after="0" w:line="32" w:lineRule="exact"/>
        <w:rPr>
          <w:rFonts w:ascii="Arial" w:cs="Arial" w:eastAsia="Arial" w:hAnsi="Arial"/>
          <w:sz w:val="16"/>
          <w:szCs w:val="16"/>
          <w:b w:val="1"/>
          <w:bCs w:val="1"/>
          <w:color w:val="auto"/>
        </w:rPr>
      </w:pPr>
    </w:p>
    <w:p>
      <w:pPr>
        <w:ind w:right="40" w:firstLine="8"/>
        <w:spacing w:after="0" w:line="292" w:lineRule="auto"/>
        <w:tabs>
          <w:tab w:leader="none" w:pos="3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(viii) risks related to successfully integrating the businesses of the companies, which may result in the combined company not operating as effectively and efficiently as expected; (ix) the risk that the combined company may be unable to achieve cost-cutting synergies or it may take longer than expected to achieve those synergies; and (x)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20"/>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February 27, 2018, M I Acquisitions, Inc. (“M I”) issued a press release announcing its entry into an agreement relating to a business combination with Priority Holdings, LLC, a leading provider of B2C and B2B payment processing solutions. The press release is attached as 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February 27, 2018.</w:t>
              </w:r>
            </w:hyperlink>
          </w:p>
        </w:tc>
        <w:tc>
          <w:tcPr>
            <w:tcW w:w="7340" w:type="dxa"/>
            <w:vAlign w:val="bottom"/>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Presentation dated February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Priority Holdings, LLC Announces Combination with M I Acquisitions, Inc. to Become a Publicly Traded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Priority Believes Public Currency will Enable it to Access New Sources of Capital and Accelerate Growth</w:t>
      </w:r>
    </w:p>
    <w:p>
      <w:pPr>
        <w:spacing w:after="0" w:line="274" w:lineRule="exact"/>
        <w:rPr>
          <w:sz w:val="20"/>
          <w:szCs w:val="20"/>
          <w:color w:val="auto"/>
        </w:rPr>
      </w:pPr>
    </w:p>
    <w:p>
      <w:pPr>
        <w:ind w:right="280"/>
        <w:spacing w:after="0" w:line="247" w:lineRule="auto"/>
        <w:rPr>
          <w:sz w:val="20"/>
          <w:szCs w:val="20"/>
          <w:color w:val="auto"/>
        </w:rPr>
      </w:pPr>
      <w:r>
        <w:rPr>
          <w:rFonts w:ascii="Arial" w:cs="Arial" w:eastAsia="Arial" w:hAnsi="Arial"/>
          <w:sz w:val="21"/>
          <w:szCs w:val="21"/>
          <w:color w:val="auto"/>
        </w:rPr>
        <w:t>ALPHARETTA, Ga. and NEW YORK, Feb. 27, 2018 /PRNewswire/ -- Priority Holdings, LLC ("Priority" or the "Company"), a leading provider of B2C and B2B payment processing solutions, and M I Acquisitions, Inc. (NASDAQ: MACQU, MACQ, MACQW; "M I"), a Magna-sponsored special purpose acquisition company, announced today that they have entered into a definitive purchase agreement (the "Purchase Agreement"), whereby Priority will combine with M I and be renamed Priority Technology Holdings, Inc. The combined company will apply to continue the listing of its common stock on the Nasdaq Stock Market under the ticker symbol "PRTH." Post transaction, Priority's management team will continue to lead the company and Priority's current equityholders will own over 90% of the combined entity.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Priority Highlights:</w:t>
      </w:r>
    </w:p>
    <w:p>
      <w:pPr>
        <w:spacing w:after="0" w:line="206" w:lineRule="exact"/>
        <w:rPr>
          <w:sz w:val="20"/>
          <w:szCs w:val="20"/>
          <w:color w:val="auto"/>
        </w:rPr>
      </w:pPr>
    </w:p>
    <w:p>
      <w:pPr>
        <w:ind w:left="540" w:right="140"/>
        <w:spacing w:after="0" w:line="239" w:lineRule="auto"/>
        <w:rPr>
          <w:sz w:val="20"/>
          <w:szCs w:val="20"/>
          <w:color w:val="auto"/>
        </w:rPr>
      </w:pPr>
      <w:r>
        <w:rPr>
          <w:rFonts w:ascii="Arial" w:cs="Arial" w:eastAsia="Arial" w:hAnsi="Arial"/>
          <w:sz w:val="22"/>
          <w:szCs w:val="22"/>
          <w:color w:val="auto"/>
        </w:rPr>
        <w:t>Founded in 2005, Priority is a leading provider of consumer and commercial payment solutions, processing over $39 billion of electronic payments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0"/>
        <w:spacing w:after="0" w:line="233" w:lineRule="auto"/>
        <w:rPr>
          <w:sz w:val="20"/>
          <w:szCs w:val="20"/>
          <w:color w:val="auto"/>
        </w:rPr>
      </w:pPr>
      <w:r>
        <w:rPr>
          <w:rFonts w:ascii="Arial" w:cs="Arial" w:eastAsia="Arial" w:hAnsi="Arial"/>
          <w:sz w:val="22"/>
          <w:szCs w:val="22"/>
          <w:color w:val="auto"/>
        </w:rPr>
        <w:t>Since 2015, Priority has grown net revenue and Adjusted EBITDA at compound annual growth rates of 13% and 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-261620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4" w:lineRule="auto"/>
        <w:rPr>
          <w:sz w:val="20"/>
          <w:szCs w:val="20"/>
          <w:color w:val="auto"/>
        </w:rPr>
      </w:pPr>
      <w:r>
        <w:rPr>
          <w:rFonts w:ascii="Arial" w:cs="Arial" w:eastAsia="Arial" w:hAnsi="Arial"/>
          <w:sz w:val="20"/>
          <w:szCs w:val="20"/>
          <w:color w:val="auto"/>
        </w:rPr>
        <w:t>Currently, Priority is the 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largest non-bank merchant acquirer in the United States.</w:t>
      </w:r>
      <w:r>
        <w:rPr>
          <w:rFonts w:ascii="Arial" w:cs="Arial" w:eastAsia="Arial" w:hAnsi="Arial"/>
          <w:sz w:val="33"/>
          <w:szCs w:val="3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Differentiated through purpose built technology,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9"/>
          <w:szCs w:val="19"/>
          <w:i w:val="1"/>
          <w:iCs w:val="1"/>
          <w:color w:val="auto"/>
        </w:rPr>
        <w:t xml:space="preserve">MX </w:t>
      </w:r>
      <w:r>
        <w:rPr>
          <w:rFonts w:ascii="Arial" w:cs="Arial" w:eastAsia="Arial" w:hAnsi="Arial"/>
          <w:sz w:val="19"/>
          <w:szCs w:val="19"/>
          <w:color w:val="auto"/>
        </w:rPr>
        <w:t>platform for B2C payments provides merchants a fully customizable suite of business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-88265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ind w:left="1080" w:right="60"/>
        <w:spacing w:after="0" w:line="230" w:lineRule="auto"/>
        <w:rPr>
          <w:sz w:val="20"/>
          <w:szCs w:val="20"/>
          <w:color w:val="auto"/>
        </w:rPr>
      </w:pPr>
      <w:r>
        <w:rPr>
          <w:rFonts w:ascii="Arial" w:cs="Arial" w:eastAsia="Arial" w:hAnsi="Arial"/>
          <w:sz w:val="22"/>
          <w:szCs w:val="22"/>
          <w:i w:val="1"/>
          <w:iCs w:val="1"/>
          <w:color w:val="auto"/>
        </w:rPr>
        <w:t xml:space="preserve">CPX </w:t>
      </w:r>
      <w:r>
        <w:rPr>
          <w:rFonts w:ascii="Arial" w:cs="Arial" w:eastAsia="Arial" w:hAnsi="Arial"/>
          <w:sz w:val="22"/>
          <w:szCs w:val="22"/>
          <w:color w:val="auto"/>
        </w:rPr>
        <w:t>platform for B2B payments, including</w:t>
      </w:r>
      <w:r>
        <w:rPr>
          <w:rFonts w:ascii="Arial" w:cs="Arial" w:eastAsia="Arial" w:hAnsi="Arial"/>
          <w:sz w:val="22"/>
          <w:szCs w:val="22"/>
          <w:i w:val="1"/>
          <w:iCs w:val="1"/>
          <w:color w:val="auto"/>
        </w:rPr>
        <w:t xml:space="preserve"> CPX </w:t>
      </w:r>
      <w:r>
        <w:rPr>
          <w:rFonts w:ascii="Arial" w:cs="Arial" w:eastAsia="Arial" w:hAnsi="Arial"/>
          <w:sz w:val="22"/>
          <w:szCs w:val="22"/>
          <w:color w:val="auto"/>
        </w:rPr>
        <w:t>Gateway, provides businesses a complete suite of AP automation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electronic payment options to digitize commercial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22"/>
          <w:szCs w:val="22"/>
          <w:color w:val="auto"/>
        </w:rPr>
        <w:t>Recurring, transaction-based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-106680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5" w:lineRule="auto"/>
        <w:rPr>
          <w:sz w:val="20"/>
          <w:szCs w:val="20"/>
          <w:color w:val="auto"/>
        </w:rPr>
      </w:pPr>
      <w:r>
        <w:rPr>
          <w:rFonts w:ascii="Arial" w:cs="Arial" w:eastAsia="Arial" w:hAnsi="Arial"/>
          <w:sz w:val="20"/>
          <w:szCs w:val="20"/>
          <w:color w:val="auto"/>
        </w:rPr>
        <w:t>Free cash flow conversion rate of 90%+ in 2017</w:t>
      </w:r>
      <w:r>
        <w:rPr>
          <w:rFonts w:ascii="Arial" w:cs="Arial" w:eastAsia="Arial" w:hAnsi="Arial"/>
          <w:sz w:val="33"/>
          <w:szCs w:val="3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Attractive track record, with multiple avenues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21"/>
          <w:szCs w:val="21"/>
          <w:color w:val="auto"/>
        </w:rPr>
        <w:t>Organic: inherent growth of B2C and B2B electronic payments growth; new clients; new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2" w:lineRule="auto"/>
        <w:rPr>
          <w:sz w:val="20"/>
          <w:szCs w:val="20"/>
          <w:color w:val="auto"/>
        </w:rPr>
      </w:pPr>
      <w:r>
        <w:rPr>
          <w:rFonts w:ascii="Arial" w:cs="Arial" w:eastAsia="Arial" w:hAnsi="Arial"/>
          <w:sz w:val="22"/>
          <w:szCs w:val="22"/>
          <w:color w:val="auto"/>
        </w:rPr>
        <w:t>Accretive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Led by payment and technology industry 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Priority's current equityholders are expected to own over 90%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Anticipated initial enterprise value in excess of $1 billion, implying a 12.5x multiple on forecasted 2018 pro forma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EBITDA</w:t>
      </w:r>
      <w:r>
        <w:rPr>
          <w:rFonts w:ascii="Arial" w:cs="Arial" w:eastAsia="Arial" w:hAnsi="Arial"/>
          <w:sz w:val="36"/>
          <w:szCs w:val="36"/>
          <w:color w:val="auto"/>
          <w:vertAlign w:val="superscript"/>
        </w:rPr>
        <w:t>3</w:t>
      </w:r>
    </w:p>
    <w:p>
      <w:pPr>
        <w:spacing w:after="0" w:line="7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Thomas C. Priore, Executive Chairman of Priority Holdings, LLC, said "executing the transaction with M I provides a key foundational element to execute on our growth strategy. Since inception, we have diligently focused on building a scalable, highly differentiated technology platform that delivers a value-added suite of payment and business solutions to our consumer and commercial payment clients. By establishing a public currency, coupled with our strong institutional debt presence and agile, cloud operating systems, we believe we are uniquely positioned as a consolidating platform company targeting payments and payment enabled software opportunities. That is why we are committing all of our equity to this strategy and are highly motivated to drive returns for our incoming investors."</w:t>
      </w:r>
    </w:p>
    <w:p>
      <w:pPr>
        <w:spacing w:after="0" w:line="191"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Josh Sason, Chairman and CEO of M I Acquisitions commented "We met with over one hundred and fifty companies during our search process, and remained patient to do a deal with a company that we were confident would create substantial value for stockholders over the long run. We are pleased to be teaming with Tom and his team at Priority. The Company has demonstrated strong growth since its founding. While many of the leading companies in the space have been backed by private equity, Priority is controlled by management and has remained highly efficient as it has grown. We are extremely impressed with its ability to service 174,000 merchants, while onboarding 4,000 new merchants a month in 2017. Furthermore, the opportunity in the B2B space is large, and we believe Priority is extremely well positioned."</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Additional information about Priority Holdings, LLC operations and financial performance is contained in the investor presentation that will be furnished by M I via a Current Report on Form 8-K (the "Investor Presentation") today with the Securities and Exchange Commission ("SEC"), and which can be viewed at the SEC website at </w:t>
      </w:r>
      <w:r>
        <w:rPr>
          <w:rFonts w:ascii="Arial" w:cs="Arial" w:eastAsia="Arial" w:hAnsi="Arial"/>
          <w:sz w:val="22"/>
          <w:szCs w:val="22"/>
          <w:u w:val="single" w:color="auto"/>
          <w:color w:val="auto"/>
        </w:rPr>
        <w:t>www.sec.gov</w:t>
      </w:r>
      <w:r>
        <w:rPr>
          <w:rFonts w:ascii="Arial" w:cs="Arial" w:eastAsia="Arial" w:hAnsi="Arial"/>
          <w:sz w:val="22"/>
          <w:szCs w:val="22"/>
          <w:color w:val="auto"/>
        </w:rPr>
        <w:t xml:space="preserve"> or on M I's website at </w:t>
      </w:r>
      <w:r>
        <w:rPr>
          <w:rFonts w:ascii="Arial" w:cs="Arial" w:eastAsia="Arial" w:hAnsi="Arial"/>
          <w:sz w:val="22"/>
          <w:szCs w:val="22"/>
          <w:u w:val="single" w:color="auto"/>
          <w:color w:val="auto"/>
        </w:rPr>
        <w:t>www.miacquisitions.com</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Transaction</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M I will combine with Priority at an enterprise value in excess of $1 billion, based on forecasted 2018 pro forma Adjusted EBITDA, with an equity value of approximately $690 million. Existing Priority equityholders will roll 100% of their equity into the combined company, resulting in expected pro forma ownership of over 90%. The transaction is expected to close in June 2018, pending M I stockholder approval, the receipt of proceeds from the proposed financing activities and other customary closing conditions. Additional information about the transaction, as well as Priority's operations and financial information is contained in the Investor Presentation. Interested parties should visit the SEC website at www.sec.gov.</w:t>
      </w:r>
    </w:p>
    <w:p>
      <w:pPr>
        <w:sectPr>
          <w:pgSz w:w="11900" w:h="16838" w:orient="portrait"/>
          <w:cols w:equalWidth="0" w:num="1">
            <w:col w:w="11420"/>
          </w:cols>
          <w:pgMar w:left="240" w:top="112" w:right="239" w:bottom="113" w:gutter="0" w:footer="0" w:header="0"/>
        </w:sectPr>
      </w:pPr>
    </w:p>
    <w:bookmarkStart w:id="5" w:name="page6"/>
    <w:bookmarkEnd w:id="5"/>
    <w:p>
      <w:pPr>
        <w:jc w:val="both"/>
        <w:ind w:right="440"/>
        <w:spacing w:after="0" w:line="335" w:lineRule="auto"/>
        <w:rPr>
          <w:sz w:val="20"/>
          <w:szCs w:val="20"/>
          <w:color w:val="auto"/>
        </w:rPr>
      </w:pPr>
      <w:r>
        <w:rPr>
          <w:rFonts w:ascii="Arial" w:cs="Arial" w:eastAsia="Arial" w:hAnsi="Arial"/>
          <w:sz w:val="19"/>
          <w:szCs w:val="19"/>
          <w:b w:val="1"/>
          <w:bCs w:val="1"/>
          <w:color w:val="auto"/>
        </w:rPr>
        <w:t>The description of the transaction contained herein is only a summary and is qualified in its entirety by reference to the Purchase Agreement, a copy of which will be filed by M I with the SEC as an exhibit to a Current Report on Form 8-K.</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Advisors</w:t>
      </w:r>
    </w:p>
    <w:p>
      <w:pPr>
        <w:spacing w:after="0" w:line="212" w:lineRule="exact"/>
        <w:rPr>
          <w:sz w:val="20"/>
          <w:szCs w:val="20"/>
          <w:color w:val="auto"/>
        </w:rPr>
      </w:pPr>
    </w:p>
    <w:p>
      <w:pPr>
        <w:jc w:val="both"/>
        <w:ind w:right="520"/>
        <w:spacing w:after="0" w:line="328" w:lineRule="auto"/>
        <w:rPr>
          <w:sz w:val="20"/>
          <w:szCs w:val="20"/>
          <w:color w:val="auto"/>
        </w:rPr>
      </w:pPr>
      <w:r>
        <w:rPr>
          <w:rFonts w:ascii="Arial" w:cs="Arial" w:eastAsia="Arial" w:hAnsi="Arial"/>
          <w:sz w:val="19"/>
          <w:szCs w:val="19"/>
          <w:color w:val="auto"/>
        </w:rPr>
        <w:t>Cowen and Company acted as exclusive strategic and financial advisor to Priority Holdings, LLC; Chardan acted as exclusive advisor to M I; Schulte Roth &amp; Zabel LLP acted as legal counsel to Priority; Loeb &amp; Loeb LLP acted as legal counsel to M I.</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 I Acquisitions</w:t>
      </w:r>
      <w:r>
        <w:rPr>
          <w:rFonts w:ascii="Arial" w:cs="Arial" w:eastAsia="Arial" w:hAnsi="Arial"/>
          <w:sz w:val="22"/>
          <w:szCs w:val="22"/>
          <w:color w:val="auto"/>
        </w:rPr>
        <w:t>:</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Priority Holdings, LLC</w:t>
      </w:r>
      <w:r>
        <w:rPr>
          <w:rFonts w:ascii="Arial" w:cs="Arial" w:eastAsia="Arial" w:hAnsi="Arial"/>
          <w:sz w:val="22"/>
          <w:szCs w:val="22"/>
          <w:u w:val="single" w:color="auto"/>
          <w:color w:val="auto"/>
        </w:rPr>
        <w:t>:</w:t>
      </w:r>
    </w:p>
    <w:p>
      <w:pPr>
        <w:spacing w:after="0" w:line="212" w:lineRule="exact"/>
        <w:rPr>
          <w:sz w:val="20"/>
          <w:szCs w:val="20"/>
          <w:color w:val="auto"/>
        </w:rPr>
      </w:pPr>
    </w:p>
    <w:p>
      <w:pPr>
        <w:ind w:right="440"/>
        <w:spacing w:after="0" w:line="279" w:lineRule="auto"/>
        <w:rPr>
          <w:sz w:val="20"/>
          <w:szCs w:val="20"/>
          <w:color w:val="auto"/>
        </w:rPr>
      </w:pPr>
      <w:r>
        <w:rPr>
          <w:rFonts w:ascii="Arial" w:cs="Arial" w:eastAsia="Arial" w:hAnsi="Arial"/>
          <w:sz w:val="19"/>
          <w:szCs w:val="19"/>
          <w:color w:val="auto"/>
        </w:rPr>
        <w:t>With headquarters in Alpharetta, GA, Priority is one of the fastest growing payments companies in the U.S. The Company was founded in 2005, with a mission to build a merchant inspired payments platform that would advance the goals of its SMB and</w:t>
      </w:r>
    </w:p>
    <w:p>
      <w:pPr>
        <w:spacing w:after="0" w:line="1" w:lineRule="exact"/>
        <w:rPr>
          <w:sz w:val="20"/>
          <w:szCs w:val="20"/>
          <w:color w:val="auto"/>
        </w:rPr>
      </w:pPr>
    </w:p>
    <w:p>
      <w:pPr>
        <w:ind w:right="180"/>
        <w:spacing w:after="0" w:line="218" w:lineRule="auto"/>
        <w:rPr>
          <w:sz w:val="20"/>
          <w:szCs w:val="20"/>
          <w:color w:val="auto"/>
        </w:rPr>
      </w:pPr>
      <w:r>
        <w:rPr>
          <w:rFonts w:ascii="Arial" w:cs="Arial" w:eastAsia="Arial" w:hAnsi="Arial"/>
          <w:sz w:val="22"/>
          <w:szCs w:val="22"/>
          <w:color w:val="auto"/>
        </w:rPr>
        <w:t>enterprise business partners. Processing over $39 billion of payment volume in 2017, Priority is currently the 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largest non-bank merchant acquirer in the United States.</w:t>
      </w:r>
      <w:r>
        <w:rPr>
          <w:rFonts w:ascii="Arial" w:cs="Arial" w:eastAsia="Arial" w:hAnsi="Arial"/>
          <w:sz w:val="36"/>
          <w:szCs w:val="36"/>
          <w:color w:val="auto"/>
          <w:vertAlign w:val="superscript"/>
        </w:rPr>
        <w:t>4</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Important Notice Regarding Forward-Looking Statements and Non-GAAP Measures</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This press release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Priority was not obtained; (ii) risks related to the ability of M I and Priority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M I; (v) risks related to disruption of management time from ongoing business operations due to the proposed transaction; (vi) the risk that any announcements relating to the proposed transaction could have adverse effects on the market price of M I's common stock; (vii)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(viii) risks related to successfully integrating the businesses of the companies, which may result in the combined company not operating as effectively and efficiently as expected;</w:t>
      </w:r>
    </w:p>
    <w:p>
      <w:pPr>
        <w:spacing w:after="0" w:line="5" w:lineRule="exact"/>
        <w:rPr>
          <w:sz w:val="20"/>
          <w:szCs w:val="20"/>
          <w:color w:val="auto"/>
        </w:rPr>
      </w:pPr>
    </w:p>
    <w:p>
      <w:pPr>
        <w:ind w:right="440" w:firstLine="8"/>
        <w:spacing w:after="0" w:line="256" w:lineRule="auto"/>
        <w:tabs>
          <w:tab w:leader="none" w:pos="36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risk that the combined company may be unable to achieve cost-cutting synergies or it may take longer than expected to achieve those synergies; and (x) risks associated with the financing of the proposed transaction.</w:t>
      </w:r>
    </w:p>
    <w:p>
      <w:pPr>
        <w:spacing w:after="0" w:line="169"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9"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Adjusted EBITDA is not calculated in accordance with U.S. GAAP. It is a performance measure that provides supplemental information that M I and Priority believe is useful to analysts and investors to evaluate ongoing results of operations, when</w:t>
      </w:r>
    </w:p>
    <w:p>
      <w:pPr>
        <w:sectPr>
          <w:pgSz w:w="11900" w:h="16838" w:orient="portrait"/>
          <w:cols w:equalWidth="0" w:num="1">
            <w:col w:w="11420"/>
          </w:cols>
          <w:pgMar w:left="240" w:top="111" w:right="239" w:bottom="0" w:gutter="0" w:footer="0" w:header="0"/>
        </w:sectPr>
      </w:pPr>
    </w:p>
    <w:bookmarkStart w:id="6" w:name="page7"/>
    <w:bookmarkEnd w:id="6"/>
    <w:p>
      <w:pPr>
        <w:ind w:right="180"/>
        <w:spacing w:after="0" w:line="274" w:lineRule="auto"/>
        <w:rPr>
          <w:sz w:val="20"/>
          <w:szCs w:val="20"/>
          <w:color w:val="auto"/>
        </w:rPr>
      </w:pPr>
      <w:r>
        <w:rPr>
          <w:rFonts w:ascii="Arial" w:cs="Arial" w:eastAsia="Arial" w:hAnsi="Arial"/>
          <w:sz w:val="19"/>
          <w:szCs w:val="19"/>
          <w:color w:val="auto"/>
        </w:rPr>
        <w:t>considered alongside GAAP measures such as net income, operating income and gross profit. Adjusted EBITDA excludes the financial impact of items management does not consider in assessing the ongoing operating performance of M I, Priority, or the combined company, and thereby facilitates review of its operating performance on a period-to-period basis. Other companies may have different capital structures or different lease terms, and comparability to the results of operations of M I, Priority or the combined company may be impacted by the effects of acquisition accounting on its depreciation and amortization. As a result of the effects of these factors and factors specific to other companies, M I and Priority believe Adjusted EBITDA provides helpful information to analysts and investors to facilitate a comparison of their operating performance to that of other companies. The presentation of Adjusted EBITDA in this press release should not be construed as an inference that the Company's future results will be unaffected by unusual or non-recurring items.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Information and Where to Find It</w:t>
      </w:r>
    </w:p>
    <w:p>
      <w:pPr>
        <w:spacing w:after="0" w:line="212"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t>
      </w:r>
      <w:r>
        <w:rPr>
          <w:rFonts w:ascii="Arial" w:cs="Arial" w:eastAsia="Arial" w:hAnsi="Arial"/>
          <w:sz w:val="19"/>
          <w:szCs w:val="19"/>
          <w:i w:val="1"/>
          <w:iCs w:val="1"/>
          <w:color w:val="auto"/>
        </w:rPr>
        <w:t>www.sec.gov</w:t>
      </w:r>
      <w:r>
        <w:rPr>
          <w:rFonts w:ascii="Arial" w:cs="Arial" w:eastAsia="Arial" w:hAnsi="Arial"/>
          <w:sz w:val="19"/>
          <w:szCs w:val="19"/>
          <w:color w:val="auto"/>
        </w:rPr>
        <w:t>) or at M I's website (</w:t>
      </w:r>
      <w:r>
        <w:rPr>
          <w:rFonts w:ascii="Arial" w:cs="Arial" w:eastAsia="Arial" w:hAnsi="Arial"/>
          <w:sz w:val="19"/>
          <w:szCs w:val="19"/>
          <w:i w:val="1"/>
          <w:iCs w:val="1"/>
          <w:color w:val="auto"/>
        </w:rPr>
        <w:t>www.miacquisitions.com</w:t>
      </w:r>
      <w:r>
        <w:rPr>
          <w:rFonts w:ascii="Arial" w:cs="Arial" w:eastAsia="Arial" w:hAnsi="Arial"/>
          <w:sz w:val="19"/>
          <w:szCs w:val="19"/>
          <w:color w:val="auto"/>
        </w:rPr>
        <w:t>) or by writing to M I, c/o Magna Management LLC, 40 Wall Street, 58th Floor, New York, NY 10005.</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Participants in Solicitation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Company,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36"/>
          <w:szCs w:val="36"/>
          <w:color w:val="auto"/>
          <w:vertAlign w:val="superscript"/>
        </w:rPr>
      </w:pPr>
      <w:r>
        <w:rPr>
          <w:rFonts w:ascii="Arial" w:cs="Arial" w:eastAsia="Arial" w:hAnsi="Arial"/>
          <w:sz w:val="22"/>
          <w:szCs w:val="22"/>
          <w:color w:val="auto"/>
        </w:rPr>
        <w:t>Source: The Nilson Report; adjusted to reflect recent merger of two non-bank acquirers.</w:t>
      </w:r>
    </w:p>
    <w:p>
      <w:pPr>
        <w:spacing w:after="0" w:line="40" w:lineRule="exact"/>
        <w:rPr>
          <w:rFonts w:ascii="Arial" w:cs="Arial" w:eastAsia="Arial" w:hAnsi="Arial"/>
          <w:sz w:val="36"/>
          <w:szCs w:val="36"/>
          <w:color w:val="auto"/>
          <w:vertAlign w:val="superscript"/>
        </w:rPr>
      </w:pPr>
    </w:p>
    <w:p>
      <w:pPr>
        <w:spacing w:after="0" w:line="185" w:lineRule="auto"/>
        <w:rPr>
          <w:rFonts w:ascii="Arial" w:cs="Arial" w:eastAsia="Arial" w:hAnsi="Arial"/>
          <w:sz w:val="36"/>
          <w:szCs w:val="36"/>
          <w:color w:val="auto"/>
          <w:vertAlign w:val="superscript"/>
        </w:rPr>
      </w:pPr>
      <w:r>
        <w:rPr>
          <w:rFonts w:ascii="Arial" w:cs="Arial" w:eastAsia="Arial" w:hAnsi="Arial"/>
          <w:sz w:val="28"/>
          <w:szCs w:val="28"/>
          <w:color w:val="auto"/>
          <w:vertAlign w:val="superscript"/>
        </w:rPr>
        <w:t>2</w:t>
      </w:r>
      <w:r>
        <w:rPr>
          <w:rFonts w:ascii="Arial" w:cs="Arial" w:eastAsia="Arial" w:hAnsi="Arial"/>
          <w:sz w:val="18"/>
          <w:szCs w:val="18"/>
          <w:color w:val="auto"/>
        </w:rPr>
        <w:t xml:space="preserve"> Free cash flow conversion is defined as (Adj. EBITDA - CAPEX) / Adj. EBITDA.</w:t>
      </w:r>
    </w:p>
    <w:p>
      <w:pPr>
        <w:spacing w:after="0" w:line="31" w:lineRule="exact"/>
        <w:rPr>
          <w:sz w:val="20"/>
          <w:szCs w:val="20"/>
          <w:color w:val="auto"/>
        </w:rPr>
      </w:pPr>
    </w:p>
    <w:p>
      <w:pPr>
        <w:ind w:right="160" w:firstLine="8"/>
        <w:spacing w:after="0" w:line="198" w:lineRule="auto"/>
        <w:tabs>
          <w:tab w:leader="none" w:pos="144"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Anticipated initial enterprise value based on cash in trust price of $10.30 per share (not including interest earned on the trust account and any funds deposited in the trust account to extend the time M I has to complete a business combination) and expected cash and debt balances at close.</w:t>
      </w:r>
    </w:p>
    <w:p>
      <w:pPr>
        <w:spacing w:after="0" w:line="1" w:lineRule="exact"/>
        <w:rPr>
          <w:rFonts w:ascii="Arial" w:cs="Arial" w:eastAsia="Arial" w:hAnsi="Arial"/>
          <w:sz w:val="36"/>
          <w:szCs w:val="36"/>
          <w:color w:val="auto"/>
          <w:vertAlign w:val="superscript"/>
        </w:rPr>
      </w:pPr>
    </w:p>
    <w:p>
      <w:pPr>
        <w:spacing w:after="0"/>
        <w:rPr>
          <w:rFonts w:ascii="Arial" w:cs="Arial" w:eastAsia="Arial" w:hAnsi="Arial"/>
          <w:sz w:val="36"/>
          <w:szCs w:val="36"/>
          <w:color w:val="auto"/>
          <w:vertAlign w:val="superscript"/>
        </w:rPr>
      </w:pPr>
      <w:r>
        <w:rPr>
          <w:rFonts w:ascii="Arial" w:cs="Arial" w:eastAsia="Arial" w:hAnsi="Arial"/>
          <w:sz w:val="36"/>
          <w:szCs w:val="36"/>
          <w:color w:val="auto"/>
          <w:vertAlign w:val="superscript"/>
        </w:rPr>
        <w:t>4</w:t>
      </w:r>
      <w:r>
        <w:rPr>
          <w:rFonts w:ascii="Arial" w:cs="Arial" w:eastAsia="Arial" w:hAnsi="Arial"/>
          <w:sz w:val="22"/>
          <w:szCs w:val="22"/>
          <w:color w:val="auto"/>
        </w:rPr>
        <w:t xml:space="preserve"> Source: The Nilson Report; adjusted to reflect recent merger of two non-bank acquirers.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 Andrew Reggev : Vice President, Magna, T : +1 (347) 491-4240, E : andrew.reggev@mag.na</w:t>
      </w:r>
    </w:p>
    <w:p>
      <w:pPr>
        <w:sectPr>
          <w:pgSz w:w="11900" w:h="16838" w:orient="portrait"/>
          <w:cols w:equalWidth="0" w:num="1">
            <w:col w:w="11420"/>
          </w:cols>
          <w:pgMar w:left="240" w:top="118" w:right="239" w:bottom="1440" w:gutter="0" w:footer="0" w:header="0"/>
        </w:sectPr>
      </w:pPr>
    </w:p>
    <w:bookmarkStart w:id="7" w:name="page8"/>
    <w:bookmarkEnd w:id="7"/>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574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6014720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6"/>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9"/>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2020-01-14T11:43:38Z</dcterms:created>
  <dcterms:modified xsi:type="dcterms:W3CDTF">2020-01-14T11:43:38Z</dcterms:modified>
</cp:coreProperties>
</file>