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September 19, 2016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 I Acquisitions,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jc w:val="center"/>
              <w:ind w:right="1100"/>
              <w:spacing w:after="0"/>
              <w:rPr>
                <w:sz w:val="20"/>
                <w:szCs w:val="20"/>
                <w:color w:val="auto"/>
              </w:rPr>
            </w:pPr>
            <w:r>
              <w:rPr>
                <w:rFonts w:ascii="Arial" w:cs="Arial" w:eastAsia="Arial" w:hAnsi="Arial"/>
                <w:sz w:val="18"/>
                <w:szCs w:val="18"/>
                <w:b w:val="1"/>
                <w:bCs w:val="1"/>
                <w:color w:val="auto"/>
                <w:w w:val="91"/>
              </w:rPr>
              <w:t>Delaware</w:t>
            </w:r>
          </w:p>
        </w:tc>
        <w:tc>
          <w:tcPr>
            <w:tcW w:w="3360" w:type="dxa"/>
            <w:vAlign w:val="bottom"/>
            <w:gridSpan w:val="3"/>
          </w:tcPr>
          <w:p>
            <w:pPr>
              <w:jc w:val="right"/>
              <w:ind w:right="1780"/>
              <w:spacing w:after="0"/>
              <w:rPr>
                <w:sz w:val="20"/>
                <w:szCs w:val="20"/>
                <w:color w:val="auto"/>
              </w:rPr>
            </w:pPr>
            <w:r>
              <w:rPr>
                <w:rFonts w:ascii="Arial" w:cs="Arial" w:eastAsia="Arial" w:hAnsi="Arial"/>
                <w:sz w:val="18"/>
                <w:szCs w:val="18"/>
                <w:b w:val="1"/>
                <w:bCs w:val="1"/>
                <w:color w:val="auto"/>
              </w:rPr>
              <w:t>001-37872</w:t>
            </w:r>
          </w:p>
        </w:tc>
        <w:tc>
          <w:tcPr>
            <w:tcW w:w="100" w:type="dxa"/>
            <w:vAlign w:val="bottom"/>
          </w:tcPr>
          <w:p>
            <w:pPr>
              <w:spacing w:after="0"/>
              <w:rPr>
                <w:sz w:val="20"/>
                <w:szCs w:val="20"/>
                <w:color w:val="auto"/>
              </w:rPr>
            </w:pPr>
          </w:p>
        </w:tc>
        <w:tc>
          <w:tcPr>
            <w:tcW w:w="3420" w:type="dxa"/>
            <w:vAlign w:val="bottom"/>
          </w:tcPr>
          <w:p>
            <w:pPr>
              <w:jc w:val="right"/>
              <w:ind w:right="1190"/>
              <w:spacing w:after="0"/>
              <w:rPr>
                <w:sz w:val="20"/>
                <w:szCs w:val="20"/>
                <w:color w:val="auto"/>
              </w:rPr>
            </w:pPr>
            <w:r>
              <w:rPr>
                <w:rFonts w:ascii="Arial" w:cs="Arial" w:eastAsia="Arial" w:hAnsi="Arial"/>
                <w:sz w:val="18"/>
                <w:szCs w:val="18"/>
                <w:b w:val="1"/>
                <w:bCs w:val="1"/>
                <w:color w:val="auto"/>
              </w:rPr>
              <w:t>47-4257046</w:t>
            </w:r>
          </w:p>
        </w:tc>
        <w:tc>
          <w:tcPr>
            <w:tcW w:w="0" w:type="dxa"/>
            <w:vAlign w:val="bottom"/>
          </w:tcPr>
          <w:p>
            <w:pPr>
              <w:spacing w:after="0"/>
              <w:rPr>
                <w:sz w:val="1"/>
                <w:szCs w:val="1"/>
                <w:color w:val="auto"/>
              </w:rPr>
            </w:pPr>
          </w:p>
        </w:tc>
      </w:tr>
      <w:tr>
        <w:trPr>
          <w:trHeight w:val="216"/>
        </w:trPr>
        <w:tc>
          <w:tcPr>
            <w:tcW w:w="3440" w:type="dxa"/>
            <w:vAlign w:val="bottom"/>
            <w:tcBorders>
              <w:bottom w:val="single" w:sz="8" w:color="auto"/>
            </w:tcBorders>
          </w:tcPr>
          <w:p>
            <w:pPr>
              <w:spacing w:after="0"/>
              <w:rPr>
                <w:sz w:val="18"/>
                <w:szCs w:val="18"/>
                <w:color w:val="auto"/>
              </w:rPr>
            </w:pPr>
          </w:p>
        </w:tc>
        <w:tc>
          <w:tcPr>
            <w:tcW w:w="120" w:type="dxa"/>
            <w:vAlign w:val="bottom"/>
            <w:vMerge w:val="restart"/>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100" w:type="dxa"/>
            <w:vAlign w:val="bottom"/>
            <w:vMerge w:val="restart"/>
          </w:tcPr>
          <w:p>
            <w:pPr>
              <w:spacing w:after="0"/>
              <w:rPr>
                <w:sz w:val="18"/>
                <w:szCs w:val="18"/>
                <w:color w:val="auto"/>
              </w:rPr>
            </w:pPr>
          </w:p>
        </w:tc>
        <w:tc>
          <w:tcPr>
            <w:tcW w:w="3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4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120" w:type="dxa"/>
            <w:vAlign w:val="bottom"/>
            <w:vMerge w:val="continue"/>
          </w:tcPr>
          <w:p>
            <w:pPr>
              <w:spacing w:after="0"/>
              <w:rPr>
                <w:sz w:val="19"/>
                <w:szCs w:val="19"/>
                <w:color w:val="auto"/>
              </w:rPr>
            </w:pPr>
          </w:p>
        </w:tc>
        <w:tc>
          <w:tcPr>
            <w:tcW w:w="980" w:type="dxa"/>
            <w:vAlign w:val="bottom"/>
          </w:tcPr>
          <w:p>
            <w:pPr>
              <w:spacing w:after="0"/>
              <w:rPr>
                <w:sz w:val="19"/>
                <w:szCs w:val="19"/>
                <w:color w:val="auto"/>
              </w:rPr>
            </w:pPr>
          </w:p>
        </w:tc>
        <w:tc>
          <w:tcPr>
            <w:tcW w:w="3360" w:type="dxa"/>
            <w:vAlign w:val="bottom"/>
            <w:gridSpan w:val="3"/>
          </w:tcPr>
          <w:p>
            <w:pPr>
              <w:jc w:val="center"/>
              <w:ind w:right="980"/>
              <w:spacing w:after="0"/>
              <w:rPr>
                <w:sz w:val="20"/>
                <w:szCs w:val="20"/>
                <w:color w:val="auto"/>
              </w:rPr>
            </w:pPr>
            <w:r>
              <w:rPr>
                <w:rFonts w:ascii="Arial" w:cs="Arial" w:eastAsia="Arial" w:hAnsi="Arial"/>
                <w:sz w:val="18"/>
                <w:szCs w:val="18"/>
                <w:color w:val="auto"/>
                <w:w w:val="92"/>
              </w:rPr>
              <w:t>(Commission File Number)</w:t>
            </w:r>
          </w:p>
        </w:tc>
        <w:tc>
          <w:tcPr>
            <w:tcW w:w="100" w:type="dxa"/>
            <w:vAlign w:val="bottom"/>
            <w:vMerge w:val="continue"/>
          </w:tcPr>
          <w:p>
            <w:pPr>
              <w:spacing w:after="0"/>
              <w:rPr>
                <w:sz w:val="19"/>
                <w:szCs w:val="19"/>
                <w:color w:val="auto"/>
              </w:rPr>
            </w:pPr>
          </w:p>
        </w:tc>
        <w:tc>
          <w:tcPr>
            <w:tcW w:w="3420" w:type="dxa"/>
            <w:vAlign w:val="bottom"/>
          </w:tcPr>
          <w:p>
            <w:pPr>
              <w:ind w:left="400"/>
              <w:spacing w:after="0"/>
              <w:rPr>
                <w:sz w:val="20"/>
                <w:szCs w:val="20"/>
                <w:color w:val="auto"/>
              </w:rPr>
            </w:pPr>
            <w:r>
              <w:rPr>
                <w:rFonts w:ascii="Arial" w:cs="Arial" w:eastAsia="Arial" w:hAnsi="Arial"/>
                <w:sz w:val="18"/>
                <w:szCs w:val="18"/>
                <w:color w:val="auto"/>
              </w:rPr>
              <w:t>(I.R.S. Employer Identification No.)</w:t>
            </w:r>
          </w:p>
        </w:tc>
        <w:tc>
          <w:tcPr>
            <w:tcW w:w="0" w:type="dxa"/>
            <w:vAlign w:val="bottom"/>
          </w:tcPr>
          <w:p>
            <w:pPr>
              <w:spacing w:after="0"/>
              <w:rPr>
                <w:sz w:val="1"/>
                <w:szCs w:val="1"/>
                <w:color w:val="auto"/>
              </w:rPr>
            </w:pPr>
          </w:p>
        </w:tc>
      </w:tr>
      <w:tr>
        <w:trPr>
          <w:trHeight w:val="400"/>
        </w:trPr>
        <w:tc>
          <w:tcPr>
            <w:tcW w:w="4540" w:type="dxa"/>
            <w:vAlign w:val="bottom"/>
            <w:gridSpan w:val="3"/>
          </w:tcPr>
          <w:p>
            <w:pPr>
              <w:jc w:val="center"/>
              <w:ind w:left="1050"/>
              <w:spacing w:after="0"/>
              <w:rPr>
                <w:sz w:val="20"/>
                <w:szCs w:val="20"/>
                <w:color w:val="auto"/>
              </w:rPr>
            </w:pPr>
            <w:r>
              <w:rPr>
                <w:rFonts w:ascii="Arial" w:cs="Arial" w:eastAsia="Arial" w:hAnsi="Arial"/>
                <w:sz w:val="18"/>
                <w:szCs w:val="18"/>
                <w:b w:val="1"/>
                <w:bCs w:val="1"/>
                <w:color w:val="auto"/>
                <w:w w:val="93"/>
              </w:rPr>
              <w:t>c/o Magna Management LLC</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40" w:type="dxa"/>
            <w:vAlign w:val="bottom"/>
            <w:gridSpan w:val="3"/>
          </w:tcPr>
          <w:p>
            <w:pPr>
              <w:jc w:val="center"/>
              <w:ind w:left="1050"/>
              <w:spacing w:after="0"/>
              <w:rPr>
                <w:sz w:val="20"/>
                <w:szCs w:val="20"/>
                <w:color w:val="auto"/>
              </w:rPr>
            </w:pPr>
            <w:r>
              <w:rPr>
                <w:rFonts w:ascii="Arial" w:cs="Arial" w:eastAsia="Arial" w:hAnsi="Arial"/>
                <w:sz w:val="18"/>
                <w:szCs w:val="18"/>
                <w:b w:val="1"/>
                <w:bCs w:val="1"/>
                <w:color w:val="auto"/>
                <w:w w:val="92"/>
              </w:rPr>
              <w:t>40 Wall Street, 58th</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40" w:type="dxa"/>
            <w:vAlign w:val="bottom"/>
            <w:tcBorders>
              <w:bottom w:val="single" w:sz="8" w:color="auto"/>
            </w:tcBorders>
            <w:gridSpan w:val="3"/>
          </w:tcPr>
          <w:p>
            <w:pPr>
              <w:jc w:val="center"/>
              <w:ind w:left="1110"/>
              <w:spacing w:after="0"/>
              <w:rPr>
                <w:sz w:val="20"/>
                <w:szCs w:val="20"/>
                <w:color w:val="auto"/>
              </w:rPr>
            </w:pPr>
            <w:r>
              <w:rPr>
                <w:rFonts w:ascii="Arial" w:cs="Arial" w:eastAsia="Arial" w:hAnsi="Arial"/>
                <w:sz w:val="18"/>
                <w:szCs w:val="18"/>
                <w:b w:val="1"/>
                <w:bCs w:val="1"/>
                <w:color w:val="auto"/>
                <w:w w:val="94"/>
              </w:rPr>
              <w:t>Floor New York, NY</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10005</w:t>
            </w:r>
          </w:p>
        </w:tc>
        <w:tc>
          <w:tcPr>
            <w:tcW w:w="0" w:type="dxa"/>
            <w:vAlign w:val="bottom"/>
          </w:tcPr>
          <w:p>
            <w:pPr>
              <w:spacing w:after="0"/>
              <w:rPr>
                <w:sz w:val="1"/>
                <w:szCs w:val="1"/>
                <w:color w:val="auto"/>
              </w:rPr>
            </w:pPr>
          </w:p>
        </w:tc>
      </w:tr>
      <w:tr>
        <w:trPr>
          <w:trHeight w:val="224"/>
        </w:trPr>
        <w:tc>
          <w:tcPr>
            <w:tcW w:w="4540" w:type="dxa"/>
            <w:vAlign w:val="bottom"/>
            <w:gridSpan w:val="3"/>
          </w:tcPr>
          <w:p>
            <w:pPr>
              <w:jc w:val="center"/>
              <w:ind w:left="1110"/>
              <w:spacing w:after="0"/>
              <w:rPr>
                <w:sz w:val="20"/>
                <w:szCs w:val="20"/>
                <w:color w:val="auto"/>
              </w:rPr>
            </w:pPr>
            <w:r>
              <w:rPr>
                <w:rFonts w:ascii="Arial" w:cs="Arial" w:eastAsia="Arial" w:hAnsi="Arial"/>
                <w:sz w:val="18"/>
                <w:szCs w:val="18"/>
                <w:color w:val="auto"/>
                <w:w w:val="92"/>
              </w:rPr>
              <w:t>(Address of Principal Executive Offices)</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ind w:left="220"/>
              <w:spacing w:after="0"/>
              <w:rPr>
                <w:sz w:val="20"/>
                <w:szCs w:val="20"/>
                <w:color w:val="auto"/>
              </w:rPr>
            </w:pPr>
            <w:r>
              <w:rPr>
                <w:rFonts w:ascii="Arial" w:cs="Arial" w:eastAsia="Arial" w:hAnsi="Arial"/>
                <w:sz w:val="18"/>
                <w:szCs w:val="18"/>
                <w:color w:val="auto"/>
              </w:rPr>
              <w:t>(Zip Code)</w:t>
            </w:r>
          </w:p>
        </w:tc>
        <w:tc>
          <w:tcPr>
            <w:tcW w:w="0" w:type="dxa"/>
            <w:vAlign w:val="bottom"/>
          </w:tcPr>
          <w:p>
            <w:pPr>
              <w:spacing w:after="0"/>
              <w:rPr>
                <w:sz w:val="1"/>
                <w:szCs w:val="1"/>
                <w:color w:val="auto"/>
              </w:rPr>
            </w:pP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(347) 491-4240</w:t>
      </w:r>
    </w:p>
    <w:p>
      <w:pPr>
        <w:spacing w:after="0" w:line="22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48895</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2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80" w:firstLine="45"/>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September 13, 2016, the registration statement (File No. 333-212675) (the “Registration Statement”) relating to the initial public offering (“IPO”) of M I Acquisitions, Inc. (the “Company”) was declared effective by the Securities and Exchange Commission. On September 19, 2016, simultaneously with the consummation of the IPO, the Company consummated the private placement (“Private Placement”) of 402,500 units (the “Private Units”) at a price of $10.00 per Private Unit, generating total proceeds of $4,025,000.</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Private Units are identical to the Units (as defined below) sold in the IPO except that the warrants underlying the Private Units (i) will be exercisable on a cashless basis at the holder’s option and (ii) will not be redeemable by the Company, in either case as long as they are held by the initial purchasers or any of their permitted transferees. The holders have agreed to certain restrictions on the Private Units, as described in the Registration Statement. Additionally, the holders agreed not to transfer, assign or sell any of the Private Units or underlying securities (except in limited circumstances, as described in the Registration Statement) until the completion of the Company’s initial business combination. The holders were granted certain demand and piggyback registration rights in connection with the Private Units.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The Private Units were issued pursuant to Section 4(a)(2) of the Securities Act of 1933, as amended, as the transactions did not involve a public offering.</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September 19, 2016, the Company consummated its IPO of 5,000,000 units (the “Units”). Each Unit consists of one share of common stock (“Common Stock”), and one warrant (“Public Warrant”) to purchase one share of Common Stock at an exercise price of $11.50 per share. The Units were sold at an offering price of $10.00 per Unit, generating gross proceeds of $50,000,000. The Company has granted the underwriters a 45-day option to purchase up to 750,000 additional Units to cover over-allotments, if any.</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September 19, 2016, a total of $51,500,000 of the net proceeds from the IPO and the Private Placement (as defined below) were deposited in a trust account established for the benefit of the Company’s public shareholders. An audited balance sheet as of September 19, 2016 reflecting receipt of the proceeds upon consummation of the IPO and the Private Placement has been prepared by the Company and is included as Exhibit 99.1 to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60" w:type="dxa"/>
            <w:vAlign w:val="bottom"/>
            <w:gridSpan w:val="3"/>
          </w:tcPr>
          <w:p>
            <w:pPr>
              <w:spacing w:after="0"/>
              <w:rPr>
                <w:sz w:val="20"/>
                <w:szCs w:val="20"/>
                <w:color w:val="auto"/>
              </w:rPr>
            </w:pPr>
            <w:r>
              <w:rPr>
                <w:rFonts w:ascii="Arial" w:cs="Arial" w:eastAsia="Arial" w:hAnsi="Arial"/>
                <w:sz w:val="18"/>
                <w:szCs w:val="18"/>
                <w:color w:val="auto"/>
              </w:rPr>
              <w:t>Exhibit No.</w:t>
            </w:r>
          </w:p>
        </w:tc>
        <w:tc>
          <w:tcPr>
            <w:tcW w:w="10260" w:type="dxa"/>
            <w:vAlign w:val="bottom"/>
          </w:tcPr>
          <w:p>
            <w:pPr>
              <w:spacing w:after="0"/>
              <w:rPr>
                <w:sz w:val="20"/>
                <w:szCs w:val="20"/>
                <w:color w:val="auto"/>
              </w:rPr>
            </w:pPr>
            <w:r>
              <w:rPr>
                <w:rFonts w:ascii="Arial" w:cs="Arial" w:eastAsia="Arial" w:hAnsi="Arial"/>
                <w:sz w:val="18"/>
                <w:szCs w:val="18"/>
                <w:color w:val="auto"/>
              </w:rPr>
              <w:t>Description</w:t>
            </w:r>
          </w:p>
        </w:tc>
      </w:tr>
      <w:tr>
        <w:trPr>
          <w:trHeight w:val="202"/>
        </w:trPr>
        <w:tc>
          <w:tcPr>
            <w:tcW w:w="20" w:type="dxa"/>
            <w:vAlign w:val="bottom"/>
          </w:tcPr>
          <w:p>
            <w:pPr>
              <w:spacing w:after="0"/>
              <w:rPr>
                <w:sz w:val="17"/>
                <w:szCs w:val="17"/>
                <w:color w:val="auto"/>
              </w:rPr>
            </w:pPr>
          </w:p>
        </w:tc>
        <w:tc>
          <w:tcPr>
            <w:tcW w:w="10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1.1</w:t>
            </w:r>
          </w:p>
        </w:tc>
        <w:tc>
          <w:tcPr>
            <w:tcW w:w="120" w:type="dxa"/>
            <w:vAlign w:val="bottom"/>
          </w:tcPr>
          <w:p>
            <w:pPr>
              <w:spacing w:after="0"/>
              <w:rPr>
                <w:sz w:val="17"/>
                <w:szCs w:val="17"/>
                <w:color w:val="auto"/>
              </w:rPr>
            </w:pPr>
          </w:p>
        </w:tc>
        <w:tc>
          <w:tcPr>
            <w:tcW w:w="102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3"/>
              </w:rPr>
              <w:t>Underwriting Agreement, dated September 13, 2016, by and between the Registrant and Chardan Capital Markets, LLC  (incorporated by</w:t>
            </w: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reference to Exhibit 1.1 to the Current Report on Form 8-K dated September 13, 2016)</w:t>
            </w:r>
          </w:p>
        </w:tc>
      </w:tr>
      <w:tr>
        <w:trPr>
          <w:trHeight w:val="418"/>
        </w:trPr>
        <w:tc>
          <w:tcPr>
            <w:tcW w:w="1040" w:type="dxa"/>
            <w:vAlign w:val="bottom"/>
            <w:gridSpan w:val="2"/>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8"/>
              </w:rPr>
              <w:t>Amended and Restated Articles of Incorporation (incorporated by reference to Exhibit 3.1 to the Current Report on Form 8-K dated</w:t>
            </w: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September 13, 2016)</w:t>
            </w:r>
          </w:p>
        </w:tc>
      </w:tr>
      <w:tr>
        <w:trPr>
          <w:trHeight w:val="418"/>
        </w:trPr>
        <w:tc>
          <w:tcPr>
            <w:tcW w:w="1040" w:type="dxa"/>
            <w:vAlign w:val="bottom"/>
            <w:gridSpan w:val="2"/>
          </w:tcPr>
          <w:p>
            <w:pP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Warrant Agreement, dated September 13, 2016, by and between American Stock Transfer &amp; Trust Company, LLC and the Registrant</w:t>
            </w: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(incorporated by reference to Exhibit 4.1 to the Current Report on Form 8-K dated September 13, 2016)</w:t>
            </w:r>
          </w:p>
        </w:tc>
      </w:tr>
      <w:tr>
        <w:trPr>
          <w:trHeight w:val="418"/>
        </w:trPr>
        <w:tc>
          <w:tcPr>
            <w:tcW w:w="1040" w:type="dxa"/>
            <w:vAlign w:val="bottom"/>
            <w:gridSpan w:val="2"/>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Investment Management Trust Account Agreement, dated September 13, 2016, by and between American Stock Transfer &amp; Trust Company,</w:t>
            </w: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LLC and the Registrant (incorporated by reference to Exhibit 10.1 to the Current Report on Form 8-K dated September 13, 2016)</w:t>
            </w:r>
          </w:p>
        </w:tc>
      </w:tr>
      <w:tr>
        <w:trPr>
          <w:trHeight w:val="418"/>
        </w:trPr>
        <w:tc>
          <w:tcPr>
            <w:tcW w:w="1040" w:type="dxa"/>
            <w:vAlign w:val="bottom"/>
            <w:gridSpan w:val="2"/>
          </w:tcPr>
          <w:p>
            <w:pPr>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Registration Rights Agreement, dated September 13, 2016, by and among the Registrant and the initial stockholders (incorporated by</w:t>
            </w: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reference to Exhibit 10.2 to the Current Report on Form 8-K dated September 13, 2016)</w:t>
            </w:r>
          </w:p>
        </w:tc>
      </w:tr>
      <w:tr>
        <w:trPr>
          <w:trHeight w:val="418"/>
        </w:trPr>
        <w:tc>
          <w:tcPr>
            <w:tcW w:w="1040" w:type="dxa"/>
            <w:vAlign w:val="bottom"/>
            <w:gridSpan w:val="2"/>
          </w:tcPr>
          <w:p>
            <w:pPr>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Stock Escrow Agreement dated September 13, 2016 among the Registrant, American Stock Transfer &amp; Trust Company, LLC, and the initial</w:t>
            </w: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stockholders (incorporated by reference to Exhibit 10.3 to the Current Report on Form 8-K dated September 13, 2016)</w:t>
            </w:r>
          </w:p>
        </w:tc>
      </w:tr>
      <w:tr>
        <w:trPr>
          <w:trHeight w:val="418"/>
        </w:trPr>
        <w:tc>
          <w:tcPr>
            <w:tcW w:w="1040" w:type="dxa"/>
            <w:vAlign w:val="bottom"/>
            <w:gridSpan w:val="2"/>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Form of Letter Agreement by and between the Registrant, the initial shareholders and the officers and directors of the Company (incorporated</w:t>
            </w: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by reference to Exhibit 10.2 to the Registration Statement on Form S-1 filed with the Securities &amp; Exchange Commission on September 9,</w:t>
            </w: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2016)</w:t>
            </w:r>
          </w:p>
        </w:tc>
      </w:tr>
      <w:tr>
        <w:trPr>
          <w:trHeight w:val="418"/>
        </w:trPr>
        <w:tc>
          <w:tcPr>
            <w:tcW w:w="1040" w:type="dxa"/>
            <w:vAlign w:val="bottom"/>
            <w:gridSpan w:val="2"/>
          </w:tcPr>
          <w:p>
            <w:pPr>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Administrative Services Agreement dated September 13, 2016 by and between the Registrant and Magna Management LLC (incorporated by</w:t>
            </w: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reference to Exhibit 10.5 to the Current Report on Form 8-K dated September 13, 2016)</w:t>
            </w:r>
          </w:p>
        </w:tc>
      </w:tr>
      <w:tr>
        <w:trPr>
          <w:trHeight w:val="432"/>
        </w:trPr>
        <w:tc>
          <w:tcPr>
            <w:tcW w:w="1040" w:type="dxa"/>
            <w:vAlign w:val="bottom"/>
            <w:gridSpan w:val="2"/>
          </w:tcPr>
          <w:p>
            <w:pPr>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Audited Balance Sheet dated September 19, 2016</w:t>
            </w:r>
          </w:p>
        </w:tc>
      </w:tr>
      <w:tr>
        <w:trPr>
          <w:trHeight w:val="675"/>
        </w:trPr>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23,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Marc Manuel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Marc 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2670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81"/>
        </w:trPr>
        <w:tc>
          <w:tcPr>
            <w:tcW w:w="2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2640" w:type="dxa"/>
            <w:vAlign w:val="bottom"/>
            <w:gridSpan w:val="2"/>
          </w:tcPr>
          <w:p>
            <w:pPr>
              <w:ind w:left="1500"/>
              <w:spacing w:after="0"/>
              <w:rPr>
                <w:sz w:val="20"/>
                <w:szCs w:val="20"/>
                <w:color w:val="auto"/>
              </w:rPr>
            </w:pPr>
            <w:r>
              <w:rPr>
                <w:rFonts w:ascii="Arial" w:cs="Arial" w:eastAsia="Arial" w:hAnsi="Arial"/>
                <w:sz w:val="22"/>
                <w:szCs w:val="22"/>
                <w:b w:val="1"/>
                <w:bCs w:val="1"/>
                <w:color w:val="auto"/>
                <w:w w:val="91"/>
              </w:rPr>
              <w:t>Exhibit 99.1</w:t>
            </w:r>
          </w:p>
        </w:tc>
        <w:tc>
          <w:tcPr>
            <w:tcW w:w="0" w:type="dxa"/>
            <w:vAlign w:val="bottom"/>
          </w:tcPr>
          <w:p>
            <w:pPr>
              <w:spacing w:after="0"/>
              <w:rPr>
                <w:sz w:val="1"/>
                <w:szCs w:val="1"/>
                <w:color w:val="auto"/>
              </w:rPr>
            </w:pPr>
          </w:p>
        </w:tc>
      </w:tr>
      <w:tr>
        <w:trPr>
          <w:trHeight w:val="422"/>
        </w:trPr>
        <w:tc>
          <w:tcPr>
            <w:tcW w:w="20" w:type="dxa"/>
            <w:vAlign w:val="bottom"/>
          </w:tcPr>
          <w:p>
            <w:pPr>
              <w:spacing w:after="0"/>
              <w:rPr>
                <w:sz w:val="24"/>
                <w:szCs w:val="24"/>
                <w:color w:val="auto"/>
              </w:rPr>
            </w:pPr>
          </w:p>
        </w:tc>
        <w:tc>
          <w:tcPr>
            <w:tcW w:w="8780" w:type="dxa"/>
            <w:vAlign w:val="bottom"/>
          </w:tcPr>
          <w:p>
            <w:pPr>
              <w:jc w:val="center"/>
              <w:ind w:left="2530"/>
              <w:spacing w:after="0"/>
              <w:rPr>
                <w:sz w:val="20"/>
                <w:szCs w:val="20"/>
                <w:color w:val="auto"/>
              </w:rPr>
            </w:pPr>
            <w:r>
              <w:rPr>
                <w:rFonts w:ascii="Arial" w:cs="Arial" w:eastAsia="Arial" w:hAnsi="Arial"/>
                <w:sz w:val="18"/>
                <w:szCs w:val="18"/>
                <w:b w:val="1"/>
                <w:bCs w:val="1"/>
                <w:color w:val="auto"/>
              </w:rPr>
              <w:t>INDEX TO FINANCIAL STATEMENTS</w:t>
            </w:r>
          </w:p>
        </w:tc>
        <w:tc>
          <w:tcPr>
            <w:tcW w:w="2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2620" w:type="dxa"/>
            <w:vAlign w:val="bottom"/>
            <w:shd w:val="clear" w:color="auto" w:fill="CCEEFF"/>
          </w:tcPr>
          <w:p>
            <w:pPr>
              <w:ind w:left="1700"/>
              <w:spacing w:after="0"/>
              <w:rPr>
                <w:sz w:val="20"/>
                <w:szCs w:val="20"/>
                <w:color w:val="auto"/>
              </w:rPr>
            </w:pPr>
            <w:r>
              <w:rPr>
                <w:rFonts w:ascii="Arial" w:cs="Arial" w:eastAsia="Arial" w:hAnsi="Arial"/>
                <w:sz w:val="18"/>
                <w:szCs w:val="18"/>
                <w:color w:val="auto"/>
              </w:rPr>
              <w:t>F-2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Financial Statements:</w:t>
            </w:r>
          </w:p>
        </w:tc>
        <w:tc>
          <w:tcPr>
            <w:tcW w:w="2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Balance Sheet</w:t>
            </w:r>
          </w:p>
        </w:tc>
        <w:tc>
          <w:tcPr>
            <w:tcW w:w="2620" w:type="dxa"/>
            <w:vAlign w:val="bottom"/>
            <w:shd w:val="clear" w:color="auto" w:fill="CCEEFF"/>
          </w:tcPr>
          <w:p>
            <w:pPr>
              <w:ind w:left="1700"/>
              <w:spacing w:after="0"/>
              <w:rPr>
                <w:sz w:val="20"/>
                <w:szCs w:val="20"/>
                <w:color w:val="auto"/>
              </w:rPr>
            </w:pPr>
            <w:r>
              <w:rPr>
                <w:rFonts w:ascii="Arial" w:cs="Arial" w:eastAsia="Arial" w:hAnsi="Arial"/>
                <w:sz w:val="18"/>
                <w:szCs w:val="18"/>
                <w:color w:val="auto"/>
              </w:rPr>
              <w:t>F-3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tcPr>
          <w:p>
            <w:pPr>
              <w:ind w:left="160"/>
              <w:spacing w:after="0"/>
              <w:rPr>
                <w:sz w:val="20"/>
                <w:szCs w:val="20"/>
                <w:color w:val="auto"/>
              </w:rPr>
            </w:pPr>
            <w:r>
              <w:rPr>
                <w:rFonts w:ascii="Arial" w:cs="Arial" w:eastAsia="Arial" w:hAnsi="Arial"/>
                <w:sz w:val="18"/>
                <w:szCs w:val="18"/>
                <w:color w:val="auto"/>
              </w:rPr>
              <w:t>Notes to the Balance Sheet</w:t>
            </w:r>
          </w:p>
        </w:tc>
        <w:tc>
          <w:tcPr>
            <w:tcW w:w="2620" w:type="dxa"/>
            <w:vAlign w:val="bottom"/>
          </w:tcPr>
          <w:p>
            <w:pPr>
              <w:ind w:left="1700"/>
              <w:spacing w:after="0"/>
              <w:rPr>
                <w:sz w:val="20"/>
                <w:szCs w:val="20"/>
                <w:color w:val="auto"/>
              </w:rPr>
            </w:pPr>
            <w:r>
              <w:rPr>
                <w:rFonts w:ascii="Arial" w:cs="Arial" w:eastAsia="Arial" w:hAnsi="Arial"/>
                <w:sz w:val="18"/>
                <w:szCs w:val="18"/>
                <w:color w:val="auto"/>
              </w:rPr>
              <w:t>F-4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8780" w:type="dxa"/>
            <w:vAlign w:val="bottom"/>
            <w:tcBorders>
              <w:bottom w:val="single" w:sz="8" w:color="auto"/>
            </w:tcBorders>
          </w:tcPr>
          <w:p>
            <w:pPr>
              <w:jc w:val="center"/>
              <w:ind w:left="2470"/>
              <w:spacing w:after="0"/>
              <w:rPr>
                <w:sz w:val="20"/>
                <w:szCs w:val="20"/>
                <w:color w:val="auto"/>
              </w:rPr>
            </w:pPr>
            <w:r>
              <w:rPr>
                <w:rFonts w:ascii="Arial" w:cs="Arial" w:eastAsia="Arial" w:hAnsi="Arial"/>
                <w:sz w:val="18"/>
                <w:szCs w:val="18"/>
                <w:color w:val="auto"/>
                <w:w w:val="96"/>
              </w:rPr>
              <w:t>F-1</w:t>
            </w:r>
          </w:p>
        </w:tc>
        <w:tc>
          <w:tcPr>
            <w:tcW w:w="2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5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Audit Committee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M I Acquisitions, Inc.</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have audited the accompanying balance sheet of M I Acquisitions, Inc. (the “Company”) as of September 19, 2016. The balance sheet is the responsibility of the Company’s management. Our responsibility is to express an opinion on the balance sheet based on our audit.</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balance sheet is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16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our opinion, the balance sheet referred to above presents fairly, in all material respects, the financial position of M I Acquisitions, Inc. as of September 19, 2016 in conformity with accounting principles generally accepted in the United States of America.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23, 2016</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960" w:type="dxa"/>
            <w:vAlign w:val="bottom"/>
            <w:gridSpan w:val="3"/>
          </w:tcPr>
          <w:p>
            <w:pPr>
              <w:jc w:val="center"/>
              <w:ind w:right="2780"/>
              <w:spacing w:after="0"/>
              <w:rPr>
                <w:sz w:val="20"/>
                <w:szCs w:val="20"/>
                <w:color w:val="auto"/>
              </w:rPr>
            </w:pPr>
            <w:r>
              <w:rPr>
                <w:rFonts w:ascii="Arial" w:cs="Arial" w:eastAsia="Arial" w:hAnsi="Arial"/>
                <w:sz w:val="18"/>
                <w:szCs w:val="18"/>
                <w:b w:val="1"/>
                <w:bCs w:val="1"/>
                <w:color w:val="auto"/>
                <w:w w:val="92"/>
              </w:rPr>
              <w:t>M I Acquisitions, Inc.</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80" w:type="dxa"/>
            <w:vAlign w:val="bottom"/>
            <w:gridSpan w:val="2"/>
          </w:tcPr>
          <w:p>
            <w:pPr>
              <w:jc w:val="center"/>
              <w:ind w:right="3240"/>
              <w:spacing w:after="0"/>
              <w:rPr>
                <w:sz w:val="20"/>
                <w:szCs w:val="20"/>
                <w:color w:val="auto"/>
              </w:rPr>
            </w:pPr>
            <w:r>
              <w:rPr>
                <w:rFonts w:ascii="Arial" w:cs="Arial" w:eastAsia="Arial" w:hAnsi="Arial"/>
                <w:sz w:val="18"/>
                <w:szCs w:val="18"/>
                <w:b w:val="1"/>
                <w:bCs w:val="1"/>
                <w:color w:val="auto"/>
                <w:w w:val="87"/>
              </w:rPr>
              <w:t>Balance Sheet</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960" w:type="dxa"/>
            <w:vAlign w:val="bottom"/>
            <w:gridSpan w:val="3"/>
          </w:tcPr>
          <w:p>
            <w:pPr>
              <w:jc w:val="center"/>
              <w:ind w:right="2780"/>
              <w:spacing w:after="0"/>
              <w:rPr>
                <w:sz w:val="20"/>
                <w:szCs w:val="20"/>
                <w:color w:val="auto"/>
              </w:rPr>
            </w:pPr>
            <w:r>
              <w:rPr>
                <w:rFonts w:ascii="Arial" w:cs="Arial" w:eastAsia="Arial" w:hAnsi="Arial"/>
                <w:sz w:val="18"/>
                <w:szCs w:val="18"/>
                <w:b w:val="1"/>
                <w:bCs w:val="1"/>
                <w:color w:val="auto"/>
                <w:w w:val="88"/>
              </w:rPr>
              <w:t>As of September 19, 2016</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60" w:type="dxa"/>
            <w:vAlign w:val="bottom"/>
            <w:shd w:val="clear" w:color="auto" w:fill="CCEEFF"/>
          </w:tcPr>
          <w:p>
            <w:pPr>
              <w:spacing w:after="0"/>
              <w:rPr>
                <w:sz w:val="17"/>
                <w:szCs w:val="17"/>
                <w:color w:val="auto"/>
              </w:rPr>
            </w:pPr>
          </w:p>
        </w:tc>
        <w:tc>
          <w:tcPr>
            <w:tcW w:w="6100" w:type="dxa"/>
            <w:vAlign w:val="bottom"/>
            <w:gridSpan w:val="4"/>
            <w:shd w:val="clear" w:color="auto" w:fill="CCEEFF"/>
          </w:tcPr>
          <w:p>
            <w:pPr>
              <w:jc w:val="center"/>
              <w:ind w:right="3340"/>
              <w:spacing w:after="0" w:line="176" w:lineRule="exact"/>
              <w:rPr>
                <w:sz w:val="20"/>
                <w:szCs w:val="20"/>
                <w:color w:val="auto"/>
              </w:rPr>
            </w:pPr>
            <w:r>
              <w:rPr>
                <w:rFonts w:ascii="Arial" w:cs="Arial" w:eastAsia="Arial" w:hAnsi="Arial"/>
                <w:sz w:val="18"/>
                <w:szCs w:val="18"/>
                <w:b w:val="1"/>
                <w:bCs w:val="1"/>
                <w:color w:val="auto"/>
                <w:w w:val="81"/>
              </w:rPr>
              <w:t>Assets</w:t>
            </w: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Current asset: cash and cash equivalents</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5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Cash and cash equivalents held in trust</w:t>
            </w: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51,500,000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560" w:type="dxa"/>
            <w:vAlign w:val="bottom"/>
            <w:gridSpan w:val="5"/>
            <w:shd w:val="clear" w:color="auto" w:fill="CCEEFF"/>
          </w:tcPr>
          <w:p>
            <w:pPr>
              <w:ind w:left="320"/>
              <w:spacing w:after="0"/>
              <w:rPr>
                <w:sz w:val="20"/>
                <w:szCs w:val="20"/>
                <w:color w:val="auto"/>
              </w:rPr>
            </w:pPr>
            <w:r>
              <w:rPr>
                <w:rFonts w:ascii="Arial" w:cs="Arial" w:eastAsia="Arial" w:hAnsi="Arial"/>
                <w:sz w:val="18"/>
                <w:szCs w:val="18"/>
                <w:b w:val="1"/>
                <w:bCs w:val="1"/>
                <w:color w:val="auto"/>
              </w:rPr>
              <w:t>Total Assets</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52,025,051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60" w:type="dxa"/>
            <w:vAlign w:val="bottom"/>
            <w:shd w:val="clear" w:color="auto" w:fill="CCEEFF"/>
          </w:tcPr>
          <w:p>
            <w:pPr>
              <w:spacing w:after="0"/>
              <w:rPr>
                <w:sz w:val="17"/>
                <w:szCs w:val="17"/>
                <w:color w:val="auto"/>
              </w:rPr>
            </w:pPr>
          </w:p>
        </w:tc>
        <w:tc>
          <w:tcPr>
            <w:tcW w:w="6100" w:type="dxa"/>
            <w:vAlign w:val="bottom"/>
            <w:gridSpan w:val="4"/>
            <w:shd w:val="clear" w:color="auto" w:fill="CCEEFF"/>
          </w:tcPr>
          <w:p>
            <w:pPr>
              <w:jc w:val="center"/>
              <w:ind w:right="3340"/>
              <w:spacing w:after="0" w:line="176" w:lineRule="exact"/>
              <w:rPr>
                <w:sz w:val="20"/>
                <w:szCs w:val="20"/>
                <w:color w:val="auto"/>
              </w:rPr>
            </w:pPr>
            <w:r>
              <w:rPr>
                <w:rFonts w:ascii="Arial" w:cs="Arial" w:eastAsia="Arial" w:hAnsi="Arial"/>
                <w:sz w:val="18"/>
                <w:szCs w:val="18"/>
                <w:b w:val="1"/>
                <w:bCs w:val="1"/>
                <w:color w:val="auto"/>
                <w:w w:val="90"/>
              </w:rPr>
              <w:t>Liabilities and Stockholders' Equity</w:t>
            </w: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6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5"/>
          </w:tcPr>
          <w:p>
            <w:pPr>
              <w:ind w:left="160"/>
              <w:spacing w:after="0"/>
              <w:rPr>
                <w:sz w:val="20"/>
                <w:szCs w:val="20"/>
                <w:color w:val="auto"/>
              </w:rPr>
            </w:pPr>
            <w:r>
              <w:rPr>
                <w:rFonts w:ascii="Arial" w:cs="Arial" w:eastAsia="Arial" w:hAnsi="Arial"/>
                <w:sz w:val="18"/>
                <w:szCs w:val="18"/>
                <w:color w:val="auto"/>
              </w:rPr>
              <w:t>Accounts payable and accrued expenses</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59,291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Accrued offering costs payable</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5"/>
          </w:tcPr>
          <w:p>
            <w:pPr>
              <w:ind w:left="160"/>
              <w:spacing w:after="0"/>
              <w:rPr>
                <w:sz w:val="20"/>
                <w:szCs w:val="20"/>
                <w:color w:val="auto"/>
              </w:rPr>
            </w:pPr>
            <w:r>
              <w:rPr>
                <w:rFonts w:ascii="Arial" w:cs="Arial" w:eastAsia="Arial" w:hAnsi="Arial"/>
                <w:sz w:val="18"/>
                <w:szCs w:val="18"/>
                <w:color w:val="auto"/>
              </w:rPr>
              <w:t>Advances from related party</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5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Note payable</w:t>
            </w: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60" w:type="dxa"/>
            <w:vAlign w:val="bottom"/>
            <w:tcBorders>
              <w:bottom w:val="single" w:sz="8" w:color="CCEEFF"/>
            </w:tcBorders>
            <w:gridSpan w:val="5"/>
          </w:tcPr>
          <w:p>
            <w:pPr>
              <w:ind w:left="320"/>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177,260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560" w:type="dxa"/>
            <w:vAlign w:val="bottom"/>
            <w:gridSpan w:val="5"/>
          </w:tcPr>
          <w:p>
            <w:pPr>
              <w:ind w:left="160"/>
              <w:spacing w:after="0"/>
              <w:rPr>
                <w:sz w:val="20"/>
                <w:szCs w:val="20"/>
                <w:color w:val="auto"/>
              </w:rPr>
            </w:pPr>
            <w:r>
              <w:rPr>
                <w:rFonts w:ascii="Arial" w:cs="Arial" w:eastAsia="Arial" w:hAnsi="Arial"/>
                <w:sz w:val="18"/>
                <w:szCs w:val="18"/>
                <w:color w:val="auto"/>
              </w:rPr>
              <w:t>Deferred underwriting fee payable</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3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560" w:type="dxa"/>
            <w:vAlign w:val="bottom"/>
            <w:gridSpan w:val="5"/>
          </w:tcPr>
          <w:p>
            <w:pPr>
              <w:ind w:left="320"/>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1,177,260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3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60" w:type="dxa"/>
            <w:vAlign w:val="bottom"/>
            <w:gridSpan w:val="5"/>
          </w:tcPr>
          <w:p>
            <w:pPr>
              <w:spacing w:after="0"/>
              <w:rPr>
                <w:sz w:val="20"/>
                <w:szCs w:val="20"/>
                <w:color w:val="auto"/>
              </w:rPr>
            </w:pPr>
            <w:r>
              <w:rPr>
                <w:rFonts w:ascii="Arial" w:cs="Arial" w:eastAsia="Arial" w:hAnsi="Arial"/>
                <w:sz w:val="18"/>
                <w:szCs w:val="18"/>
                <w:b w:val="1"/>
                <w:bCs w:val="1"/>
                <w:color w:val="auto"/>
              </w:rPr>
              <w:t>Commitments</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60" w:type="dxa"/>
            <w:vAlign w:val="bottom"/>
            <w:gridSpan w:val="5"/>
          </w:tcPr>
          <w:p>
            <w:pPr>
              <w:spacing w:after="0"/>
              <w:rPr>
                <w:sz w:val="20"/>
                <w:szCs w:val="20"/>
                <w:color w:val="auto"/>
              </w:rPr>
            </w:pPr>
            <w:r>
              <w:rPr>
                <w:rFonts w:ascii="Arial" w:cs="Arial" w:eastAsia="Arial" w:hAnsi="Arial"/>
                <w:sz w:val="18"/>
                <w:szCs w:val="18"/>
                <w:b w:val="1"/>
                <w:bCs w:val="1"/>
                <w:color w:val="auto"/>
              </w:rPr>
              <w:t>Common stock, subject to possible conversion (4,451,241 shares at conversion value)</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45,847,785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60" w:type="dxa"/>
            <w:vAlign w:val="bottom"/>
            <w:gridSpan w:val="5"/>
          </w:tcPr>
          <w:p>
            <w:pPr>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Preferred stock, $0.001 par value; 1,000,000 authorized none issued and outstanding</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560" w:type="dxa"/>
            <w:vAlign w:val="bottom"/>
            <w:gridSpan w:val="5"/>
          </w:tcPr>
          <w:p>
            <w:pPr>
              <w:ind w:left="160"/>
              <w:spacing w:after="0" w:line="201" w:lineRule="exact"/>
              <w:rPr>
                <w:sz w:val="20"/>
                <w:szCs w:val="20"/>
                <w:color w:val="auto"/>
              </w:rPr>
            </w:pPr>
            <w:r>
              <w:rPr>
                <w:rFonts w:ascii="Arial" w:cs="Arial" w:eastAsia="Arial" w:hAnsi="Arial"/>
                <w:sz w:val="18"/>
                <w:szCs w:val="18"/>
                <w:color w:val="auto"/>
                <w:w w:val="91"/>
              </w:rPr>
              <w:t>Common stock, $0.001 par value; 30,000,000 shares authorized; 2,388,759 shares issued and outstanding (excluding 4,451,241</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60" w:type="dxa"/>
            <w:vAlign w:val="bottom"/>
            <w:gridSpan w:val="5"/>
          </w:tcPr>
          <w:p>
            <w:pPr>
              <w:ind w:left="280"/>
              <w:spacing w:after="0"/>
              <w:rPr>
                <w:sz w:val="20"/>
                <w:szCs w:val="20"/>
                <w:color w:val="auto"/>
              </w:rPr>
            </w:pPr>
            <w:r>
              <w:rPr>
                <w:rFonts w:ascii="Arial" w:cs="Arial" w:eastAsia="Arial" w:hAnsi="Arial"/>
                <w:sz w:val="18"/>
                <w:szCs w:val="18"/>
                <w:color w:val="auto"/>
              </w:rPr>
              <w:t>shares subject to possible conversion) (1)</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Additional paid in capital</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5,074,398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560" w:type="dxa"/>
            <w:vAlign w:val="bottom"/>
            <w:gridSpan w:val="5"/>
          </w:tcPr>
          <w:p>
            <w:pPr>
              <w:ind w:left="16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(76,781)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60" w:type="dxa"/>
            <w:vAlign w:val="bottom"/>
            <w:tcBorders>
              <w:top w:val="single" w:sz="8" w:color="CCEEFF"/>
            </w:tcBorders>
            <w:gridSpan w:val="5"/>
            <w:shd w:val="clear" w:color="auto" w:fill="CCEEFF"/>
          </w:tcPr>
          <w:p>
            <w:pPr>
              <w:ind w:left="320"/>
              <w:spacing w:after="0"/>
              <w:rPr>
                <w:sz w:val="20"/>
                <w:szCs w:val="20"/>
                <w:color w:val="auto"/>
              </w:rPr>
            </w:pPr>
            <w:r>
              <w:rPr>
                <w:rFonts w:ascii="Arial" w:cs="Arial" w:eastAsia="Arial" w:hAnsi="Arial"/>
                <w:sz w:val="18"/>
                <w:szCs w:val="18"/>
                <w:b w:val="1"/>
                <w:bCs w:val="1"/>
                <w:color w:val="auto"/>
              </w:rPr>
              <w:t>Total Stockholders' Equity</w:t>
            </w: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956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52,025,051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number includes an aggregate of up to 187,500 shares of common stock that are subject to forfeiture if the over-allotment option is not exercised by the underwriters.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this Balance Sheet.</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Balance Sheet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Plan of Business Operations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 I Acquisitions, Inc. (the “Company”) was incorporated in Delaware on April 23, 2015 as a blank check company whose objective is to acquire, through a merger, share exchange, asset acquisition, stock purchase, recapitalization, reorganization or other similar business combination, one or more businesses or entities (a “Business Combination”). The Company’s efforts to identify a prospective target business will not be limited to any particular industry or geographic region, although the Company initially intends to focus on target businesses operating in the consumer, retail or retail service industries.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19, 2016, the Company had not yet commenced any operations. All activity through September 19, 2016 relates to the Company’s formation and the public offering described below. The Company has selected December 31 as its fiscal year-end.</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registration statement for the Company’s initial public offering was declared effective on September 13, 2016. The Company consummated a public offering of 5,000,000 units (“Units”) on September 19, 2016 (the “Offering”), generating gross proceeds of $50,000,000 and net proceeds of $47,981,581 after deducting $2,018,419 of transaction costs. In addition, the Company generated gross proceeds of $4,025,000 from the private placement of 402,500 units (the “Private Placement”) to certain initial stockholders (“Initial Stockholders”) of the Company. The Units sold pursuant to the Offering and the Private Placement were sold at an offering price of $10.00 per Unit. The Company also incurred additional issuance costs totaling $1,107,110, of which the deferred underwriting fee of $1,000,000 and professional fees of $61,998 were unpaid as of September 19, 2016.</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management has broad discretion with respect to the specific application of the net proceeds of the Offering and Private Placement, although substantially all of the net proceeds are intended to be generally applied toward consummating a Business Combination. The Company’s Units are listed on the Nasdaq Capital Market (“NASDAQ”). Pursuant to the NASDAQ listing rules, the Company’s initial Business Combination must be with a target business or businesses whose collective fair market value is at least equal to 80% of the balance in the trust account at the time of the execution of a definitive agreement for such Business Combination, although this may entail simultaneous acquisitions of several target businesses. There is no assurance that the Company will be able to effect a Business Combination successfully.</w:t>
      </w:r>
    </w:p>
    <w:p>
      <w:pPr>
        <w:spacing w:after="0" w:line="19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Following the closing of the Offering and the Private Placement on September 19, 2016, an amount of $51,500,000 (or $10.30 per share sold to the public in the Offering included in the Units (“Public Shares”)) from the sale of the Units and Private Units is being held in a trust account (“Trust Account”) at J.P. Morgan Chase Bank maintained by American Stock Transfer &amp; Trust Company, acting as trustee, and may be invested in money market funds meeting the applicable conditions of Rule 2a-7 promulgated under the Investment Company Act of 1940, as amended, and that invest solely in U.S. treasuries or United States bonds, treasuries or notes having a maturity of 180 days or less. The $51,500,000 placed into the Trust Account may not be released until the earlier of</w:t>
      </w:r>
    </w:p>
    <w:p>
      <w:pPr>
        <w:spacing w:after="0" w:line="2" w:lineRule="exact"/>
        <w:rPr>
          <w:sz w:val="20"/>
          <w:szCs w:val="20"/>
          <w:color w:val="auto"/>
        </w:rPr>
      </w:pPr>
    </w:p>
    <w:p>
      <w:pPr>
        <w:jc w:val="both"/>
        <w:ind w:firstLine="8"/>
        <w:spacing w:after="0" w:line="266" w:lineRule="auto"/>
        <w:tabs>
          <w:tab w:leader="none" w:pos="239"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consummation of the Company’s initial Business Combination and (ii) the Company’s failure to consummate a Business Combination within the prescribed time. The remaining net proceeds (not held in the Trust Account) may be used to pay for business, legal and accounting due diligence on prospective acquisitions and continuing general and administrative expenses. Additionally, the interest earned on the Trust Account balance may be released to the Company to pay the Company’s tax obligations. Placing funds in the Trust Account may not protect those funds from third party claims against the Company. Although the Company will seek to have all vendors, service providers, prospective target businesses or other entities it engages, execute agreements with the Company waiving any claim of any kind in or to any monies held in the Trust Account, there is no guarantee that such persons will execute such agreements. The Company’s insiders will agree to be liable under certain circumstances to ensure that the proceeds in the Trust Account are not reduced by the claims of target businesses or vendors or other entities that are owed money by the Company for service rendered, contracted for or products sold to the Company. However, they may not be able to satisfy those obligations should they arise. The amount of proceeds not held in trust will remain constant at approximately $525,000 even if the over-allotment is exercised. With this exception, expenses incurred by the Company may be paid prior to a Business Combination only from the net proceeds of the Proposed Public Offering not held in the Trust Account (estimated to initially be $525,000); provided, however, that in order to meet its working capital needs following the consummation of the Proposed Public Offering, the Company’s Initial Stockholders, officers and directors or their affiliates may, but are not obligated to, loan the Company funds, from time to time or at any time, in whatever amount they deem reasonable in their sole discretion. Each loan would be evidenced by a promissory note. The notes would either be paid upon consummation of the Company’s initial Business Combination, without interest, or, at the lender’s discretion, up to $200,000 of the notes may be converted upon consummation of the Company’s Business Combination into additional Private Units at a price of $10.00 per Unit. If the Company does not complete a Business Combination, the loans would not be repaid.</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both"/>
        <w:spacing w:after="0" w:line="289" w:lineRule="auto"/>
        <w:rPr>
          <w:sz w:val="20"/>
          <w:szCs w:val="20"/>
          <w:color w:val="auto"/>
        </w:rPr>
      </w:pPr>
      <w:r>
        <w:rPr>
          <w:rFonts w:ascii="Arial" w:cs="Arial" w:eastAsia="Arial" w:hAnsi="Arial"/>
          <w:sz w:val="16"/>
          <w:szCs w:val="16"/>
          <w:color w:val="auto"/>
        </w:rPr>
        <w:t>The Company will either seek stockholder approval of any Business Combination at a meeting called for such purpose at which stockholders may seek to convert their shares into their pro rata share of the aggregate amount then on deposit in the Trust Account, less any taxes then due but not yet paid, or provide stockholders with the opportunity to sell their shares to the Company by means of a tender offer for an amount equal to their pro rata share of the aggregate amount then on deposit in the Trust Account, less any taxes then due but not yet paid. The Company will proceed with a Business Combination only if it will have net tangible assets of at least $5,000,001 upon consummation of the Business Combination and, solely if stockholder approval is sought, a majority of the outstanding common shares of the Company voted are voted in favor of the Business Combination. Notwithstanding the foregoing, a public stockholder, together with any affiliate of his or any other person with whom he is acting in concert or as a “group” (as defined in Section 13(d)(3) of the Exchange Act) will be restricted from seeking conversion rights with respect to 20% or more of the common shares sold in the Offering. Accordingly, all shares purchased by a holder in excess of 20% of the shares sold in the Offering will not be converted to cash.</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connection with any stockholder vote required to approve any Business Combination, the Initial Stockholders will agree (i) to vote any of its respective shares, including the common shares sold to the Initial Stockholders in connection with the organization of the Company (the “Initial Shares”), common shares included in the Private Units sold in the Private Placement, and any common shares which were initially issued in connection with the Offering, whether acquired in or after the effective date of the Offering, in favor of the initial Business Combination and (ii) not to convert such respective shares into a pro rata portion of the Trust Account or seek to sell their shares in connection with any tender offer the Company engages in.</w:t>
      </w:r>
    </w:p>
    <w:p>
      <w:pPr>
        <w:spacing w:after="0" w:line="17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Pursuant to the Company’s amended and restated Certificate of Incorporation, if the Company is unable to complete its initial Business Combination within 18 months from the date of the Offering, the Company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the remaining holders of common stock and the Company’s board of directors, dissolve and liquidate. However, if the Company anticipates that it may not be able to consummate its initial Business Combination within 18 months, the Company may extend the period of time to consummate a Business Combination up to three times, each by an additional month (for a total of up to 21 months to complete a Business Combination). Pursuant to the terms of the Company’s amended and restated articles of incorporation and the trust agreement entered into between the Company and American Stock Transfer &amp; Trust Company, in order to extend the time available for the Company to consummate its initial Business Combination, the Company’s insiders or their affiliates or designees, upon five days advance notice prior to the applicable deadline, must deposit into the trust account $125,000 (or $143,750 if the underwriters’ over-allotment option is exercised in full), or $0.025 per unit in either case, up to an aggregate of $375,000 (or $431,250 if the underwriters’ over-allotment option is exercised in full), or $0.075 per unit, on or prior to the date of the applicable deadline, for each one month extension. In the event that the Company receives notice from its insiders five days prior to the applicable deadline of their intent to effect an extension, the Company intends to issue a press release announcing such intention at least three days prior to the applicable deadline. In addition, the Company intends to issue a press release the day after the applicable deadline announcing whether or not the funds had been timely deposited. The Company’s insiders and their affiliates or designees are not obligated to fund the trust account to extend the time for the Company to complete its initial Business Combination. To the extent that some, but not all, of the Company’s insiders, decide to extend the period of time to consummate the initial Business Combination, such insiders (or their affiliates or designees) may deposit the entire $375,000 (or $431,250). If the Company is unable to consummate an initial Business Combination and is forced to redeem 100% of the outstanding public shares for a pro rata portion of the funds held in the Trust Account, each holder will receive a pro rata portion of the amount then in the Trust Account. Holders of warrants will receive no proceeds in connection with the liquidation. The Initial Stockholders and the holders of Private Units will not participate in any redemption distribution with respect to their initial shares and Private Units, including the common stock included in the Private Units.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the extent the Company is unable to consummate a business combination, the Company will pay the costs of liquidation from the remaining assets outside of the trust account. If such funds are insufficient, the insiders have agreed to pay the funds necessary to complete such liquidation (currently anticipated to be no more than $15,000) and have agreed not to seek repayment of such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financial statements are presented in U.S. dollars in conformity with accounting principles generally accepted in the United States of America (“GAAP”) and pursuant to the rules and regulations of the Securities and Exchange Commission (“SEC”).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 held in Trust Account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September 19, 2016, the assets in the Trust Account were held in cash.</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Financial Accounting Standards Board (“FASB”) Accounting Standards Codification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approximates the carrying amounts represented in the balance sheet, primarily due to their short-term nature.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subject to possible conversion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accounts for its common stock subject to possible conversion in accordance with the guidance enumerated in ASC 480 “</w:t>
      </w:r>
      <w:r>
        <w:rPr>
          <w:rFonts w:ascii="Arial" w:cs="Arial" w:eastAsia="Arial" w:hAnsi="Arial"/>
          <w:sz w:val="16"/>
          <w:szCs w:val="16"/>
          <w:i w:val="1"/>
          <w:iCs w:val="1"/>
          <w:color w:val="auto"/>
        </w:rPr>
        <w:t>Distinguishing</w:t>
      </w:r>
      <w:r>
        <w:rPr>
          <w:rFonts w:ascii="Arial" w:cs="Arial" w:eastAsia="Arial" w:hAnsi="Arial"/>
          <w:sz w:val="16"/>
          <w:szCs w:val="16"/>
          <w:color w:val="auto"/>
        </w:rPr>
        <w:t xml:space="preserve"> </w:t>
      </w:r>
      <w:r>
        <w:rPr>
          <w:rFonts w:ascii="Arial" w:cs="Arial" w:eastAsia="Arial" w:hAnsi="Arial"/>
          <w:sz w:val="16"/>
          <w:szCs w:val="16"/>
          <w:i w:val="1"/>
          <w:iCs w:val="1"/>
          <w:color w:val="auto"/>
        </w:rPr>
        <w:t>Liabilities from Equity</w:t>
      </w:r>
      <w:r>
        <w:rPr>
          <w:rFonts w:ascii="Arial" w:cs="Arial" w:eastAsia="Arial" w:hAnsi="Arial"/>
          <w:sz w:val="16"/>
          <w:szCs w:val="16"/>
          <w:color w:val="auto"/>
        </w:rPr>
        <w:t>”. Common stock subject to mandatory conversion are classified as a liability instrument and is measured at fair value. Conditionally</w:t>
      </w:r>
      <w:r>
        <w:rPr>
          <w:rFonts w:ascii="Arial" w:cs="Arial" w:eastAsia="Arial" w:hAnsi="Arial"/>
          <w:sz w:val="16"/>
          <w:szCs w:val="16"/>
          <w:i w:val="1"/>
          <w:iCs w:val="1"/>
          <w:color w:val="auto"/>
        </w:rPr>
        <w:t xml:space="preserve"> </w:t>
      </w:r>
      <w:r>
        <w:rPr>
          <w:rFonts w:ascii="Arial" w:cs="Arial" w:eastAsia="Arial" w:hAnsi="Arial"/>
          <w:sz w:val="16"/>
          <w:szCs w:val="16"/>
          <w:color w:val="auto"/>
        </w:rPr>
        <w:t>convertible common stock (including common shares that feature conversion rights that are either within the control of the holder or subject to conversion upon the occurrence of uncertain events not solely within the Company’s control) is classified as temporary equity. At all other times, common stock is classified as stockholders’ equity. The Company’s common stock features certain conversion rights that are considered by the Company to be outside of the Company’s control and subject to the occurrence of uncertain future events. Accordingly at September 19, 2016, the common stock subject to possible conversion is presented as temporary equity, outside of the stockholders’ equity section of the Company’s balance sheet.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Actual results could differ from those estimates.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accounts in a financial institution which, at times may exceed the Federal depository insurance coverage of $250,000. The Company has not experienced losses on these accounts and management believes the Company is not exposed to significant risks on such accounts.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accounts for income taxes under ASC 740 Income Taxes (“ASC 740”).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periods, disclosure and transition. The Company is required to file income tax returns in the United States (federal) and in various state and local jurisdictions. Based on the Company’s evaluation, it has been concluded that there are no significant uncertain tax positions requiring recognition in the Company’s financial statements. Since the Company was incorporated on April 23, 2015, the evaluation was performed for the 2015 tax year, which will be the only period subject to examination. The Company believes that its income tax positions and deductions would be sustained on audit and does not anticipate any adjustments that would result in a material change to its financial position.</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policy for recording interest and penalties associated with audits is to record such expense as a component of income tax expense. There were no amounts accrued for penalties or interest as of or during the period from January 1, 2016 through September 19, 2016. Management is currently unaware of any issues under review that could result in significant payments, accruals or material deviations from its position.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follows subtopic ASC 850-10 for the identification of related parties and disclosure of related party transactions.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jc w:val="both"/>
        <w:spacing w:after="0" w:line="270" w:lineRule="auto"/>
        <w:rPr>
          <w:sz w:val="20"/>
          <w:szCs w:val="20"/>
          <w:color w:val="auto"/>
        </w:rPr>
      </w:pPr>
      <w:r>
        <w:rPr>
          <w:rFonts w:ascii="Arial" w:cs="Arial" w:eastAsia="Arial" w:hAnsi="Arial"/>
          <w:sz w:val="17"/>
          <w:szCs w:val="17"/>
          <w:color w:val="auto"/>
        </w:rPr>
        <w:t>Pursuant to Section 850-10-20, the related parties include: (a.) affiliates of the Company (“Affiliate” means, with respect to any specified Person, any other Person that, directly or indirectly through one or more intermediaries, controls, is controlled by or is under common control with such Person, as such terms are used in and construed under Rule 405 under the Securities Act); (b.) entities for which investments in their equity securities would be required, absent the election of the fair value option under the Fair Value Option Subsection of Section 825–10–15, to be accounted for by the equity method by the investing entity; (c.) trusts for the benefit of employees, such as pension and profit-sharing trusts that are managed by or under the trusteeship of management; (d.) principal owners of the Company; (e.) management of the Company; (f.) other parties with which the Company may deal if one party controls or can significantly influence the management or operating policies of the other to an extent that one of the transacting parties might be prevented from fully pursuing its own separate interests; and (g.) other parties that can significantly influence the management or operating policies of the transacting parties or that have an ownership interest in one of the transacting parties and can significantly influence the other to an extent that one or more of the transacting parties might be prevented from fully pursuing its own separate interests.</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financial statements shall include disclosures of material related party transactions, other than compensation arrangements, expense allowances, and other similar items in the ordinary course of business. However, disclosure of transactions that are eliminated in the preparation of consolidated or combined financial statements is not required in those statements. The disclosures shall include: (a.) the nature of the relationship(s) involved; (b.) a description of the transactions, including transactions to which no amounts or nominal amounts were ascribed, for each of the periods for which income statements are presented, and such other information deemed necessary to an understanding of the effects of the transactions on the financial statements; (c.) the dollar amounts of transactions for each of the periods for which income statements are presented and the effects of any change in the method of establishing the terms from that used in the preceding period; and (d.) amounts due from or to related parties as of the date of each balance sheet presented and, if not otherwise apparent, the terms and manner of settlement.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management reviewed all material events that have occurred after the balance sheet date through the date which these financial statements were issued.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accompanying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Initial Public Offering</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September 19, 2016, the Company sold 5,000,000 Units at a price of $10.00 per Unit. In addition, the Company granted the Underwriter the option to purchase an additional 750,000 Units solely to cover over allotments, if any, pursuant to a 45 day over- allotment option granted to the Underwriter. Each Unit consists of one share of common stock in the Company, and one Warrant (“Warrant”). Each Warrant entitles the holder to purchase one share of common stock at a price of $11.50 per share commencing on the later of 30 days after the Company’s completion of its initial Business Combination or 12 months from the effective date of the registration statement relating to the Initial Public Offering, and expiring five years from the completion of the Company’s initial Business Combination. The Company may redeem the Warrants at a price of $0.01 per Warrant upon 30 days’ notice, only in the event that the last sale price of the common shares is at least $16.00 per share for any 20 trading days within a 30-trading day period (“30-Day Trading Period”) ending on the third day prior to the date on which notice of redemption is given, provided there is a current registration statement in effect with respect to the common shares underlying such Warrants during the 30 day redemption period. If the Company redeems the Warrants as described above, management will have the option to require all holders that wish to exercise Warrants to do so on a “cashless basis.” In accordance with the warrant agreement relating to the Warrants to be sold and issued in the Offering the Company is only required to use its best efforts to maintain the effectiveness of the registration statement covering the Warrants. If a registration statement is not effective within 90 days following the consummation of a Business Combination, Warrant holders may, until such time as there is an effective registration statement and during any period when the Company shall have failed to maintain an effective registration statement, exercise Warrants on a cashless basis pursuant to an available exemption from registration under the Securities Act of 1933, as amended. In the event that a registration statement is not effective at the time of exercise or no exemption is available for a cashless exercise, the holder of such Warrant shall not be entitled to exercise such Warrant for cash and in no event (whether in the case of a registration statement being effective or otherwise) will the Company be required to net cash settle the Warrant exercise. If an initial Business Combination is not consummated, the Warrants will expire and will be worthless.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Private Units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Simultaneously with the Offering, the Initial Shareholders of the Company purchased an aggregate of 402,500 Private Units at $10.00 per Private Unit (for an aggregate purchase price of $4,025,000) from the Company. All of the proceeds received from these purchases were placed in the Trust Account.</w:t>
      </w: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jc w:val="both"/>
        <w:spacing w:after="0" w:line="287" w:lineRule="auto"/>
        <w:rPr>
          <w:sz w:val="20"/>
          <w:szCs w:val="20"/>
          <w:color w:val="auto"/>
        </w:rPr>
      </w:pPr>
      <w:r>
        <w:rPr>
          <w:rFonts w:ascii="Arial" w:cs="Arial" w:eastAsia="Arial" w:hAnsi="Arial"/>
          <w:sz w:val="16"/>
          <w:szCs w:val="16"/>
          <w:color w:val="auto"/>
        </w:rPr>
        <w:t>The Private Units are identical to the Units sold in the Offering except the Warrants included in the Private Units will be non-redeemable and may be exercised on a cashless basis, in each case so long as they continue to be held by the initial purchasers or their permitted transferees. Additionally, the holders of the Private Units have agreed (A) to vote the shares underlying their Private Units in favor of any proposed Business Combination, (B) not to propose, or vote in favor of, an amendment to the Company’s amended and restated certificate of incorporation with respect to the Company’s pre-Business Combination activities prior to the consummation of such a Business Combination unless the Company provides dissenting Public Stockholders with the opportunity to convert their public shares in connection with any such vote, (C) not to convert any shares underlying the Private Units into the right to receive cash from the Trust Account in connection with a stockholder vote to approve an initial Business Combination or a vote to amend the provisions of the Company’s amended and restated certificate of incorporation relating to shareholders’ rights or pre-Business Combination activity or sell their shares to the Company in connection with a tender offer the Company engages in and (D) that the shares underlying the Private Units shall not participate in any liquidating distribution upon winding up if a Business Combination is not consummated. The purchasers have also agreed not to transfer, assign or sell any of the Private Units or underlying securities (except to the same permitted transferees as the insider shares and provided the transferees agree to the same terms and restrictions as the permitted transferees of the insider shares must agree to, each as described above) until the completion of an initial Business Combination.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Notes Payable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Payable Related Party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issued a $131,720 principal amount unsecured promissory note to an affiliate of the Company’s executive officers. The note was non-interest bearing and payable on the earlier of (i) the consummation of the Offering or (ii) the date on which the Company determines not to proceed with the Offering. As of September 19, 2016, all amounts under the note had been repaid.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Advances from Related Party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affiliate of the Company’s executive officers advanced funds to the Company to pay administrative expenses and offering costs incurred. These advances are due on demand and are non-interest bearing. As of September 19, 2016, the Company repaid $54,230. The amount due to the related party at September 19, 2016 is $971 and is presented as Advances from related party on the accompanying balance sheet.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Payable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July 1, 2015, the Company issued a $55,000 principal amount unsecured promissory note. The note is non-interest bearing and was payable on the earlier of (i) the consummation of the Proposed Public Offering or (ii) the date on which the Company determines not to proceed with the Offering. The note is now due on demand. Due to the short-term nature of the note, the fair value of the note approximates the carrying amount.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entered into an agreement with the underwriters of the Offering (“Underwriting Agreement”). The Underwriting Agreement required the Company to pay an underwriting discount of 3.0% of the gross proceeds of the Offering as an underwriting discount and incur a deferred underwriting discount of up to 2.0% for an aggregate underwriting discount of 5.0% of the gross proceeds of the Offering, in each case as set forth in the Underwriting Agreement. The Company will pay the deferred underwriting fee at the closing of the Business Combination. The underwriters also purchased an interest in M SPAC Holdings I LLC, an entity controlled by the Company’s insiders, which entitles it to a beneficial interest in 48,184 insider shares and 15,000 Private Units.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Underwriting Agreement granted Chardan Capital Markets, LLC a right of first refusal, for a period of thirty-six months from the closing of the Offering, to act as lead investment banker, lead book-runner, and/or lead placement agent with 33% of the economics or 25% if three investment banks are involved in the transaction, for any public or private equity and debt offerings during such period.</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Underwriting Agreement will provide that the Company will pay Chardan Capital Markets, LLC a warrant solicitation fee of five percent (5%) of the exercise price of each public warrant exercised during the period commencing on the later of 12 months from the closing of the Offering or 30 days after the completion of the Company’s initial business combination including warrants acquired by security holders in the open market. The warrant solicitation fee will be payable in cash. There is no limitation on the maximum warrant solicitation fee payable to Chardan Capital Markets, LLC except to the extent it is limited by the number of warrants outstanding.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Option</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sold to the underwriters, for $100, a unit purchase option to purchase up to a total of 300,000 units exercisable at $12.00 per unit (or an aggregate exercise price of $6,000,000) commencing on the later of the consummation of a Business Combination and six months from September 13, 2016. The unit purchase option expires five years from September 13, 2016. The units issuable upon exercise of this option are identical to the Units being offered in the Offering. The Company has agreed to grant to the holders of the unit purchase option, demand and “piggy back” registration rights for periods of five and seven years, respectively, from September 13, 2016, including securities directly and indirectly issuable upon exercise of the unit purchase option.</w:t>
      </w: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jc w:val="both"/>
        <w:spacing w:after="0" w:line="269" w:lineRule="auto"/>
        <w:rPr>
          <w:sz w:val="20"/>
          <w:szCs w:val="20"/>
          <w:color w:val="auto"/>
        </w:rPr>
      </w:pPr>
      <w:r>
        <w:rPr>
          <w:rFonts w:ascii="Arial" w:cs="Arial" w:eastAsia="Arial" w:hAnsi="Arial"/>
          <w:sz w:val="17"/>
          <w:szCs w:val="17"/>
          <w:color w:val="auto"/>
        </w:rPr>
        <w:t>The Company accounts for the fair value of the unit purchase option, inclusive of the receipt of a $100 cash payment, as an expense of the Offering resulting in a charge directly to stockholders’ equity. The Company estimates that the fair value of this unit purchase option was approximately $2,695,000 (or $8.98 per unit) using a Black-Scholes option-pricing model. The fair value of the unit purchase option to be granted to the placement agent is estimated as of the date of grant using the following assumptions: (1) expected volatility of 149%, (2) risk-free interest rate of 1.22% and (3) expected life of five years. The unit purchase option may be exercised for cash or on a “cashless” basis, at the holder’s option (except in the case of a forced cashless exercise upon the Company’s redemption of the Warrants, as described in Note 3), such that the holder may use the appreciated value of the unit purchase option (the difference between the exercise prices of the unit purchase option and the underlying Warrants and the market price of the Units and underlying common stock) to exercise the unit purchase option without the payment of any cash. The Company will have no obligation to net cash settle the exercise of the unit purchase option or the Warrants underlying the unit purchase option. The holder of the unit purchase option will not be entitled to exercise the unit purchase option or the Warrants underlying the unit purchase option unless a registration statement covering the securities underlying the unit purchase option is effective or an exemption from registration is available. If the holder is unable to exercise the unit purchase option or underlying Warrants, the unit purchase option or Warrants, as applicable, will expire worthless.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Initial Stockholders will be entitled to registration rights with respect to their initial shares and the purchasers of the Private Units will be entitled to registration rights with respect to the Private Units (and underlying securities), pursuant to an agreement signed on September 13, 2016. The holders of the majority of the initial shares are entitled to demand that the Company register these shares at any time commencing three months prior to the first anniversary of the consummation of a Business Combination. The holders of the Private Units (or underlying securities) are entitled to demand that the Company register these securities at any time after the Company consummates a Business Combination. In addition, the holders have certain “piggy-back” registration rights on registration statements filed after the Company’s consummation of a Business Combination.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Certificate of Incorporation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Certificate of Incorporation was amended in connection with the Offering to reduce the Company’s authorized shares of common stock from 50,000,000 to 30,000,000.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 Fee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commencing on September 13, 2016, has agreed to pay an affiliate of the Company’s executive officers a monthly fee of $10,000 for general and administrative services.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authorized to issue 1,000,000 preferred shares with a par value of $0.001 per share with such designation, rights and preferences as may be determined from time to time by the Company’s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19, 2016, there are no preferred shares issued or outstanding.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authorized to issue 30,000,000 shares of common stock with a par value of $0.001 per share.</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April 23, 2015, 1,437,500 shares of the Company’s common stock were sold to the Initial Stockholders at a price of approximately $0.02 per share for an aggregate of $25,000. This number includes an aggregate of up to 187,500 shares that are subject to forfeiture if the over-allotment option is not exercised by the underwriters. All of these shares will be placed in escrow until (1) with respect to 50% of the shares, the earlier of six months after the date of the consummation of an initial Business Combination and the date on which the closing price of the Company’s common stock equals or exceeds $12.50 per share (as adjusted for share splits, share dividends, reorganizations and recapitalizations) for any 20 trading days within any 30-trading day period commencing after the Company’s initial business combination and (2) with respect to the remaining 50% of the insider shares, six months after the date of the consummation of an initial Business Combination, or earlier, in either case, if, subsequent to an initial Business Combination, the Company consummates a liquidation, merger, share exchange or other similar transaction which results in all of the Company’s stockholders having the right to exchange their shares for cash, securities or other property.</w:t>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As of September 19, 2016, there were 2,388,759 common shares issued or outstanding, which excludes 4,451,241 shares subject to possible conversion.</w:t>
      </w:r>
    </w:p>
    <w:p>
      <w:pPr>
        <w:spacing w:after="0" w:line="24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Company’s insiders have agreed (A) to vote their insider shares, private shares and any public shares acquired in or after the Offering in favor of any proposed Business Combination, (B) not to propose, or vote in favor of, an amendment to the Company’s certificate of incorporation that would affect the substance or timing of its obligation to redeem 100% of its public shares if it does not complete its initial business combination within 18 months from the closing of the Offering (or 21 months, as applicable), unless the Company provides its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the Company to pay its franchise and income taxes, divided by the number of then outstanding public shares, (C) not to convert any shares (including the insider shares and private shares) into the right to receive cash from the Trust Account in connection with a stockholder vote to approve the Company’s proposed initial Business Combination (or sell any shares they hold to the Company in a tender offer in connection with a proposed initial Business Combination) or a vote to amend the provisions of the Company’s certificate of incorporation relating to the substance or timing of its obligation to redeem 100% of the Company’s public shares if it does not complete its initial business combination within 18 months from the closing of the Offering (or 21 months, as applicable) and (D) that the insider shares and private shares shall not be entitled to be redeemed for a pro rata portion of the funds held in the Trust Account if a Business Combination is not consummated.</w:t>
      </w:r>
    </w:p>
    <w:p>
      <w:pPr>
        <w:spacing w:after="0" w:line="3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2020-01-21T09:48:58Z</dcterms:created>
  <dcterms:modified xsi:type="dcterms:W3CDTF">2020-01-21T09:48:58Z</dcterms:modified>
</cp:coreProperties>
</file>