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January 9,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Priority Technology Holdings,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Delaware</w:t>
            </w:r>
          </w:p>
        </w:tc>
        <w:tc>
          <w:tcPr>
            <w:tcW w:w="21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001-37872</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47-4257046</w:t>
            </w:r>
          </w:p>
        </w:tc>
      </w:tr>
      <w:tr>
        <w:trPr>
          <w:trHeight w:val="27"/>
        </w:trPr>
        <w:tc>
          <w:tcPr>
            <w:tcW w:w="36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40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(State or other jurisdiction of incorporation)</w:t>
            </w:r>
          </w:p>
        </w:tc>
        <w:tc>
          <w:tcPr>
            <w:tcW w:w="3760" w:type="dxa"/>
            <w:vAlign w:val="bottom"/>
            <w:gridSpan w:val="4"/>
          </w:tcPr>
          <w:p>
            <w:pPr>
              <w:jc w:val="center"/>
              <w:ind w:right="380"/>
              <w:spacing w:after="0"/>
              <w:rPr>
                <w:sz w:val="20"/>
                <w:szCs w:val="20"/>
                <w:color w:val="auto"/>
              </w:rPr>
            </w:pPr>
            <w:r>
              <w:rPr>
                <w:rFonts w:ascii="Arial" w:cs="Arial" w:eastAsia="Arial" w:hAnsi="Arial"/>
                <w:sz w:val="18"/>
                <w:szCs w:val="18"/>
                <w:color w:val="auto"/>
                <w:w w:val="92"/>
              </w:rPr>
              <w:t>(Commission 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621"/>
        </w:trPr>
        <w:tc>
          <w:tcPr>
            <w:tcW w:w="4020" w:type="dxa"/>
            <w:vAlign w:val="bottom"/>
            <w:gridSpan w:val="2"/>
          </w:tcPr>
          <w:p>
            <w:pPr>
              <w:jc w:val="center"/>
              <w:ind w:left="1750"/>
              <w:spacing w:after="0"/>
              <w:rPr>
                <w:sz w:val="20"/>
                <w:szCs w:val="20"/>
                <w:color w:val="auto"/>
              </w:rPr>
            </w:pPr>
            <w:r>
              <w:rPr>
                <w:rFonts w:ascii="Arial" w:cs="Arial" w:eastAsia="Arial" w:hAnsi="Arial"/>
                <w:sz w:val="18"/>
                <w:szCs w:val="18"/>
                <w:b w:val="1"/>
                <w:bCs w:val="1"/>
                <w:color w:val="auto"/>
                <w:w w:val="90"/>
              </w:rPr>
              <w:t>2001 Westside Parkway</w:t>
            </w:r>
          </w:p>
        </w:tc>
        <w:tc>
          <w:tcPr>
            <w:tcW w:w="1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40" w:type="dxa"/>
            <w:vAlign w:val="bottom"/>
          </w:tcPr>
          <w:p>
            <w:pPr>
              <w:jc w:val="right"/>
              <w:ind w:right="2310"/>
              <w:spacing w:after="0"/>
              <w:rPr>
                <w:sz w:val="20"/>
                <w:szCs w:val="20"/>
                <w:color w:val="auto"/>
              </w:rPr>
            </w:pPr>
            <w:r>
              <w:rPr>
                <w:rFonts w:ascii="Arial" w:cs="Arial" w:eastAsia="Arial" w:hAnsi="Arial"/>
                <w:sz w:val="18"/>
                <w:szCs w:val="18"/>
                <w:b w:val="1"/>
                <w:bCs w:val="1"/>
                <w:color w:val="auto"/>
              </w:rPr>
              <w:t>30004</w:t>
            </w:r>
          </w:p>
        </w:tc>
      </w:tr>
      <w:tr>
        <w:trPr>
          <w:trHeight w:val="270"/>
        </w:trPr>
        <w:tc>
          <w:tcPr>
            <w:tcW w:w="4020" w:type="dxa"/>
            <w:vAlign w:val="bottom"/>
            <w:gridSpan w:val="2"/>
          </w:tcPr>
          <w:p>
            <w:pPr>
              <w:jc w:val="center"/>
              <w:ind w:left="1750"/>
              <w:spacing w:after="0"/>
              <w:rPr>
                <w:sz w:val="20"/>
                <w:szCs w:val="20"/>
                <w:color w:val="auto"/>
              </w:rPr>
            </w:pPr>
            <w:r>
              <w:rPr>
                <w:rFonts w:ascii="Arial" w:cs="Arial" w:eastAsia="Arial" w:hAnsi="Arial"/>
                <w:sz w:val="18"/>
                <w:szCs w:val="18"/>
                <w:b w:val="1"/>
                <w:bCs w:val="1"/>
                <w:color w:val="auto"/>
                <w:w w:val="88"/>
              </w:rPr>
              <w:t>Suite 155</w:t>
            </w:r>
          </w:p>
        </w:tc>
        <w:tc>
          <w:tcPr>
            <w:tcW w:w="1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40" w:type="dxa"/>
            <w:vAlign w:val="bottom"/>
          </w:tcPr>
          <w:p>
            <w:pPr>
              <w:spacing w:after="0"/>
              <w:rPr>
                <w:sz w:val="23"/>
                <w:szCs w:val="23"/>
                <w:color w:val="auto"/>
              </w:rPr>
            </w:pPr>
          </w:p>
        </w:tc>
      </w:tr>
      <w:tr>
        <w:trPr>
          <w:trHeight w:val="270"/>
        </w:trPr>
        <w:tc>
          <w:tcPr>
            <w:tcW w:w="4020" w:type="dxa"/>
            <w:vAlign w:val="bottom"/>
            <w:gridSpan w:val="2"/>
          </w:tcPr>
          <w:p>
            <w:pPr>
              <w:ind w:left="1000"/>
              <w:spacing w:after="0"/>
              <w:rPr>
                <w:sz w:val="20"/>
                <w:szCs w:val="20"/>
                <w:color w:val="auto"/>
              </w:rPr>
            </w:pPr>
            <w:r>
              <w:rPr>
                <w:rFonts w:ascii="Arial" w:cs="Arial" w:eastAsia="Arial" w:hAnsi="Arial"/>
                <w:sz w:val="18"/>
                <w:szCs w:val="18"/>
                <w:b w:val="1"/>
                <w:bCs w:val="1"/>
                <w:color w:val="auto"/>
              </w:rPr>
              <w:t>Alpharetta,</w:t>
            </w:r>
          </w:p>
        </w:tc>
        <w:tc>
          <w:tcPr>
            <w:tcW w:w="3760" w:type="dxa"/>
            <w:vAlign w:val="bottom"/>
            <w:gridSpan w:val="4"/>
          </w:tcPr>
          <w:p>
            <w:pPr>
              <w:ind w:left="20"/>
              <w:spacing w:after="0"/>
              <w:rPr>
                <w:sz w:val="20"/>
                <w:szCs w:val="20"/>
                <w:color w:val="auto"/>
              </w:rPr>
            </w:pPr>
            <w:r>
              <w:rPr>
                <w:rFonts w:ascii="Arial" w:cs="Arial" w:eastAsia="Arial" w:hAnsi="Arial"/>
                <w:sz w:val="18"/>
                <w:szCs w:val="18"/>
                <w:b w:val="1"/>
                <w:bCs w:val="1"/>
                <w:color w:val="auto"/>
              </w:rPr>
              <w:t>Georgia</w:t>
            </w:r>
          </w:p>
        </w:tc>
        <w:tc>
          <w:tcPr>
            <w:tcW w:w="3640" w:type="dxa"/>
            <w:vAlign w:val="bottom"/>
          </w:tcPr>
          <w:p>
            <w:pPr>
              <w:spacing w:after="0"/>
              <w:rPr>
                <w:sz w:val="23"/>
                <w:szCs w:val="23"/>
                <w:color w:val="auto"/>
              </w:rPr>
            </w:pPr>
          </w:p>
        </w:tc>
      </w:tr>
      <w:tr>
        <w:trPr>
          <w:trHeight w:val="27"/>
        </w:trPr>
        <w:tc>
          <w:tcPr>
            <w:tcW w:w="5840" w:type="dxa"/>
            <w:vAlign w:val="bottom"/>
            <w:tcBorders>
              <w:bottom w:val="single" w:sz="8" w:color="auto"/>
            </w:tcBorders>
            <w:gridSpan w:val="3"/>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7780" w:type="dxa"/>
            <w:vAlign w:val="bottom"/>
            <w:gridSpan w:val="6"/>
          </w:tcPr>
          <w:p>
            <w:pPr>
              <w:jc w:val="center"/>
              <w:ind w:right="1960"/>
              <w:spacing w:after="0"/>
              <w:rPr>
                <w:sz w:val="20"/>
                <w:szCs w:val="20"/>
                <w:color w:val="auto"/>
              </w:rPr>
            </w:pPr>
            <w:r>
              <w:rPr>
                <w:rFonts w:ascii="Arial" w:cs="Arial" w:eastAsia="Arial" w:hAnsi="Arial"/>
                <w:sz w:val="18"/>
                <w:szCs w:val="18"/>
                <w:color w:val="auto"/>
                <w:w w:val="92"/>
              </w:rPr>
              <w:t>(Address of Principal Executive Offices)</w:t>
            </w:r>
          </w:p>
        </w:tc>
        <w:tc>
          <w:tcPr>
            <w:tcW w:w="3640" w:type="dxa"/>
            <w:vAlign w:val="bottom"/>
          </w:tcPr>
          <w:p>
            <w:pPr>
              <w:jc w:val="center"/>
              <w:ind w:right="155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tbl>
      <w:tblPr>
        <w:tblLayout w:type="fixed"/>
        <w:tblInd w:w="58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p>
        </w:tc>
        <w:tc>
          <w:tcPr>
            <w:tcW w:w="7300" w:type="dxa"/>
            <w:vAlign w:val="bottom"/>
            <w:gridSpan w:val="5"/>
          </w:tcPr>
          <w:p>
            <w:pPr>
              <w:ind w:left="8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378"/>
        </w:trPr>
        <w:tc>
          <w:tcPr>
            <w:tcW w:w="2980" w:type="dxa"/>
            <w:vAlign w:val="bottom"/>
          </w:tcPr>
          <w:p>
            <w:pPr>
              <w:jc w:val="center"/>
              <w:ind w:left="330"/>
              <w:spacing w:after="0"/>
              <w:rPr>
                <w:sz w:val="20"/>
                <w:szCs w:val="20"/>
                <w:color w:val="auto"/>
              </w:rPr>
            </w:pPr>
            <w:r>
              <w:rPr>
                <w:rFonts w:ascii="Arial" w:cs="Arial" w:eastAsia="Arial" w:hAnsi="Arial"/>
                <w:sz w:val="18"/>
                <w:szCs w:val="18"/>
                <w:b w:val="1"/>
                <w:bCs w:val="1"/>
                <w:color w:val="auto"/>
                <w:w w:val="87"/>
              </w:rPr>
              <w:t>Title of each class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w:t>
            </w:r>
          </w:p>
        </w:tc>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2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2980" w:type="dxa"/>
            <w:vAlign w:val="bottom"/>
          </w:tcPr>
          <w:p>
            <w:pPr>
              <w:jc w:val="center"/>
              <w:ind w:left="330"/>
              <w:spacing w:after="0"/>
              <w:rPr>
                <w:sz w:val="20"/>
                <w:szCs w:val="20"/>
                <w:color w:val="auto"/>
              </w:rPr>
            </w:pPr>
            <w:r>
              <w:rPr>
                <w:rFonts w:ascii="Arial" w:cs="Arial" w:eastAsia="Arial" w:hAnsi="Arial"/>
                <w:sz w:val="18"/>
                <w:szCs w:val="18"/>
                <w:color w:val="auto"/>
                <w:w w:val="90"/>
              </w:rPr>
              <w:t>Common stock, $0.001 par value</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PRTH</w:t>
            </w:r>
          </w:p>
        </w:tc>
        <w:tc>
          <w:tcPr>
            <w:tcW w:w="4400" w:type="dxa"/>
            <w:vAlign w:val="bottom"/>
          </w:tcPr>
          <w:p>
            <w:pPr>
              <w:ind w:left="1360"/>
              <w:spacing w:after="0"/>
              <w:rPr>
                <w:sz w:val="20"/>
                <w:szCs w:val="20"/>
                <w:color w:val="auto"/>
              </w:rPr>
            </w:pPr>
            <w:r>
              <w:rPr>
                <w:rFonts w:ascii="Arial" w:cs="Arial" w:eastAsia="Arial" w:hAnsi="Arial"/>
                <w:sz w:val="18"/>
                <w:szCs w:val="18"/>
                <w:color w:val="auto"/>
              </w:rPr>
              <w:t>Nasdaq Global Market</w:t>
            </w:r>
          </w:p>
        </w:tc>
      </w:tr>
    </w:tbl>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65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61" w:right="239" w:bottom="1440" w:gutter="0" w:footer="0" w:header="0"/>
        </w:sectPr>
      </w:pPr>
    </w:p>
    <w:bookmarkStart w:id="1" w:name="page2"/>
    <w:bookmarkEnd w:id="1"/>
    <w:p>
      <w:pPr>
        <w:ind w:right="2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38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January 9, 2020, Mr. Afshin Yazdian informed Priority Technology Holdings, Inc. (the Company) that he will resign from his position as President of the Company's Consumer Payments (core acquiring) operating segment, effective January 17, 2020. Mr. Yazdian joined the Company upon its merger with Pipeline Cynergy Holdings, LLC in 2014, where Mr. Yazdian had served as President and Chief Executive Officer. Upon resignation from his current role, Mr. Yazdian will serve the Company as an adviser to its board of directors.</w:t>
      </w:r>
    </w:p>
    <w:p>
      <w:pPr>
        <w:spacing w:after="0" w:line="187" w:lineRule="exact"/>
        <w:rPr>
          <w:sz w:val="20"/>
          <w:szCs w:val="20"/>
          <w:color w:val="auto"/>
        </w:rPr>
      </w:pPr>
    </w:p>
    <w:p>
      <w:pPr>
        <w:jc w:val="both"/>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Effective January 17, 2020, Mr. Yazdian and the Company have mutually agreed to terminate the employment agreement (the Agreement) between the Company and Mr. Yazdian, dated May 21, 2014, which was included as </w:t>
      </w:r>
      <w:hyperlink r:id="rId8">
        <w:r>
          <w:rPr>
            <w:rFonts w:ascii="Arial" w:cs="Arial" w:eastAsia="Arial" w:hAnsi="Arial"/>
            <w:sz w:val="18"/>
            <w:szCs w:val="18"/>
            <w:u w:val="single" w:color="auto"/>
            <w:color w:val="0000FF"/>
          </w:rPr>
          <w:t>Exhibit 10.11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in the Company's Annual Report on Form 10-K for the year ended December 31, 2018 through incorporation by reference to </w:t>
      </w:r>
      <w:hyperlink r:id="rId8">
        <w:r>
          <w:rPr>
            <w:rFonts w:ascii="Arial" w:cs="Arial" w:eastAsia="Arial" w:hAnsi="Arial"/>
            <w:sz w:val="18"/>
            <w:szCs w:val="18"/>
            <w:u w:val="single" w:color="auto"/>
            <w:color w:val="0000FF"/>
          </w:rPr>
          <w:t>Exhibit 10.11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Company's Registration Statement on Form S-4/A, filed December 26, 2018. In connection with Mr. Yazdian’s resignation, the Company and Mr. Yazdian have agreed that Section 5(d) of the Agreement related to non-competition matters will remain in effect until July 1, 2020.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January 14, 2020</w:t>
      </w:r>
    </w:p>
    <w:p>
      <w:pPr>
        <w:spacing w:after="0" w:line="33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PRIORITY TECHNOLOGY HOLDINGS, INC.</w:t>
      </w:r>
    </w:p>
    <w:p>
      <w:pPr>
        <w:spacing w:after="0" w:line="333" w:lineRule="exact"/>
        <w:rPr>
          <w:sz w:val="20"/>
          <w:szCs w:val="20"/>
          <w:color w:val="auto"/>
        </w:rPr>
      </w:pPr>
    </w:p>
    <w:p>
      <w:pPr>
        <w:ind w:left="5860"/>
        <w:spacing w:after="0"/>
        <w:rPr>
          <w:sz w:val="20"/>
          <w:szCs w:val="20"/>
          <w:color w:val="auto"/>
        </w:rPr>
      </w:pPr>
      <w:r>
        <w:rPr>
          <w:rFonts w:ascii="Arial" w:cs="Arial" w:eastAsia="Arial" w:hAnsi="Arial"/>
          <w:sz w:val="18"/>
          <w:szCs w:val="18"/>
          <w:u w:val="single" w:color="auto"/>
          <w:color w:val="auto"/>
        </w:rPr>
        <w:t>By: /s/ Michael Vollkommer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Michael Vollkommer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hyperlink" Target="http://www.sec.gov/Archives/edgar/data/1653558/000161577418014981/s114881_ex1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2020-01-14T15:43:23Z</dcterms:created>
  <dcterms:modified xsi:type="dcterms:W3CDTF">2020-01-14T15:43:23Z</dcterms:modified>
</cp:coreProperties>
</file>