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May 6, 2025</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106680</wp:posOffset>
            </wp:positionV>
            <wp:extent cx="1697355" cy="537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80" w:type="dxa"/>
            <w:vAlign w:val="bottom"/>
            <w:gridSpan w:val="2"/>
          </w:tcPr>
          <w:p>
            <w:pPr>
              <w:jc w:val="center"/>
              <w:ind w:right="146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w w:val="99"/>
              </w:rPr>
              <w:t>NASDAQ</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May 6, 2025, Priority Technology Holdings, Inc. ("Priority") issued a press release announcing its financial results for the quarter ended March 31, 2025.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6, 2025, Priority will hold an earnings conference call and webcast at 11:00 a.m. (Eastern Time) to discuss the financial results for the quarter ended March 31, 2025.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May 6, 2025</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6, 2025</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M.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M.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2928620</wp:posOffset>
            </wp:positionH>
            <wp:positionV relativeFrom="page">
              <wp:posOffset>517525</wp:posOffset>
            </wp:positionV>
            <wp:extent cx="1697355" cy="537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 Reports First Quarter Financial Results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xml:space="preserve">Strong </w:t>
      </w:r>
      <w:r>
        <w:rPr>
          <w:rFonts w:ascii="Times New Roman" w:cs="Times New Roman" w:eastAsia="Times New Roman" w:hAnsi="Times New Roman"/>
          <w:sz w:val="15"/>
          <w:szCs w:val="15"/>
          <w:i w:val="1"/>
          <w:iCs w:val="1"/>
          <w:color w:val="auto"/>
        </w:rPr>
        <w:t>First Quarter</w:t>
      </w:r>
      <w:r>
        <w:rPr>
          <w:rFonts w:ascii="Times New Roman" w:cs="Times New Roman" w:eastAsia="Times New Roman" w:hAnsi="Times New Roman"/>
          <w:sz w:val="14"/>
          <w:szCs w:val="14"/>
          <w:i w:val="1"/>
          <w:iCs w:val="1"/>
          <w:color w:val="auto"/>
        </w:rPr>
        <w:t xml:space="preserve"> Growth Driven by Performance Across Unified Commerce Platform</w:t>
      </w:r>
    </w:p>
    <w:p>
      <w:pPr>
        <w:spacing w:after="0" w:line="179" w:lineRule="exact"/>
        <w:rPr>
          <w:sz w:val="20"/>
          <w:szCs w:val="20"/>
          <w:color w:val="auto"/>
        </w:rPr>
      </w:pPr>
    </w:p>
    <w:p>
      <w:pPr>
        <w:jc w:val="both"/>
        <w:ind w:right="20"/>
        <w:spacing w:after="0" w:line="338" w:lineRule="auto"/>
        <w:rPr>
          <w:sz w:val="20"/>
          <w:szCs w:val="20"/>
          <w:color w:val="auto"/>
        </w:rPr>
      </w:pPr>
      <w:r>
        <w:rPr>
          <w:rFonts w:ascii="Times New Roman" w:cs="Times New Roman" w:eastAsia="Times New Roman" w:hAnsi="Times New Roman"/>
          <w:sz w:val="13"/>
          <w:szCs w:val="13"/>
          <w:color w:val="auto"/>
        </w:rPr>
        <w:t>ALPHARETTA, GA - May 6, 2025 -- Priority Technology Holdings, Inc. (NASDAQ: PRTH) ("Priority" or the "Company"), the payments and banking fintech that streamlines collecting, storing, lending, and sending money to unlock revenue opportunities, today announced its first quarter 2025 financial results including strong year-over-year diversified revenue growth.</w:t>
      </w:r>
    </w:p>
    <w:p>
      <w:pPr>
        <w:spacing w:after="0" w:line="92"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"Strong first quarter growth in revenue and profits continues to demonstrate the value of our Priority Commerce Engine, purpose built to help our customers accelerate cash flow and optimize working capital. We delivered consistent results across each of our SMB Acquiring, B2B Payables and Enterprise Payments segments," said Tom Priore, Chairman &amp; CEO of Priority. “The blend of the diverse and counter-cyclical aspects of our platform combined with relentless execution to gain market share in traditional payment segments reinforces that Priority's technology, operations and vision have positioned us to excel through the remainder of 2025 and beyond despite an uncertain macro-economic environment.”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First Quarter 2025 Financial Highlights compared with First Quarter 2024</w:t>
      </w:r>
      <w:r>
        <w:rPr>
          <w:rFonts w:ascii="Times New Roman" w:cs="Times New Roman" w:eastAsia="Times New Roman" w:hAnsi="Times New Roman"/>
          <w:sz w:val="17"/>
          <w:szCs w:val="17"/>
          <w:color w:val="auto"/>
          <w:vertAlign w:val="superscript"/>
        </w:rPr>
        <w:t>1</w:t>
      </w:r>
    </w:p>
    <w:p>
      <w:pPr>
        <w:spacing w:after="0" w:line="133"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$224.6 million increased 9.2% from $205.7 million</w:t>
      </w:r>
    </w:p>
    <w:p>
      <w:pPr>
        <w:spacing w:after="0" w:line="3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of $87.3 million </w:t>
      </w:r>
      <w:r>
        <w:rPr>
          <w:rFonts w:ascii="Times New Roman" w:cs="Times New Roman" w:eastAsia="Times New Roman" w:hAnsi="Times New Roman"/>
          <w:sz w:val="14"/>
          <w:szCs w:val="14"/>
          <w:color w:val="auto"/>
        </w:rPr>
        <w:t>increased 14.2%</w:t>
      </w:r>
      <w:r>
        <w:rPr>
          <w:rFonts w:ascii="Times New Roman" w:cs="Times New Roman" w:eastAsia="Times New Roman" w:hAnsi="Times New Roman"/>
          <w:sz w:val="13"/>
          <w:szCs w:val="13"/>
          <w:color w:val="auto"/>
        </w:rPr>
        <w:t xml:space="preserve"> from $76.4 million</w:t>
      </w:r>
    </w:p>
    <w:p>
      <w:pPr>
        <w:spacing w:after="0" w:line="1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38.9%</w:t>
      </w:r>
      <w:r>
        <w:rPr>
          <w:rFonts w:ascii="Times New Roman" w:cs="Times New Roman" w:eastAsia="Times New Roman" w:hAnsi="Times New Roman"/>
          <w:sz w:val="13"/>
          <w:szCs w:val="13"/>
          <w:color w:val="auto"/>
        </w:rPr>
        <w:t xml:space="preserve"> increased </w:t>
      </w:r>
      <w:r>
        <w:rPr>
          <w:rFonts w:ascii="Times New Roman" w:cs="Times New Roman" w:eastAsia="Times New Roman" w:hAnsi="Times New Roman"/>
          <w:sz w:val="14"/>
          <w:szCs w:val="14"/>
          <w:color w:val="auto"/>
        </w:rPr>
        <w:t>170</w:t>
      </w:r>
      <w:r>
        <w:rPr>
          <w:rFonts w:ascii="Times New Roman" w:cs="Times New Roman" w:eastAsia="Times New Roman" w:hAnsi="Times New Roman"/>
          <w:sz w:val="13"/>
          <w:szCs w:val="13"/>
          <w:color w:val="auto"/>
        </w:rPr>
        <w:t xml:space="preserve"> basis points from </w:t>
      </w:r>
      <w:r>
        <w:rPr>
          <w:rFonts w:ascii="Times New Roman" w:cs="Times New Roman" w:eastAsia="Times New Roman" w:hAnsi="Times New Roman"/>
          <w:sz w:val="14"/>
          <w:szCs w:val="14"/>
          <w:color w:val="auto"/>
        </w:rPr>
        <w:t>37.1%</w:t>
      </w:r>
    </w:p>
    <w:p>
      <w:pPr>
        <w:spacing w:after="0" w:line="2"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Operating income of $32.6 million </w:t>
      </w:r>
      <w:r>
        <w:rPr>
          <w:rFonts w:ascii="Times New Roman" w:cs="Times New Roman" w:eastAsia="Times New Roman" w:hAnsi="Times New Roman"/>
          <w:sz w:val="14"/>
          <w:szCs w:val="14"/>
          <w:color w:val="auto"/>
        </w:rPr>
        <w:t>increased 16.4%</w:t>
      </w:r>
      <w:r>
        <w:rPr>
          <w:rFonts w:ascii="Times New Roman" w:cs="Times New Roman" w:eastAsia="Times New Roman" w:hAnsi="Times New Roman"/>
          <w:sz w:val="13"/>
          <w:szCs w:val="13"/>
          <w:color w:val="auto"/>
        </w:rPr>
        <w:t xml:space="preserve"> from $28.0 million</w:t>
      </w:r>
    </w:p>
    <w:p>
      <w:pPr>
        <w:spacing w:after="0" w:line="21"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$51.3 million increased 10.7%</w:t>
      </w:r>
      <w:r>
        <w:rPr>
          <w:rFonts w:ascii="Times New Roman" w:cs="Times New Roman" w:eastAsia="Times New Roman" w:hAnsi="Times New Roman"/>
          <w:sz w:val="13"/>
          <w:szCs w:val="13"/>
          <w:color w:val="auto"/>
        </w:rPr>
        <w:t xml:space="preserve"> from $46.3 million</w:t>
      </w:r>
    </w:p>
    <w:p>
      <w:pPr>
        <w:spacing w:after="0" w:line="38"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EPS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$0.22</w:t>
      </w:r>
      <w:r>
        <w:rPr>
          <w:rFonts w:ascii="Times New Roman" w:cs="Times New Roman" w:eastAsia="Times New Roman" w:hAnsi="Times New Roman"/>
          <w:sz w:val="13"/>
          <w:szCs w:val="13"/>
          <w:color w:val="auto"/>
        </w:rPr>
        <w:t xml:space="preserve"> increased by $0.19, or 633.3%, from $0.03</w:t>
      </w:r>
    </w:p>
    <w:p>
      <w:pPr>
        <w:spacing w:after="0" w:line="10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compute accurately due to rounding.</w:t>
      </w:r>
    </w:p>
    <w:p>
      <w:pPr>
        <w:spacing w:after="0" w:line="22" w:lineRule="exact"/>
        <w:rPr>
          <w:rFonts w:ascii="Times New Roman" w:cs="Times New Roman" w:eastAsia="Times New Roman" w:hAnsi="Times New Roman"/>
          <w:sz w:val="17"/>
          <w:szCs w:val="17"/>
          <w:i w:val="1"/>
          <w:iCs w:val="1"/>
          <w:color w:val="auto"/>
          <w:vertAlign w:val="superscript"/>
        </w:rPr>
      </w:pPr>
    </w:p>
    <w:p>
      <w:pPr>
        <w:ind w:left="420" w:hanging="212"/>
        <w:spacing w:after="0" w:line="226" w:lineRule="auto"/>
        <w:tabs>
          <w:tab w:leader="none" w:pos="412" w:val="left"/>
        </w:tabs>
        <w:numPr>
          <w:ilvl w:val="0"/>
          <w:numId w:val="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Adjusted EBITDA, and Adjusted EPS (non-GAAP) to their most comparable GAAP measures provided within this document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440"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2025 Financial Guidance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Priority's outlook remains strong and we affirm our full year 2025 guidance as follows:</w:t>
      </w:r>
    </w:p>
    <w:p>
      <w:pPr>
        <w:spacing w:after="0" w:line="175"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forecast to range between $965 million to $1 billion, a growth rate of 10% to 14%, compared to fiscal 2024 results</w:t>
      </w:r>
    </w:p>
    <w:p>
      <w:pPr>
        <w:spacing w:after="0" w:line="39"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to range between $360 million and $385 million, a growth rate of 10% to 17% compared to fiscal 2024 results</w:t>
      </w:r>
    </w:p>
    <w:p>
      <w:pPr>
        <w:spacing w:after="0" w:line="30"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 forecast to range between $220 million to $230 million, a growth rate of 8% to 13% compared to fiscal 2024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77"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070707"/>
        </w:rPr>
        <w:t>The Company will host a conference call on Tuesday, May 6, 2025 at 11:00 a.m. EST to discuss its first quarter financial results. Participants can access the call by p</w:t>
      </w:r>
      <w:r>
        <w:rPr>
          <w:rFonts w:ascii="Times New Roman" w:cs="Times New Roman" w:eastAsia="Times New Roman" w:hAnsi="Times New Roman"/>
          <w:sz w:val="13"/>
          <w:szCs w:val="13"/>
          <w:color w:val="000000"/>
        </w:rPr>
        <w:t>hone in the U.S. or Canada at (877) 407-0752 or</w:t>
      </w:r>
      <w:r>
        <w:rPr>
          <w:rFonts w:ascii="Times New Roman" w:cs="Times New Roman" w:eastAsia="Times New Roman" w:hAnsi="Times New Roman"/>
          <w:sz w:val="13"/>
          <w:szCs w:val="13"/>
          <w:color w:val="070707"/>
        </w:rPr>
        <w:t xml:space="preserve"> </w:t>
      </w:r>
      <w:r>
        <w:rPr>
          <w:rFonts w:ascii="Times New Roman" w:cs="Times New Roman" w:eastAsia="Times New Roman" w:hAnsi="Times New Roman"/>
          <w:sz w:val="13"/>
          <w:szCs w:val="13"/>
          <w:color w:val="000000"/>
        </w:rPr>
        <w:t>internationally at (201) 389-0912.</w:t>
      </w:r>
    </w:p>
    <w:p>
      <w:pPr>
        <w:spacing w:after="0" w:line="107"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https://viavid.webcasts.com/starthere.jsp?ei=1717257&amp;tp_key=17b579fc0a</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www.prioritycommerce.com/investors.</w:t>
      </w:r>
    </w:p>
    <w:p>
      <w:pPr>
        <w:spacing w:after="0" w:line="99"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May 20, 2025, at 11:59 p.m. ET. To listen to the audio replay, dial (844) 512-2921 or (412) 317-6671 and enter conference ID number </w:t>
      </w:r>
      <w:r>
        <w:rPr>
          <w:rFonts w:ascii="Times New Roman" w:cs="Times New Roman" w:eastAsia="Times New Roman" w:hAnsi="Times New Roman"/>
          <w:sz w:val="13"/>
          <w:szCs w:val="13"/>
          <w:b w:val="1"/>
          <w:bCs w:val="1"/>
          <w:color w:val="auto"/>
        </w:rPr>
        <w:t>13753537</w:t>
      </w:r>
      <w:r>
        <w:rPr>
          <w:rFonts w:ascii="Times New Roman" w:cs="Times New Roman" w:eastAsia="Times New Roman" w:hAnsi="Times New Roman"/>
          <w:sz w:val="13"/>
          <w:szCs w:val="13"/>
          <w:color w:val="auto"/>
        </w:rPr>
        <w:t>. Alternatively, you may access the webcast replay in the "Investor Relations" section of the Company's website at www.prioritycommerce.com/investors.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8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5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Gross Profit and Adjusted Gross Profit Margin</w:t>
      </w:r>
    </w:p>
    <w:p>
      <w:pPr>
        <w:spacing w:after="0" w:line="179"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224,630</w:t>
            </w:r>
          </w:p>
        </w:tc>
        <w:tc>
          <w:tcPr>
            <w:tcW w:w="8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205,719</w:t>
            </w:r>
          </w:p>
        </w:tc>
        <w:tc>
          <w:tcPr>
            <w:tcW w:w="0" w:type="dxa"/>
            <w:vAlign w:val="bottom"/>
          </w:tcPr>
          <w:p>
            <w:pPr>
              <w:spacing w:after="0"/>
              <w:rPr>
                <w:sz w:val="1"/>
                <w:szCs w:val="1"/>
                <w:color w:val="auto"/>
              </w:rPr>
            </w:pPr>
          </w:p>
        </w:tc>
      </w:tr>
      <w:tr>
        <w:trPr>
          <w:trHeight w:val="17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(137,353)</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(129,298)</w:t>
            </w:r>
          </w:p>
        </w:tc>
        <w:tc>
          <w:tcPr>
            <w:tcW w:w="0" w:type="dxa"/>
            <w:vAlign w:val="bottom"/>
          </w:tcPr>
          <w:p>
            <w:pPr>
              <w:spacing w:after="0"/>
              <w:rPr>
                <w:sz w:val="1"/>
                <w:szCs w:val="1"/>
                <w:color w:val="auto"/>
              </w:rPr>
            </w:pPr>
          </w:p>
        </w:tc>
      </w:tr>
      <w:tr>
        <w:trPr>
          <w:trHeight w:val="163"/>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87,277</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76,421</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38.9 %</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37.1 %</w:t>
            </w:r>
          </w:p>
        </w:tc>
        <w:tc>
          <w:tcPr>
            <w:tcW w:w="0" w:type="dxa"/>
            <w:vAlign w:val="bottom"/>
          </w:tcPr>
          <w:p>
            <w:pPr>
              <w:spacing w:after="0"/>
              <w:rPr>
                <w:sz w:val="1"/>
                <w:szCs w:val="1"/>
                <w:color w:val="auto"/>
              </w:rPr>
            </w:pPr>
          </w:p>
        </w:tc>
      </w:tr>
      <w:tr>
        <w:trPr>
          <w:trHeight w:val="17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(4,668)</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(3,900)</w:t>
            </w:r>
          </w:p>
        </w:tc>
        <w:tc>
          <w:tcPr>
            <w:tcW w:w="0" w:type="dxa"/>
            <w:vAlign w:val="bottom"/>
          </w:tcPr>
          <w:p>
            <w:pPr>
              <w:spacing w:after="0"/>
              <w:rPr>
                <w:sz w:val="1"/>
                <w:szCs w:val="1"/>
                <w:color w:val="auto"/>
              </w:rPr>
            </w:pPr>
          </w:p>
        </w:tc>
      </w:tr>
      <w:tr>
        <w:trPr>
          <w:trHeight w:val="163"/>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82,609</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72,521</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36.8 %</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35.3 %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8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3"/>
        </w:trPr>
        <w:tc>
          <w:tcPr>
            <w:tcW w:w="54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85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4"/>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224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8,268</w:t>
            </w:r>
          </w:p>
        </w:tc>
        <w:tc>
          <w:tcPr>
            <w:tcW w:w="8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5,193</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23,176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20,880</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w:t>
            </w:r>
          </w:p>
        </w:tc>
        <w:tc>
          <w:tcPr>
            <w:tcW w:w="0" w:type="dxa"/>
            <w:vAlign w:val="bottom"/>
          </w:tcPr>
          <w:p>
            <w:pPr>
              <w:spacing w:after="0"/>
              <w:rPr>
                <w:sz w:val="1"/>
                <w:szCs w:val="1"/>
                <w:color w:val="auto"/>
              </w:rPr>
            </w:pPr>
          </w:p>
        </w:tc>
      </w:tr>
      <w:tr>
        <w:trPr>
          <w:trHeight w:val="172"/>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13,777</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15,253</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2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47,471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43,908</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modification and extinguishment expenses</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0" w:type="dxa"/>
            <w:vAlign w:val="bottom"/>
          </w:tcPr>
          <w:p>
            <w:pPr>
              <w:spacing w:after="0"/>
              <w:rPr>
                <w:sz w:val="1"/>
                <w:szCs w:val="1"/>
                <w:color w:val="auto"/>
              </w:rPr>
            </w:pPr>
          </w:p>
        </w:tc>
      </w:tr>
      <w:tr>
        <w:trPr>
          <w:trHeight w:val="174"/>
        </w:trPr>
        <w:tc>
          <w:tcPr>
            <w:tcW w:w="5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2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24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51,294</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46,340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40" w:type="dxa"/>
            <w:vAlign w:val="bottom"/>
            <w:vMerge w:val="restart"/>
          </w:tcPr>
          <w:p>
            <w:pPr>
              <w:jc w:val="right"/>
              <w:ind w:right="1900"/>
              <w:spacing w:after="0"/>
              <w:rPr>
                <w:sz w:val="20"/>
                <w:szCs w:val="20"/>
                <w:color w:val="auto"/>
              </w:rPr>
            </w:pPr>
            <w:r>
              <w:rPr>
                <w:rFonts w:ascii="Times New Roman" w:cs="Times New Roman" w:eastAsia="Times New Roman" w:hAnsi="Times New Roman"/>
                <w:sz w:val="12"/>
                <w:szCs w:val="12"/>
                <w:color w:val="auto"/>
              </w:rPr>
              <w:t>3</w:t>
            </w: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4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58" w:right="29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080" w:type="dxa"/>
            <w:vAlign w:val="bottom"/>
            <w:gridSpan w:val="4"/>
          </w:tcPr>
          <w:p>
            <w:pPr>
              <w:jc w:val="right"/>
              <w:ind w:right="77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63"/>
        </w:trPr>
        <w:tc>
          <w:tcPr>
            <w:tcW w:w="78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5"/>
        </w:trPr>
        <w:tc>
          <w:tcPr>
            <w:tcW w:w="7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71"/>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71"/>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Other expenses, net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74"/>
        </w:trPr>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Litigation settlement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78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2,199</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798</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80"/>
          </w:cols>
          <w:pgMar w:left="300" w:top="980"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Earnings Per Share (Adjusted EPS)</w:t>
      </w:r>
    </w:p>
    <w:p>
      <w:pPr>
        <w:spacing w:after="0" w:line="170" w:lineRule="exact"/>
        <w:rPr>
          <w:sz w:val="20"/>
          <w:szCs w:val="20"/>
          <w:color w:val="auto"/>
        </w:rPr>
      </w:pPr>
    </w:p>
    <w:p>
      <w:pPr>
        <w:ind w:right="80"/>
        <w:spacing w:after="0" w:line="338" w:lineRule="auto"/>
        <w:rPr>
          <w:sz w:val="20"/>
          <w:szCs w:val="20"/>
          <w:color w:val="auto"/>
        </w:rPr>
      </w:pPr>
      <w:r>
        <w:rPr>
          <w:rFonts w:ascii="Times New Roman" w:cs="Times New Roman" w:eastAsia="Times New Roman" w:hAnsi="Times New Roman"/>
          <w:sz w:val="13"/>
          <w:szCs w:val="13"/>
          <w:color w:val="auto"/>
        </w:rPr>
        <w:t>Adjusted EPS is a performance measure. Adjusted EPS is calculated by dividing adjusted net income (loss) attributable to common shareholders by weighted average number shares outstanding for the respective periods.</w:t>
      </w:r>
    </w:p>
    <w:p>
      <w:pPr>
        <w:spacing w:after="0" w:line="110" w:lineRule="exact"/>
        <w:rPr>
          <w:sz w:val="20"/>
          <w:szCs w:val="20"/>
          <w:color w:val="auto"/>
        </w:rPr>
      </w:pPr>
    </w:p>
    <w:p>
      <w:pPr>
        <w:ind w:right="340"/>
        <w:spacing w:after="0" w:line="324" w:lineRule="auto"/>
        <w:rPr>
          <w:sz w:val="20"/>
          <w:szCs w:val="20"/>
          <w:color w:val="auto"/>
        </w:rPr>
      </w:pPr>
      <w:r>
        <w:rPr>
          <w:rFonts w:ascii="Times New Roman" w:cs="Times New Roman" w:eastAsia="Times New Roman" w:hAnsi="Times New Roman"/>
          <w:sz w:val="13"/>
          <w:szCs w:val="13"/>
          <w:color w:val="auto"/>
        </w:rPr>
        <w:t>Adjusted net income attributable to common shareholders begins with net income (loss) attributable to common shareholders adjusted to exclude various items listed below. We believe that adjusted EPS is a measure that is useful to investors and management in understanding our ongoing profitability and in analysis of ongoing profitability trends.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4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60"/>
        </w:trPr>
        <w:tc>
          <w:tcPr>
            <w:tcW w:w="8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Reconciliation of Adjusted EPS</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5"/>
        </w:trPr>
        <w:tc>
          <w:tcPr>
            <w:tcW w:w="84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6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 attributable to common shareholders</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8,268</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(8,050)</w:t>
            </w:r>
          </w:p>
        </w:tc>
        <w:tc>
          <w:tcPr>
            <w:tcW w:w="0" w:type="dxa"/>
            <w:vAlign w:val="bottom"/>
          </w:tcPr>
          <w:p>
            <w:pPr>
              <w:spacing w:after="0"/>
              <w:rPr>
                <w:sz w:val="1"/>
                <w:szCs w:val="1"/>
                <w:color w:val="auto"/>
              </w:rPr>
            </w:pPr>
          </w:p>
        </w:tc>
      </w:tr>
      <w:tr>
        <w:trPr>
          <w:trHeight w:val="171"/>
        </w:trPr>
        <w:tc>
          <w:tcPr>
            <w:tcW w:w="8460" w:type="dxa"/>
            <w:vAlign w:val="bottom"/>
          </w:tcPr>
          <w:p>
            <w:pPr>
              <w:spacing w:after="0"/>
              <w:rPr>
                <w:sz w:val="20"/>
                <w:szCs w:val="20"/>
                <w:color w:val="auto"/>
              </w:rPr>
            </w:pPr>
            <w:r>
              <w:rPr>
                <w:rFonts w:ascii="Times New Roman" w:cs="Times New Roman" w:eastAsia="Times New Roman" w:hAnsi="Times New Roman"/>
                <w:sz w:val="13"/>
                <w:szCs w:val="13"/>
                <w:color w:val="auto"/>
              </w:rPr>
              <w:t>Debt extinguishment and modification costs</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8460" w:type="dxa"/>
            <w:vAlign w:val="bottom"/>
          </w:tcPr>
          <w:p>
            <w:pPr>
              <w:spacing w:after="0"/>
              <w:rPr>
                <w:sz w:val="20"/>
                <w:szCs w:val="20"/>
                <w:color w:val="auto"/>
              </w:rPr>
            </w:pPr>
            <w:r>
              <w:rPr>
                <w:rFonts w:ascii="Times New Roman" w:cs="Times New Roman" w:eastAsia="Times New Roman" w:hAnsi="Times New Roman"/>
                <w:sz w:val="13"/>
                <w:szCs w:val="13"/>
                <w:color w:val="auto"/>
              </w:rPr>
              <w:t>Stock based compensation</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0" w:type="dxa"/>
            <w:vAlign w:val="bottom"/>
          </w:tcPr>
          <w:p>
            <w:pPr>
              <w:spacing w:after="0"/>
              <w:rPr>
                <w:sz w:val="1"/>
                <w:szCs w:val="1"/>
                <w:color w:val="auto"/>
              </w:rPr>
            </w:pPr>
          </w:p>
        </w:tc>
      </w:tr>
      <w:tr>
        <w:trPr>
          <w:trHeight w:val="171"/>
        </w:trPr>
        <w:tc>
          <w:tcPr>
            <w:tcW w:w="8460" w:type="dxa"/>
            <w:vAlign w:val="bottom"/>
          </w:tcPr>
          <w:p>
            <w:pPr>
              <w:spacing w:after="0"/>
              <w:rPr>
                <w:sz w:val="20"/>
                <w:szCs w:val="20"/>
                <w:color w:val="auto"/>
              </w:rPr>
            </w:pPr>
            <w:r>
              <w:rPr>
                <w:rFonts w:ascii="Times New Roman" w:cs="Times New Roman" w:eastAsia="Times New Roman" w:hAnsi="Times New Roman"/>
                <w:sz w:val="13"/>
                <w:szCs w:val="13"/>
                <w:color w:val="auto"/>
              </w:rPr>
              <w:t>Other non-recurring expenses</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0" w:type="dxa"/>
            <w:vAlign w:val="bottom"/>
          </w:tcPr>
          <w:p>
            <w:pPr>
              <w:spacing w:after="0"/>
              <w:rPr>
                <w:sz w:val="1"/>
                <w:szCs w:val="1"/>
                <w:color w:val="auto"/>
              </w:rPr>
            </w:pPr>
          </w:p>
        </w:tc>
      </w:tr>
      <w:tr>
        <w:trPr>
          <w:trHeight w:val="171"/>
        </w:trPr>
        <w:tc>
          <w:tcPr>
            <w:tcW w:w="846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acquisition related intangible assets</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11,692</w:t>
            </w:r>
          </w:p>
        </w:tc>
        <w:tc>
          <w:tcPr>
            <w:tcW w:w="0" w:type="dxa"/>
            <w:vAlign w:val="bottom"/>
          </w:tcPr>
          <w:p>
            <w:pPr>
              <w:spacing w:after="0"/>
              <w:rPr>
                <w:sz w:val="1"/>
                <w:szCs w:val="1"/>
                <w:color w:val="auto"/>
              </w:rPr>
            </w:pPr>
          </w:p>
        </w:tc>
      </w:tr>
      <w:tr>
        <w:trPr>
          <w:trHeight w:val="177"/>
        </w:trPr>
        <w:tc>
          <w:tcPr>
            <w:tcW w:w="846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Tax impact of adjustments</w:t>
            </w:r>
            <w:r>
              <w:rPr>
                <w:rFonts w:ascii="Times New Roman" w:cs="Times New Roman" w:eastAsia="Times New Roman" w:hAnsi="Times New Roman"/>
                <w:sz w:val="17"/>
                <w:szCs w:val="17"/>
                <w:color w:val="auto"/>
                <w:vertAlign w:val="superscript"/>
              </w:rPr>
              <w:t>(1)</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(3,556)</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(3,670)</w:t>
            </w:r>
          </w:p>
        </w:tc>
        <w:tc>
          <w:tcPr>
            <w:tcW w:w="0" w:type="dxa"/>
            <w:vAlign w:val="bottom"/>
          </w:tcPr>
          <w:p>
            <w:pPr>
              <w:spacing w:after="0"/>
              <w:rPr>
                <w:sz w:val="1"/>
                <w:szCs w:val="1"/>
                <w:color w:val="auto"/>
              </w:rPr>
            </w:pPr>
          </w:p>
        </w:tc>
      </w:tr>
      <w:tr>
        <w:trPr>
          <w:trHeight w:val="160"/>
        </w:trPr>
        <w:tc>
          <w:tcPr>
            <w:tcW w:w="8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income attributable to common share holders</w:t>
            </w: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17,849</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2,404</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8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78,021</w:t>
            </w:r>
          </w:p>
        </w:tc>
        <w:tc>
          <w:tcPr>
            <w:tcW w:w="0" w:type="dxa"/>
            <w:vAlign w:val="bottom"/>
          </w:tcPr>
          <w:p>
            <w:pPr>
              <w:spacing w:after="0"/>
              <w:rPr>
                <w:sz w:val="1"/>
                <w:szCs w:val="1"/>
                <w:color w:val="auto"/>
              </w:rPr>
            </w:pPr>
          </w:p>
        </w:tc>
      </w:tr>
      <w:tr>
        <w:trPr>
          <w:trHeight w:val="169"/>
        </w:trPr>
        <w:tc>
          <w:tcPr>
            <w:tcW w:w="8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Effect of dilutive potential common shares</w:t>
            </w: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74"/>
        </w:trPr>
        <w:tc>
          <w:tcPr>
            <w:tcW w:w="8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Weighted average shares outstanding (diluted)</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79,857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78,225</w:t>
            </w:r>
          </w:p>
        </w:tc>
        <w:tc>
          <w:tcPr>
            <w:tcW w:w="0" w:type="dxa"/>
            <w:vAlign w:val="bottom"/>
          </w:tcPr>
          <w:p>
            <w:pPr>
              <w:spacing w:after="0"/>
              <w:rPr>
                <w:sz w:val="1"/>
                <w:szCs w:val="1"/>
                <w:color w:val="auto"/>
              </w:rPr>
            </w:pPr>
          </w:p>
        </w:tc>
      </w:tr>
      <w:tr>
        <w:trPr>
          <w:trHeight w:val="350"/>
        </w:trPr>
        <w:tc>
          <w:tcPr>
            <w:tcW w:w="84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Earnings (loss) per common share: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0" w:type="dxa"/>
            <w:vAlign w:val="bottom"/>
          </w:tcPr>
          <w:p>
            <w:pPr>
              <w:spacing w:after="0"/>
              <w:rPr>
                <w:sz w:val="1"/>
                <w:szCs w:val="1"/>
                <w:color w:val="auto"/>
              </w:rPr>
            </w:pPr>
          </w:p>
        </w:tc>
      </w:tr>
      <w:tr>
        <w:trPr>
          <w:trHeight w:val="172"/>
        </w:trPr>
        <w:tc>
          <w:tcPr>
            <w:tcW w:w="8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0" w:type="dxa"/>
            <w:vAlign w:val="bottom"/>
          </w:tcPr>
          <w:p>
            <w:pPr>
              <w:spacing w:after="0"/>
              <w:rPr>
                <w:sz w:val="1"/>
                <w:szCs w:val="1"/>
                <w:color w:val="auto"/>
              </w:rPr>
            </w:pPr>
          </w:p>
        </w:tc>
      </w:tr>
      <w:tr>
        <w:trPr>
          <w:trHeight w:val="350"/>
        </w:trPr>
        <w:tc>
          <w:tcPr>
            <w:tcW w:w="8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earnings per common share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72"/>
        </w:trPr>
        <w:tc>
          <w:tcPr>
            <w:tcW w:w="84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8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(1) The tax impact calculated using the blended statutory income tax rate adjusted for discrete items (27.1% and 26.0% for the three months ended March 31, 2025 and March 31, 20204,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20"/>
          </w:cols>
          <w:pgMar w:left="300" w:top="949" w:right="379" w:bottom="1440" w:gutter="0" w:footer="0" w:header="0"/>
        </w:sectPr>
      </w:pPr>
    </w:p>
    <w:bookmarkStart w:id="8" w:name="page9"/>
    <w:bookmarkEnd w:id="8"/>
    <w:p>
      <w:pPr>
        <w:jc w:val="both"/>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656"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a solution provider in Payments and Banking as a Service operating at scale with over 1.3 million active customers across its SMB, B2B and Enterprise channels processing approximately $135.0 billion in annual transaction volume and providing administration for over $1.3 billion in account balances. Priority is the payments and banking fintech that streamlines collecting, storing, lending, and sending money through its innovative commerce engine to unlock revenue and generate operational success for businesses. Additional information can be found at www.prioritycommerce.com.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2025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6, 2025.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Priority Investor Inquiries: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priorityIR@icrinc.com</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636" w:right="299" w:bottom="1440" w:gutter="0" w:footer="0" w:header="0"/>
        </w:sectPr>
      </w:pPr>
    </w:p>
    <w:bookmarkStart w:id="10" w:name="page11"/>
    <w:bookmarkEnd w:id="10"/>
    <w:p>
      <w:pPr>
        <w:jc w:val="center"/>
        <w:ind w:right="-491"/>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491"/>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Income (Loss)</w:t>
      </w:r>
    </w:p>
    <w:p>
      <w:pPr>
        <w:spacing w:after="0" w:line="208" w:lineRule="exact"/>
        <w:rPr>
          <w:sz w:val="20"/>
          <w:szCs w:val="20"/>
          <w:color w:val="auto"/>
        </w:rPr>
      </w:pPr>
    </w:p>
    <w:p>
      <w:pPr>
        <w:ind w:left="4352"/>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203" w:lineRule="exact"/>
        <w:rPr>
          <w:sz w:val="20"/>
          <w:szCs w:val="20"/>
          <w:color w:val="auto"/>
        </w:rPr>
      </w:pPr>
    </w:p>
    <w:tbl>
      <w:tblPr>
        <w:tblLayout w:type="fixed"/>
        <w:tblInd w:w="512" w:type="dxa"/>
        <w:tblCellMar>
          <w:top w:w="0" w:type="dxa"/>
          <w:left w:w="0" w:type="dxa"/>
          <w:bottom w:w="0" w:type="dxa"/>
          <w:right w:w="0" w:type="dxa"/>
        </w:tblCellMar>
      </w:tblPr>
      <w:tr>
        <w:trPr>
          <w:trHeight w:val="159"/>
        </w:trPr>
        <w:tc>
          <w:tcPr>
            <w:tcW w:w="684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9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224,630</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205,719</w:t>
            </w:r>
          </w:p>
        </w:tc>
        <w:tc>
          <w:tcPr>
            <w:tcW w:w="0" w:type="dxa"/>
            <w:vAlign w:val="bottom"/>
          </w:tcPr>
          <w:p>
            <w:pPr>
              <w:spacing w:after="0"/>
              <w:rPr>
                <w:sz w:val="1"/>
                <w:szCs w:val="1"/>
                <w:color w:val="auto"/>
              </w:rPr>
            </w:pPr>
          </w:p>
        </w:tc>
      </w:tr>
      <w:tr>
        <w:trPr>
          <w:trHeight w:val="131"/>
        </w:trPr>
        <w:tc>
          <w:tcPr>
            <w:tcW w:w="6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900" w:type="dxa"/>
            <w:vAlign w:val="bottom"/>
          </w:tcPr>
          <w:p>
            <w:pPr>
              <w:spacing w:after="0"/>
              <w:rPr>
                <w:sz w:val="13"/>
                <w:szCs w:val="13"/>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137,353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129,298</w:t>
            </w:r>
          </w:p>
        </w:tc>
        <w:tc>
          <w:tcPr>
            <w:tcW w:w="0" w:type="dxa"/>
            <w:vAlign w:val="bottom"/>
          </w:tcPr>
          <w:p>
            <w:pPr>
              <w:spacing w:after="0"/>
              <w:rPr>
                <w:sz w:val="1"/>
                <w:szCs w:val="1"/>
                <w:color w:val="auto"/>
              </w:rPr>
            </w:pPr>
          </w:p>
        </w:tc>
      </w:tr>
      <w:tr>
        <w:trPr>
          <w:trHeight w:val="153"/>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900" w:type="dxa"/>
            <w:vAlign w:val="bottom"/>
          </w:tcPr>
          <w:p>
            <w:pPr>
              <w:spacing w:after="0"/>
              <w:rPr>
                <w:sz w:val="13"/>
                <w:szCs w:val="13"/>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25,775</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22,150</w:t>
            </w:r>
          </w:p>
        </w:tc>
        <w:tc>
          <w:tcPr>
            <w:tcW w:w="0" w:type="dxa"/>
            <w:vAlign w:val="bottom"/>
          </w:tcPr>
          <w:p>
            <w:pPr>
              <w:spacing w:after="0"/>
              <w:rPr>
                <w:sz w:val="1"/>
                <w:szCs w:val="1"/>
                <w:color w:val="auto"/>
              </w:rPr>
            </w:pPr>
          </w:p>
        </w:tc>
      </w:tr>
      <w:tr>
        <w:trPr>
          <w:trHeight w:val="153"/>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00" w:type="dxa"/>
            <w:vAlign w:val="bottom"/>
          </w:tcPr>
          <w:p>
            <w:pPr>
              <w:spacing w:after="0"/>
              <w:rPr>
                <w:sz w:val="13"/>
                <w:szCs w:val="13"/>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13,777</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15,253</w:t>
            </w:r>
          </w:p>
        </w:tc>
        <w:tc>
          <w:tcPr>
            <w:tcW w:w="0" w:type="dxa"/>
            <w:vAlign w:val="bottom"/>
          </w:tcPr>
          <w:p>
            <w:pPr>
              <w:spacing w:after="0"/>
              <w:rPr>
                <w:sz w:val="1"/>
                <w:szCs w:val="1"/>
                <w:color w:val="auto"/>
              </w:rPr>
            </w:pPr>
          </w:p>
        </w:tc>
      </w:tr>
      <w:tr>
        <w:trPr>
          <w:trHeight w:val="155"/>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15,100</w:t>
            </w: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10,995</w:t>
            </w:r>
          </w:p>
        </w:tc>
        <w:tc>
          <w:tcPr>
            <w:tcW w:w="0" w:type="dxa"/>
            <w:vAlign w:val="bottom"/>
          </w:tcPr>
          <w:p>
            <w:pPr>
              <w:spacing w:after="0"/>
              <w:rPr>
                <w:sz w:val="1"/>
                <w:szCs w:val="1"/>
                <w:color w:val="auto"/>
              </w:rPr>
            </w:pPr>
          </w:p>
        </w:tc>
      </w:tr>
      <w:tr>
        <w:trPr>
          <w:trHeight w:val="142"/>
        </w:trPr>
        <w:tc>
          <w:tcPr>
            <w:tcW w:w="68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operating expenses</w:t>
            </w: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192,005</w:t>
            </w: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177,696</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32,625</w:t>
            </w: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28,023</w:t>
            </w:r>
          </w:p>
        </w:tc>
        <w:tc>
          <w:tcPr>
            <w:tcW w:w="0" w:type="dxa"/>
            <w:vAlign w:val="bottom"/>
          </w:tcPr>
          <w:p>
            <w:pPr>
              <w:spacing w:after="0"/>
              <w:rPr>
                <w:sz w:val="1"/>
                <w:szCs w:val="1"/>
                <w:color w:val="auto"/>
              </w:rPr>
            </w:pPr>
          </w:p>
        </w:tc>
      </w:tr>
      <w:tr>
        <w:trPr>
          <w:trHeight w:val="131"/>
        </w:trPr>
        <w:tc>
          <w:tcPr>
            <w:tcW w:w="68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00" w:type="dxa"/>
            <w:vAlign w:val="bottom"/>
          </w:tcPr>
          <w:p>
            <w:pPr>
              <w:spacing w:after="0"/>
              <w:rPr>
                <w:sz w:val="13"/>
                <w:szCs w:val="13"/>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(23,176)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(20,880)</w:t>
            </w:r>
          </w:p>
        </w:tc>
        <w:tc>
          <w:tcPr>
            <w:tcW w:w="0" w:type="dxa"/>
            <w:vAlign w:val="bottom"/>
          </w:tcPr>
          <w:p>
            <w:pPr>
              <w:spacing w:after="0"/>
              <w:rPr>
                <w:sz w:val="1"/>
                <w:szCs w:val="1"/>
                <w:color w:val="auto"/>
              </w:rPr>
            </w:pPr>
          </w:p>
        </w:tc>
      </w:tr>
      <w:tr>
        <w:trPr>
          <w:trHeight w:val="153"/>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900" w:type="dxa"/>
            <w:vAlign w:val="bottom"/>
          </w:tcPr>
          <w:p>
            <w:pPr>
              <w:spacing w:after="0"/>
              <w:rPr>
                <w:sz w:val="13"/>
                <w:szCs w:val="13"/>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1,107</w:t>
            </w: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632</w:t>
            </w:r>
          </w:p>
        </w:tc>
        <w:tc>
          <w:tcPr>
            <w:tcW w:w="0" w:type="dxa"/>
            <w:vAlign w:val="bottom"/>
          </w:tcPr>
          <w:p>
            <w:pPr>
              <w:spacing w:after="0"/>
              <w:rPr>
                <w:sz w:val="1"/>
                <w:szCs w:val="1"/>
                <w:color w:val="auto"/>
              </w:rPr>
            </w:pPr>
          </w:p>
        </w:tc>
      </w:tr>
      <w:tr>
        <w:trPr>
          <w:trHeight w:val="142"/>
        </w:trPr>
        <w:tc>
          <w:tcPr>
            <w:tcW w:w="68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other expense, net</w:t>
            </w:r>
          </w:p>
        </w:tc>
        <w:tc>
          <w:tcPr>
            <w:tcW w:w="9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(22,107)</w:t>
            </w:r>
          </w:p>
        </w:tc>
        <w:tc>
          <w:tcPr>
            <w:tcW w:w="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(20,248)</w:t>
            </w:r>
          </w:p>
        </w:tc>
        <w:tc>
          <w:tcPr>
            <w:tcW w:w="0" w:type="dxa"/>
            <w:vAlign w:val="bottom"/>
          </w:tcPr>
          <w:p>
            <w:pPr>
              <w:spacing w:after="0"/>
              <w:rPr>
                <w:sz w:val="1"/>
                <w:szCs w:val="1"/>
                <w:color w:val="auto"/>
              </w:rPr>
            </w:pPr>
          </w:p>
        </w:tc>
      </w:tr>
      <w:tr>
        <w:trPr>
          <w:trHeight w:val="140"/>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900" w:type="dxa"/>
            <w:vAlign w:val="bottom"/>
          </w:tcPr>
          <w:p>
            <w:pPr>
              <w:spacing w:after="0"/>
              <w:rPr>
                <w:sz w:val="12"/>
                <w:szCs w:val="12"/>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10,518</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7,775</w:t>
            </w:r>
          </w:p>
        </w:tc>
        <w:tc>
          <w:tcPr>
            <w:tcW w:w="0" w:type="dxa"/>
            <w:vAlign w:val="bottom"/>
          </w:tcPr>
          <w:p>
            <w:pPr>
              <w:spacing w:after="0"/>
              <w:rPr>
                <w:sz w:val="1"/>
                <w:szCs w:val="1"/>
                <w:color w:val="auto"/>
              </w:rPr>
            </w:pPr>
          </w:p>
        </w:tc>
      </w:tr>
      <w:tr>
        <w:trPr>
          <w:trHeight w:val="155"/>
        </w:trPr>
        <w:tc>
          <w:tcPr>
            <w:tcW w:w="68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2,250</w:t>
            </w: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2,582</w:t>
            </w:r>
          </w:p>
        </w:tc>
        <w:tc>
          <w:tcPr>
            <w:tcW w:w="0" w:type="dxa"/>
            <w:vAlign w:val="bottom"/>
          </w:tcPr>
          <w:p>
            <w:pPr>
              <w:spacing w:after="0"/>
              <w:rPr>
                <w:sz w:val="1"/>
                <w:szCs w:val="1"/>
                <w:color w:val="auto"/>
              </w:rPr>
            </w:pPr>
          </w:p>
        </w:tc>
      </w:tr>
      <w:tr>
        <w:trPr>
          <w:trHeight w:val="140"/>
        </w:trPr>
        <w:tc>
          <w:tcPr>
            <w:tcW w:w="6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900" w:type="dxa"/>
            <w:vAlign w:val="bottom"/>
          </w:tcPr>
          <w:p>
            <w:pPr>
              <w:spacing w:after="0"/>
              <w:rPr>
                <w:sz w:val="12"/>
                <w:szCs w:val="12"/>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8,268</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5,193</w:t>
            </w:r>
          </w:p>
        </w:tc>
        <w:tc>
          <w:tcPr>
            <w:tcW w:w="0" w:type="dxa"/>
            <w:vAlign w:val="bottom"/>
          </w:tcPr>
          <w:p>
            <w:pPr>
              <w:spacing w:after="0"/>
              <w:rPr>
                <w:sz w:val="1"/>
                <w:szCs w:val="1"/>
                <w:color w:val="auto"/>
              </w:rPr>
            </w:pPr>
          </w:p>
        </w:tc>
      </w:tr>
      <w:tr>
        <w:trPr>
          <w:trHeight w:val="153"/>
        </w:trPr>
        <w:tc>
          <w:tcPr>
            <w:tcW w:w="6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9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(12,662)</w:t>
            </w:r>
          </w:p>
        </w:tc>
        <w:tc>
          <w:tcPr>
            <w:tcW w:w="0" w:type="dxa"/>
            <w:vAlign w:val="bottom"/>
          </w:tcPr>
          <w:p>
            <w:pPr>
              <w:spacing w:after="0"/>
              <w:rPr>
                <w:sz w:val="1"/>
                <w:szCs w:val="1"/>
                <w:color w:val="auto"/>
              </w:rPr>
            </w:pPr>
          </w:p>
        </w:tc>
      </w:tr>
      <w:tr>
        <w:trPr>
          <w:trHeight w:val="155"/>
        </w:trPr>
        <w:tc>
          <w:tcPr>
            <w:tcW w:w="6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Less: Return on redeemable NCI</w:t>
            </w:r>
          </w:p>
        </w:tc>
        <w:tc>
          <w:tcPr>
            <w:tcW w:w="90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spacing w:after="0"/>
              <w:rPr>
                <w:sz w:val="13"/>
                <w:szCs w:val="13"/>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(581)</w:t>
            </w:r>
          </w:p>
        </w:tc>
        <w:tc>
          <w:tcPr>
            <w:tcW w:w="0" w:type="dxa"/>
            <w:vAlign w:val="bottom"/>
          </w:tcPr>
          <w:p>
            <w:pPr>
              <w:spacing w:after="0"/>
              <w:rPr>
                <w:sz w:val="1"/>
                <w:szCs w:val="1"/>
                <w:color w:val="auto"/>
              </w:rPr>
            </w:pPr>
          </w:p>
        </w:tc>
      </w:tr>
      <w:tr>
        <w:trPr>
          <w:trHeight w:val="136"/>
        </w:trPr>
        <w:tc>
          <w:tcPr>
            <w:tcW w:w="68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income (loss) attributable to common stockholders</w:t>
            </w:r>
          </w:p>
        </w:tc>
        <w:tc>
          <w:tcPr>
            <w:tcW w:w="900" w:type="dxa"/>
            <w:vAlign w:val="bottom"/>
            <w:tcBorders>
              <w:top w:val="single" w:sz="8" w:color="auto"/>
            </w:tcBorders>
          </w:tcPr>
          <w:p>
            <w:pPr>
              <w:jc w:val="right"/>
              <w:ind w:right="759"/>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8,268</w:t>
            </w:r>
          </w:p>
        </w:tc>
        <w:tc>
          <w:tcPr>
            <w:tcW w:w="80" w:type="dxa"/>
            <w:vAlign w:val="bottom"/>
          </w:tcPr>
          <w:p>
            <w:pPr>
              <w:spacing w:after="0"/>
              <w:rPr>
                <w:sz w:val="11"/>
                <w:szCs w:val="11"/>
                <w:color w:val="auto"/>
              </w:rPr>
            </w:pPr>
          </w:p>
        </w:tc>
        <w:tc>
          <w:tcPr>
            <w:tcW w:w="920" w:type="dxa"/>
            <w:vAlign w:val="bottom"/>
            <w:tcBorders>
              <w:top w:val="single" w:sz="8" w:color="auto"/>
            </w:tcBorders>
          </w:tcPr>
          <w:p>
            <w:pPr>
              <w:jc w:val="right"/>
              <w:ind w:right="779"/>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tcBorders>
          </w:tcPr>
          <w:p>
            <w:pPr>
              <w:jc w:val="right"/>
              <w:ind w:right="19"/>
              <w:spacing w:after="0" w:line="136" w:lineRule="exact"/>
              <w:rPr>
                <w:sz w:val="20"/>
                <w:szCs w:val="20"/>
                <w:color w:val="auto"/>
              </w:rPr>
            </w:pPr>
            <w:r>
              <w:rPr>
                <w:rFonts w:ascii="Times New Roman" w:cs="Times New Roman" w:eastAsia="Times New Roman" w:hAnsi="Times New Roman"/>
                <w:sz w:val="12"/>
                <w:szCs w:val="12"/>
                <w:color w:val="auto"/>
              </w:rPr>
              <w:t>(8,050)</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(loss)</w:t>
            </w: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2"/>
        </w:trPr>
        <w:tc>
          <w:tcPr>
            <w:tcW w:w="6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9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8,311</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(8,063)</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00" w:type="dxa"/>
            <w:vAlign w:val="bottom"/>
          </w:tcPr>
          <w:p>
            <w:pPr>
              <w:jc w:val="right"/>
              <w:ind w:right="75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80" w:type="dxa"/>
            <w:vAlign w:val="bottom"/>
          </w:tcPr>
          <w:p>
            <w:pPr>
              <w:spacing w:after="0"/>
              <w:rPr>
                <w:sz w:val="13"/>
                <w:szCs w:val="13"/>
                <w:color w:val="auto"/>
              </w:rPr>
            </w:pPr>
          </w:p>
        </w:tc>
        <w:tc>
          <w:tcPr>
            <w:tcW w:w="920" w:type="dxa"/>
            <w:vAlign w:val="bottom"/>
          </w:tcPr>
          <w:p>
            <w:pPr>
              <w:jc w:val="right"/>
              <w:ind w:right="7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0" w:type="dxa"/>
            <w:vAlign w:val="bottom"/>
          </w:tcPr>
          <w:p>
            <w:pPr>
              <w:spacing w:after="0"/>
              <w:rPr>
                <w:sz w:val="1"/>
                <w:szCs w:val="1"/>
                <w:color w:val="auto"/>
              </w:rPr>
            </w:pPr>
          </w:p>
        </w:tc>
      </w:tr>
      <w:tr>
        <w:trPr>
          <w:trHeight w:val="155"/>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00" w:type="dxa"/>
            <w:vAlign w:val="bottom"/>
          </w:tcPr>
          <w:p>
            <w:pPr>
              <w:jc w:val="right"/>
              <w:ind w:right="75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80" w:type="dxa"/>
            <w:vAlign w:val="bottom"/>
          </w:tcPr>
          <w:p>
            <w:pPr>
              <w:spacing w:after="0"/>
              <w:rPr>
                <w:sz w:val="13"/>
                <w:szCs w:val="13"/>
                <w:color w:val="auto"/>
              </w:rPr>
            </w:pPr>
          </w:p>
        </w:tc>
        <w:tc>
          <w:tcPr>
            <w:tcW w:w="920" w:type="dxa"/>
            <w:vAlign w:val="bottom"/>
          </w:tcPr>
          <w:p>
            <w:pPr>
              <w:jc w:val="right"/>
              <w:ind w:right="779"/>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0" w:type="dxa"/>
            <w:vAlign w:val="bottom"/>
          </w:tcPr>
          <w:p>
            <w:pPr>
              <w:spacing w:after="0"/>
              <w:rPr>
                <w:sz w:val="1"/>
                <w:szCs w:val="1"/>
                <w:color w:val="auto"/>
              </w:rPr>
            </w:pPr>
          </w:p>
        </w:tc>
      </w:tr>
      <w:tr>
        <w:trPr>
          <w:trHeight w:val="349"/>
        </w:trPr>
        <w:tc>
          <w:tcPr>
            <w:tcW w:w="6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earnings per common share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900" w:type="dxa"/>
            <w:vAlign w:val="bottom"/>
            <w:vMerge w:val="restart"/>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0.23</w:t>
            </w:r>
          </w:p>
        </w:tc>
        <w:tc>
          <w:tcPr>
            <w:tcW w:w="80" w:type="dxa"/>
            <w:vAlign w:val="bottom"/>
          </w:tcPr>
          <w:p>
            <w:pPr>
              <w:spacing w:after="0"/>
              <w:rPr>
                <w:sz w:val="24"/>
                <w:szCs w:val="24"/>
                <w:color w:val="auto"/>
              </w:rPr>
            </w:pPr>
          </w:p>
        </w:tc>
        <w:tc>
          <w:tcPr>
            <w:tcW w:w="920" w:type="dxa"/>
            <w:vAlign w:val="bottom"/>
            <w:vMerge w:val="restart"/>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49"/>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00" w:type="dxa"/>
            <w:vAlign w:val="bottom"/>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80" w:type="dxa"/>
            <w:vAlign w:val="bottom"/>
          </w:tcPr>
          <w:p>
            <w:pPr>
              <w:spacing w:after="0"/>
              <w:rPr>
                <w:sz w:val="15"/>
                <w:szCs w:val="15"/>
                <w:color w:val="auto"/>
              </w:rPr>
            </w:pPr>
          </w:p>
        </w:tc>
        <w:tc>
          <w:tcPr>
            <w:tcW w:w="920" w:type="dxa"/>
            <w:vAlign w:val="bottom"/>
          </w:tcPr>
          <w:p>
            <w:pPr>
              <w:jc w:val="right"/>
              <w:ind w:right="779"/>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331"/>
        </w:trPr>
        <w:tc>
          <w:tcPr>
            <w:tcW w:w="6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78,774</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78,021</w:t>
            </w:r>
          </w:p>
        </w:tc>
        <w:tc>
          <w:tcPr>
            <w:tcW w:w="0" w:type="dxa"/>
            <w:vAlign w:val="bottom"/>
          </w:tcPr>
          <w:p>
            <w:pPr>
              <w:spacing w:after="0"/>
              <w:rPr>
                <w:sz w:val="1"/>
                <w:szCs w:val="1"/>
                <w:color w:val="auto"/>
              </w:rPr>
            </w:pPr>
          </w:p>
        </w:tc>
      </w:tr>
      <w:tr>
        <w:trPr>
          <w:trHeight w:val="177"/>
        </w:trPr>
        <w:tc>
          <w:tcPr>
            <w:tcW w:w="68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79,857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78,225</w:t>
            </w: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212" w:hanging="212"/>
        <w:spacing w:after="0"/>
        <w:tabs>
          <w:tab w:leader="none" w:pos="212" w:val="left"/>
        </w:tabs>
        <w:numPr>
          <w:ilvl w:val="0"/>
          <w:numId w:val="5"/>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Adjusted EPS in a non-GAAP earnings measure. See Adjusted EPS reconciliation for further detail.</w:t>
      </w:r>
    </w:p>
    <w:p>
      <w:pPr>
        <w:spacing w:after="0" w:line="349" w:lineRule="exact"/>
        <w:rPr>
          <w:sz w:val="20"/>
          <w:szCs w:val="20"/>
          <w:color w:val="auto"/>
        </w:rPr>
      </w:pPr>
    </w:p>
    <w:p>
      <w:pPr>
        <w:jc w:val="center"/>
        <w:ind w:right="-491"/>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372"/>
          </w:cols>
          <w:pgMar w:left="508" w:top="285" w:right="10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52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31"/>
        </w:trPr>
        <w:tc>
          <w:tcPr>
            <w:tcW w:w="4660" w:type="dxa"/>
            <w:vAlign w:val="bottom"/>
            <w:vMerge w:val="continue"/>
          </w:tcPr>
          <w:p>
            <w:pPr>
              <w:spacing w:after="0"/>
              <w:rPr>
                <w:sz w:val="11"/>
                <w:szCs w:val="11"/>
                <w:color w:val="auto"/>
              </w:rPr>
            </w:pPr>
          </w:p>
        </w:tc>
        <w:tc>
          <w:tcPr>
            <w:tcW w:w="25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980" w:type="dxa"/>
            <w:vAlign w:val="bottom"/>
            <w:gridSpan w:val="2"/>
          </w:tcPr>
          <w:p>
            <w:pPr>
              <w:jc w:val="right"/>
              <w:ind w:right="1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47,587</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58,600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11,090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80,280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67,969</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19,962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22,990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3,638</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1,003,034</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940,798</w:t>
            </w:r>
          </w:p>
        </w:tc>
        <w:tc>
          <w:tcPr>
            <w:tcW w:w="0" w:type="dxa"/>
            <w:vAlign w:val="bottom"/>
          </w:tcPr>
          <w:p>
            <w:pPr>
              <w:spacing w:after="0"/>
              <w:rPr>
                <w:sz w:val="1"/>
                <w:szCs w:val="1"/>
                <w:color w:val="auto"/>
              </w:rPr>
            </w:pPr>
          </w:p>
        </w:tc>
      </w:tr>
      <w:tr>
        <w:trPr>
          <w:trHeight w:val="140"/>
        </w:trPr>
        <w:tc>
          <w:tcPr>
            <w:tcW w:w="4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1,164,584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1,105,085</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4,919</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53,718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52,477</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386,822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231,560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240,874</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24,697</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21,568</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22,717</w:t>
            </w:r>
          </w:p>
        </w:tc>
        <w:tc>
          <w:tcPr>
            <w:tcW w:w="0" w:type="dxa"/>
            <w:vAlign w:val="bottom"/>
          </w:tcPr>
          <w:p>
            <w:pPr>
              <w:spacing w:after="0"/>
              <w:rPr>
                <w:sz w:val="1"/>
                <w:szCs w:val="1"/>
                <w:color w:val="auto"/>
              </w:rPr>
            </w:pPr>
          </w:p>
        </w:tc>
      </w:tr>
      <w:tr>
        <w:trPr>
          <w:trHeight w:val="142"/>
        </w:trPr>
        <w:tc>
          <w:tcPr>
            <w:tcW w:w="46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520" w:type="dxa"/>
            <w:vAlign w:val="bottom"/>
          </w:tcPr>
          <w:p>
            <w:pPr>
              <w:spacing w:after="0"/>
              <w:rPr>
                <w:sz w:val="12"/>
                <w:szCs w:val="12"/>
                <w:color w:val="auto"/>
              </w:rPr>
            </w:pPr>
          </w:p>
        </w:tc>
        <w:tc>
          <w:tcPr>
            <w:tcW w:w="146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1,891,658</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Stockholders' Deficit and NCI</w:t>
            </w:r>
          </w:p>
        </w:tc>
        <w:tc>
          <w:tcPr>
            <w:tcW w:w="2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66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980" w:type="dxa"/>
            <w:vAlign w:val="bottom"/>
            <w:gridSpan w:val="2"/>
          </w:tcPr>
          <w:p>
            <w:pPr>
              <w:jc w:val="right"/>
              <w:ind w:right="13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54,414</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62,149</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37,560</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9,503</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1,003,395</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940,213</w:t>
            </w:r>
          </w:p>
        </w:tc>
        <w:tc>
          <w:tcPr>
            <w:tcW w:w="0" w:type="dxa"/>
            <w:vAlign w:val="bottom"/>
          </w:tcPr>
          <w:p>
            <w:pPr>
              <w:spacing w:after="0"/>
              <w:rPr>
                <w:sz w:val="1"/>
                <w:szCs w:val="1"/>
                <w:color w:val="auto"/>
              </w:rPr>
            </w:pPr>
          </w:p>
        </w:tc>
      </w:tr>
      <w:tr>
        <w:trPr>
          <w:trHeight w:val="140"/>
        </w:trPr>
        <w:tc>
          <w:tcPr>
            <w:tcW w:w="4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1,102,672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1,051,671</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918,944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920,888</w:t>
            </w:r>
          </w:p>
        </w:tc>
        <w:tc>
          <w:tcPr>
            <w:tcW w:w="0" w:type="dxa"/>
            <w:vAlign w:val="bottom"/>
          </w:tcPr>
          <w:p>
            <w:pPr>
              <w:spacing w:after="0"/>
              <w:rPr>
                <w:sz w:val="1"/>
                <w:szCs w:val="1"/>
                <w:color w:val="auto"/>
              </w:rPr>
            </w:pPr>
          </w:p>
        </w:tc>
      </w:tr>
      <w:tr>
        <w:trPr>
          <w:trHeight w:val="155"/>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26,467</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19,326</w:t>
            </w:r>
          </w:p>
        </w:tc>
        <w:tc>
          <w:tcPr>
            <w:tcW w:w="0" w:type="dxa"/>
            <w:vAlign w:val="bottom"/>
          </w:tcPr>
          <w:p>
            <w:pPr>
              <w:spacing w:after="0"/>
              <w:rPr>
                <w:sz w:val="1"/>
                <w:szCs w:val="1"/>
                <w:color w:val="auto"/>
              </w:rPr>
            </w:pPr>
          </w:p>
        </w:tc>
      </w:tr>
      <w:tr>
        <w:trPr>
          <w:trHeight w:val="142"/>
        </w:trPr>
        <w:tc>
          <w:tcPr>
            <w:tcW w:w="46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52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2,048,083</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1,991,885</w:t>
            </w:r>
          </w:p>
        </w:tc>
        <w:tc>
          <w:tcPr>
            <w:tcW w:w="0" w:type="dxa"/>
            <w:vAlign w:val="bottom"/>
          </w:tcPr>
          <w:p>
            <w:pPr>
              <w:spacing w:after="0"/>
              <w:rPr>
                <w:sz w:val="1"/>
                <w:szCs w:val="1"/>
                <w:color w:val="auto"/>
              </w:rPr>
            </w:pPr>
          </w:p>
        </w:tc>
      </w:tr>
      <w:tr>
        <w:trPr>
          <w:trHeight w:val="131"/>
        </w:trPr>
        <w:tc>
          <w:tcPr>
            <w:tcW w:w="46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Stockholders' deficit:</w:t>
            </w:r>
          </w:p>
        </w:tc>
        <w:tc>
          <w:tcPr>
            <w:tcW w:w="25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(19,607)</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(138,866)</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(147,134)</w:t>
            </w:r>
          </w:p>
        </w:tc>
        <w:tc>
          <w:tcPr>
            <w:tcW w:w="0" w:type="dxa"/>
            <w:vAlign w:val="bottom"/>
          </w:tcPr>
          <w:p>
            <w:pPr>
              <w:spacing w:after="0"/>
              <w:rPr>
                <w:sz w:val="1"/>
                <w:szCs w:val="1"/>
                <w:color w:val="auto"/>
              </w:rPr>
            </w:pPr>
          </w:p>
        </w:tc>
      </w:tr>
      <w:tr>
        <w:trPr>
          <w:trHeight w:val="140"/>
        </w:trPr>
        <w:tc>
          <w:tcPr>
            <w:tcW w:w="466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2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(158,327)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(166,840)</w:t>
            </w:r>
          </w:p>
        </w:tc>
        <w:tc>
          <w:tcPr>
            <w:tcW w:w="0" w:type="dxa"/>
            <w:vAlign w:val="bottom"/>
          </w:tcPr>
          <w:p>
            <w:pPr>
              <w:spacing w:after="0"/>
              <w:rPr>
                <w:sz w:val="1"/>
                <w:szCs w:val="1"/>
                <w:color w:val="auto"/>
              </w:rPr>
            </w:pPr>
          </w:p>
        </w:tc>
      </w:tr>
      <w:tr>
        <w:trPr>
          <w:trHeight w:val="155"/>
        </w:trPr>
        <w:tc>
          <w:tcPr>
            <w:tcW w:w="4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25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1,815</w:t>
            </w:r>
          </w:p>
        </w:tc>
        <w:tc>
          <w:tcPr>
            <w:tcW w:w="0" w:type="dxa"/>
            <w:vAlign w:val="bottom"/>
          </w:tcPr>
          <w:p>
            <w:pPr>
              <w:spacing w:after="0"/>
              <w:rPr>
                <w:sz w:val="1"/>
                <w:szCs w:val="1"/>
                <w:color w:val="auto"/>
              </w:rPr>
            </w:pPr>
          </w:p>
        </w:tc>
      </w:tr>
      <w:tr>
        <w:trPr>
          <w:trHeight w:val="142"/>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52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(156,425)</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(165,025)</w:t>
            </w:r>
          </w:p>
        </w:tc>
        <w:tc>
          <w:tcPr>
            <w:tcW w:w="0" w:type="dxa"/>
            <w:vAlign w:val="bottom"/>
          </w:tcPr>
          <w:p>
            <w:pPr>
              <w:spacing w:after="0"/>
              <w:rPr>
                <w:sz w:val="1"/>
                <w:szCs w:val="1"/>
                <w:color w:val="auto"/>
              </w:rPr>
            </w:pPr>
          </w:p>
        </w:tc>
      </w:tr>
      <w:tr>
        <w:trPr>
          <w:trHeight w:val="142"/>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NCI</w:t>
            </w:r>
          </w:p>
        </w:tc>
        <w:tc>
          <w:tcPr>
            <w:tcW w:w="2520" w:type="dxa"/>
            <w:vAlign w:val="bottom"/>
          </w:tcPr>
          <w:p>
            <w:pPr>
              <w:spacing w:after="0"/>
              <w:rPr>
                <w:sz w:val="12"/>
                <w:szCs w:val="12"/>
                <w:color w:val="auto"/>
              </w:rPr>
            </w:pPr>
          </w:p>
        </w:tc>
        <w:tc>
          <w:tcPr>
            <w:tcW w:w="1460" w:type="dxa"/>
            <w:vAlign w:val="bottom"/>
            <w:tcBorders>
              <w:bottom w:val="single" w:sz="8" w:color="auto"/>
            </w:tcBorders>
          </w:tcPr>
          <w:p>
            <w:pPr>
              <w:jc w:val="right"/>
              <w:ind w:right="1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1,891,658</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1,826,860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520" w:type="dxa"/>
            <w:vAlign w:val="bottom"/>
            <w:vMerge w:val="restart"/>
          </w:tcPr>
          <w:p>
            <w:pPr>
              <w:jc w:val="right"/>
              <w:ind w:right="1440"/>
              <w:spacing w:after="0"/>
              <w:rPr>
                <w:sz w:val="20"/>
                <w:szCs w:val="20"/>
                <w:color w:val="auto"/>
              </w:rPr>
            </w:pPr>
            <w:r>
              <w:rPr>
                <w:rFonts w:ascii="Times New Roman" w:cs="Times New Roman" w:eastAsia="Times New Roman" w:hAnsi="Times New Roman"/>
                <w:sz w:val="12"/>
                <w:szCs w:val="12"/>
                <w:color w:val="auto"/>
              </w:rPr>
              <w:t>9</w:t>
            </w: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2" w:name="page13"/>
    <w:bookmarkEnd w:id="12"/>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85"/>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0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2024</w:t>
            </w: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806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w:t>
            </w:r>
          </w:p>
        </w:tc>
        <w:tc>
          <w:tcPr>
            <w:tcW w:w="980" w:type="dxa"/>
            <w:vAlign w:val="bottom"/>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8,268</w:t>
            </w:r>
          </w:p>
        </w:tc>
        <w:tc>
          <w:tcPr>
            <w:tcW w:w="80" w:type="dxa"/>
            <w:vAlign w:val="bottom"/>
          </w:tcPr>
          <w:p>
            <w:pPr>
              <w:spacing w:after="0"/>
              <w:rPr>
                <w:sz w:val="13"/>
                <w:szCs w:val="13"/>
                <w:color w:val="auto"/>
              </w:rPr>
            </w:pPr>
          </w:p>
        </w:tc>
        <w:tc>
          <w:tcPr>
            <w:tcW w:w="102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5,193</w:t>
            </w: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13,777</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w:t>
            </w: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ESPP and incentive units compensation</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w:t>
            </w: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w:t>
            </w: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(1,872)</w:t>
            </w:r>
          </w:p>
        </w:tc>
        <w:tc>
          <w:tcPr>
            <w:tcW w:w="0" w:type="dxa"/>
            <w:vAlign w:val="bottom"/>
          </w:tcPr>
          <w:p>
            <w:pPr>
              <w:spacing w:after="0"/>
              <w:rPr>
                <w:sz w:val="1"/>
                <w:szCs w:val="1"/>
                <w:color w:val="auto"/>
              </w:rPr>
            </w:pPr>
          </w:p>
        </w:tc>
      </w:tr>
      <w:tr>
        <w:trPr>
          <w:trHeight w:val="153"/>
        </w:trPr>
        <w:tc>
          <w:tcPr>
            <w:tcW w:w="80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contingent consideration</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0" w:type="dxa"/>
            <w:vAlign w:val="bottom"/>
          </w:tcPr>
          <w:p>
            <w:pPr>
              <w:spacing w:after="0"/>
              <w:rPr>
                <w:sz w:val="1"/>
                <w:szCs w:val="1"/>
                <w:color w:val="auto"/>
              </w:rPr>
            </w:pPr>
          </w:p>
        </w:tc>
      </w:tr>
      <w:tr>
        <w:trPr>
          <w:trHeight w:val="153"/>
        </w:trPr>
        <w:tc>
          <w:tcPr>
            <w:tcW w:w="80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receivable</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(12,182)</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(8,339)</w:t>
            </w:r>
          </w:p>
        </w:tc>
        <w:tc>
          <w:tcPr>
            <w:tcW w:w="0" w:type="dxa"/>
            <w:vAlign w:val="bottom"/>
          </w:tcPr>
          <w:p>
            <w:pPr>
              <w:spacing w:after="0"/>
              <w:rPr>
                <w:sz w:val="1"/>
                <w:szCs w:val="1"/>
                <w:color w:val="auto"/>
              </w:rPr>
            </w:pPr>
          </w:p>
        </w:tc>
      </w:tr>
      <w:tr>
        <w:trPr>
          <w:trHeight w:val="153"/>
        </w:trPr>
        <w:tc>
          <w:tcPr>
            <w:tcW w:w="80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0" w:type="dxa"/>
            <w:vAlign w:val="bottom"/>
          </w:tcPr>
          <w:p>
            <w:pPr>
              <w:spacing w:after="0"/>
              <w:rPr>
                <w:sz w:val="1"/>
                <w:szCs w:val="1"/>
                <w:color w:val="auto"/>
              </w:rPr>
            </w:pPr>
          </w:p>
        </w:tc>
      </w:tr>
      <w:tr>
        <w:trPr>
          <w:trHeight w:val="153"/>
        </w:trPr>
        <w:tc>
          <w:tcPr>
            <w:tcW w:w="80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0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Notes receivable</w:t>
            </w: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w:t>
            </w:r>
          </w:p>
        </w:tc>
        <w:tc>
          <w:tcPr>
            <w:tcW w:w="0" w:type="dxa"/>
            <w:vAlign w:val="bottom"/>
          </w:tcPr>
          <w:p>
            <w:pPr>
              <w:spacing w:after="0"/>
              <w:rPr>
                <w:sz w:val="1"/>
                <w:szCs w:val="1"/>
                <w:color w:val="auto"/>
              </w:rPr>
            </w:pPr>
          </w:p>
        </w:tc>
      </w:tr>
      <w:tr>
        <w:trPr>
          <w:trHeight w:val="153"/>
        </w:trPr>
        <w:tc>
          <w:tcPr>
            <w:tcW w:w="80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1,590</w:t>
            </w:r>
          </w:p>
        </w:tc>
        <w:tc>
          <w:tcPr>
            <w:tcW w:w="0" w:type="dxa"/>
            <w:vAlign w:val="bottom"/>
          </w:tcPr>
          <w:p>
            <w:pPr>
              <w:spacing w:after="0"/>
              <w:rPr>
                <w:sz w:val="1"/>
                <w:szCs w:val="1"/>
                <w:color w:val="auto"/>
              </w:rPr>
            </w:pPr>
          </w:p>
        </w:tc>
      </w:tr>
      <w:tr>
        <w:trPr>
          <w:trHeight w:val="153"/>
        </w:trPr>
        <w:tc>
          <w:tcPr>
            <w:tcW w:w="80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0" w:type="dxa"/>
            <w:vAlign w:val="bottom"/>
          </w:tcPr>
          <w:p>
            <w:pPr>
              <w:spacing w:after="0"/>
              <w:rPr>
                <w:sz w:val="1"/>
                <w:szCs w:val="1"/>
                <w:color w:val="auto"/>
              </w:rPr>
            </w:pPr>
          </w:p>
        </w:tc>
      </w:tr>
      <w:tr>
        <w:trPr>
          <w:trHeight w:val="155"/>
        </w:trPr>
        <w:tc>
          <w:tcPr>
            <w:tcW w:w="80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(1,395)</w:t>
            </w:r>
          </w:p>
        </w:tc>
        <w:tc>
          <w:tcPr>
            <w:tcW w:w="0" w:type="dxa"/>
            <w:vAlign w:val="bottom"/>
          </w:tcPr>
          <w:p>
            <w:pPr>
              <w:spacing w:after="0"/>
              <w:rPr>
                <w:sz w:val="1"/>
                <w:szCs w:val="1"/>
                <w:color w:val="auto"/>
              </w:rPr>
            </w:pPr>
          </w:p>
        </w:tc>
      </w:tr>
      <w:tr>
        <w:trPr>
          <w:trHeight w:val="142"/>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9,956</w:t>
            </w:r>
          </w:p>
        </w:tc>
        <w:tc>
          <w:tcPr>
            <w:tcW w:w="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13,307</w:t>
            </w:r>
          </w:p>
        </w:tc>
        <w:tc>
          <w:tcPr>
            <w:tcW w:w="0" w:type="dxa"/>
            <w:vAlign w:val="bottom"/>
          </w:tcPr>
          <w:p>
            <w:pPr>
              <w:spacing w:after="0"/>
              <w:rPr>
                <w:sz w:val="1"/>
                <w:szCs w:val="1"/>
                <w:color w:val="auto"/>
              </w:rPr>
            </w:pPr>
          </w:p>
        </w:tc>
      </w:tr>
      <w:tr>
        <w:trPr>
          <w:trHeight w:val="131"/>
        </w:trPr>
        <w:tc>
          <w:tcPr>
            <w:tcW w:w="806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of business, net of cash acquired</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(5,095)</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(6,610)</w:t>
            </w:r>
          </w:p>
        </w:tc>
        <w:tc>
          <w:tcPr>
            <w:tcW w:w="0" w:type="dxa"/>
            <w:vAlign w:val="bottom"/>
          </w:tcPr>
          <w:p>
            <w:pPr>
              <w:spacing w:after="0"/>
              <w:rPr>
                <w:sz w:val="1"/>
                <w:szCs w:val="1"/>
                <w:color w:val="auto"/>
              </w:rPr>
            </w:pPr>
          </w:p>
        </w:tc>
      </w:tr>
      <w:tr>
        <w:trPr>
          <w:trHeight w:val="155"/>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0" w:type="dxa"/>
            <w:vAlign w:val="bottom"/>
          </w:tcPr>
          <w:p>
            <w:pPr>
              <w:spacing w:after="0"/>
              <w:rPr>
                <w:sz w:val="1"/>
                <w:szCs w:val="1"/>
                <w:color w:val="auto"/>
              </w:rPr>
            </w:pPr>
          </w:p>
        </w:tc>
      </w:tr>
      <w:tr>
        <w:trPr>
          <w:trHeight w:val="142"/>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(9,715)</w:t>
            </w:r>
          </w:p>
        </w:tc>
        <w:tc>
          <w:tcPr>
            <w:tcW w:w="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(7,669)</w:t>
            </w:r>
          </w:p>
        </w:tc>
        <w:tc>
          <w:tcPr>
            <w:tcW w:w="0" w:type="dxa"/>
            <w:vAlign w:val="bottom"/>
          </w:tcPr>
          <w:p>
            <w:pPr>
              <w:spacing w:after="0"/>
              <w:rPr>
                <w:sz w:val="1"/>
                <w:szCs w:val="1"/>
                <w:color w:val="auto"/>
              </w:rPr>
            </w:pPr>
          </w:p>
        </w:tc>
      </w:tr>
      <w:tr>
        <w:trPr>
          <w:trHeight w:val="131"/>
        </w:trPr>
        <w:tc>
          <w:tcPr>
            <w:tcW w:w="806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(1,678)</w:t>
            </w: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shares withheld for taxes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w:t>
            </w: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(7,027)</w:t>
            </w: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exercise of stock options</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accounts obligations, net</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59,060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0" w:type="dxa"/>
            <w:vAlign w:val="bottom"/>
          </w:tcPr>
          <w:p>
            <w:pPr>
              <w:spacing w:after="0"/>
              <w:rPr>
                <w:sz w:val="1"/>
                <w:szCs w:val="1"/>
                <w:color w:val="auto"/>
              </w:rPr>
            </w:pPr>
          </w:p>
        </w:tc>
      </w:tr>
      <w:tr>
        <w:trPr>
          <w:trHeight w:val="155"/>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 related to business combination</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(3,071)</w:t>
            </w:r>
          </w:p>
        </w:tc>
        <w:tc>
          <w:tcPr>
            <w:tcW w:w="0" w:type="dxa"/>
            <w:vAlign w:val="bottom"/>
          </w:tcPr>
          <w:p>
            <w:pPr>
              <w:spacing w:after="0"/>
              <w:rPr>
                <w:sz w:val="1"/>
                <w:szCs w:val="1"/>
                <w:color w:val="auto"/>
              </w:rPr>
            </w:pPr>
          </w:p>
        </w:tc>
      </w:tr>
      <w:tr>
        <w:trPr>
          <w:trHeight w:val="136"/>
        </w:trPr>
        <w:tc>
          <w:tcPr>
            <w:tcW w:w="806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98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47,260</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(10,279)</w:t>
            </w:r>
          </w:p>
        </w:tc>
        <w:tc>
          <w:tcPr>
            <w:tcW w:w="0" w:type="dxa"/>
            <w:vAlign w:val="bottom"/>
          </w:tcPr>
          <w:p>
            <w:pPr>
              <w:spacing w:after="0"/>
              <w:rPr>
                <w:sz w:val="1"/>
                <w:szCs w:val="1"/>
                <w:color w:val="auto"/>
              </w:rPr>
            </w:pPr>
          </w:p>
        </w:tc>
      </w:tr>
      <w:tr>
        <w:trPr>
          <w:trHeight w:val="157"/>
        </w:trPr>
        <w:tc>
          <w:tcPr>
            <w:tcW w:w="80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47,501</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(4,641)</w:t>
            </w:r>
          </w:p>
        </w:tc>
        <w:tc>
          <w:tcPr>
            <w:tcW w:w="0" w:type="dxa"/>
            <w:vAlign w:val="bottom"/>
          </w:tcPr>
          <w:p>
            <w:pPr>
              <w:spacing w:after="0"/>
              <w:rPr>
                <w:sz w:val="1"/>
                <w:szCs w:val="1"/>
                <w:color w:val="auto"/>
              </w:rPr>
            </w:pPr>
          </w:p>
        </w:tc>
      </w:tr>
      <w:tr>
        <w:trPr>
          <w:trHeight w:val="155"/>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993,864</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796,223</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period</w:t>
            </w:r>
          </w:p>
        </w:tc>
        <w:tc>
          <w:tcPr>
            <w:tcW w:w="98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1,041,365</w:t>
            </w:r>
          </w:p>
        </w:tc>
        <w:tc>
          <w:tcPr>
            <w:tcW w:w="80" w:type="dxa"/>
            <w:vAlign w:val="bottom"/>
          </w:tcPr>
          <w:p>
            <w:pPr>
              <w:spacing w:after="0"/>
              <w:rPr>
                <w:sz w:val="12"/>
                <w:szCs w:val="12"/>
                <w:color w:val="auto"/>
              </w:rPr>
            </w:pPr>
          </w:p>
        </w:tc>
        <w:tc>
          <w:tcPr>
            <w:tcW w:w="102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791,582</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980" w:type="dxa"/>
            <w:vAlign w:val="bottom"/>
          </w:tcPr>
          <w:p>
            <w:pPr>
              <w:jc w:val="right"/>
              <w:ind w:right="8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47,587</w:t>
            </w:r>
          </w:p>
        </w:tc>
        <w:tc>
          <w:tcPr>
            <w:tcW w:w="80" w:type="dxa"/>
            <w:vAlign w:val="bottom"/>
          </w:tcPr>
          <w:p>
            <w:pPr>
              <w:spacing w:after="0"/>
              <w:rPr>
                <w:sz w:val="13"/>
                <w:szCs w:val="13"/>
                <w:color w:val="auto"/>
              </w:rPr>
            </w:pPr>
          </w:p>
        </w:tc>
        <w:tc>
          <w:tcPr>
            <w:tcW w:w="102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34,290</w:t>
            </w:r>
          </w:p>
        </w:tc>
        <w:tc>
          <w:tcPr>
            <w:tcW w:w="0" w:type="dxa"/>
            <w:vAlign w:val="bottom"/>
          </w:tcPr>
          <w:p>
            <w:pPr>
              <w:spacing w:after="0"/>
              <w:rPr>
                <w:sz w:val="1"/>
                <w:szCs w:val="1"/>
                <w:color w:val="auto"/>
              </w:rPr>
            </w:pPr>
          </w:p>
        </w:tc>
      </w:tr>
      <w:tr>
        <w:trPr>
          <w:trHeight w:val="153"/>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11,490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12,658</w:t>
            </w:r>
          </w:p>
        </w:tc>
        <w:tc>
          <w:tcPr>
            <w:tcW w:w="0" w:type="dxa"/>
            <w:vAlign w:val="bottom"/>
          </w:tcPr>
          <w:p>
            <w:pPr>
              <w:spacing w:after="0"/>
              <w:rPr>
                <w:sz w:val="1"/>
                <w:szCs w:val="1"/>
                <w:color w:val="auto"/>
              </w:rPr>
            </w:pPr>
          </w:p>
        </w:tc>
      </w:tr>
      <w:tr>
        <w:trPr>
          <w:trHeight w:val="155"/>
        </w:trPr>
        <w:tc>
          <w:tcPr>
            <w:tcW w:w="8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and customer/subscriber account balances (restricted in nature)</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982,288</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744,634</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98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1,041,365</w:t>
            </w:r>
          </w:p>
        </w:tc>
        <w:tc>
          <w:tcPr>
            <w:tcW w:w="80" w:type="dxa"/>
            <w:vAlign w:val="bottom"/>
          </w:tcPr>
          <w:p>
            <w:pPr>
              <w:spacing w:after="0"/>
              <w:rPr>
                <w:sz w:val="12"/>
                <w:szCs w:val="12"/>
                <w:color w:val="auto"/>
              </w:rPr>
            </w:pPr>
          </w:p>
        </w:tc>
        <w:tc>
          <w:tcPr>
            <w:tcW w:w="102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791,582</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5580"/>
              <w:spacing w:after="0"/>
              <w:rPr>
                <w:sz w:val="20"/>
                <w:szCs w:val="20"/>
                <w:color w:val="auto"/>
              </w:rPr>
            </w:pPr>
            <w:r>
              <w:rPr>
                <w:rFonts w:ascii="Times New Roman" w:cs="Times New Roman" w:eastAsia="Times New Roman" w:hAnsi="Times New Roman"/>
                <w:sz w:val="12"/>
                <w:szCs w:val="12"/>
                <w:color w:val="auto"/>
              </w:rPr>
              <w:t>10</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80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2" w:right="299" w:bottom="1440" w:gutter="0" w:footer="0" w:header="0"/>
        </w:sectPr>
      </w:pPr>
    </w:p>
    <w:bookmarkStart w:id="13" w:name="page14"/>
    <w:bookmarkEnd w:id="13"/>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0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4340" w:type="dxa"/>
            <w:vAlign w:val="bottom"/>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900" w:type="dxa"/>
            <w:vAlign w:val="bottom"/>
            <w:vMerge w:val="continue"/>
          </w:tcPr>
          <w:p>
            <w:pPr>
              <w:spacing w:after="0"/>
              <w:rPr>
                <w:sz w:val="11"/>
                <w:szCs w:val="11"/>
                <w:color w:val="auto"/>
              </w:rPr>
            </w:pPr>
          </w:p>
        </w:tc>
        <w:tc>
          <w:tcPr>
            <w:tcW w:w="4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Revenues</w:t>
            </w:r>
          </w:p>
        </w:tc>
        <w:tc>
          <w:tcPr>
            <w:tcW w:w="52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151,690</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144,005</w:t>
            </w:r>
          </w:p>
        </w:tc>
        <w:tc>
          <w:tcPr>
            <w:tcW w:w="0" w:type="dxa"/>
            <w:vAlign w:val="bottom"/>
          </w:tcPr>
          <w:p>
            <w:pPr>
              <w:spacing w:after="0"/>
              <w:rPr>
                <w:sz w:val="1"/>
                <w:szCs w:val="1"/>
                <w:color w:val="auto"/>
              </w:rPr>
            </w:pPr>
          </w:p>
        </w:tc>
      </w:tr>
      <w:tr>
        <w:trPr>
          <w:trHeight w:val="155"/>
        </w:trPr>
        <w:tc>
          <w:tcPr>
            <w:tcW w:w="3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Adjusted EBITDA</w:t>
            </w:r>
          </w:p>
        </w:tc>
        <w:tc>
          <w:tcPr>
            <w:tcW w:w="52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25,023</w:t>
            </w:r>
          </w:p>
        </w:tc>
        <w:tc>
          <w:tcPr>
            <w:tcW w:w="0" w:type="dxa"/>
            <w:vAlign w:val="bottom"/>
          </w:tcPr>
          <w:p>
            <w:pPr>
              <w:spacing w:after="0"/>
              <w:rPr>
                <w:sz w:val="1"/>
                <w:szCs w:val="1"/>
                <w:color w:val="auto"/>
              </w:rPr>
            </w:pPr>
          </w:p>
        </w:tc>
      </w:tr>
      <w:tr>
        <w:trPr>
          <w:trHeight w:val="331"/>
        </w:trPr>
        <w:tc>
          <w:tcPr>
            <w:tcW w:w="39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4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52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15,294,133</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14,788,095</w:t>
            </w:r>
          </w:p>
        </w:tc>
        <w:tc>
          <w:tcPr>
            <w:tcW w:w="0" w:type="dxa"/>
            <w:vAlign w:val="bottom"/>
          </w:tcPr>
          <w:p>
            <w:pPr>
              <w:spacing w:after="0"/>
              <w:rPr>
                <w:sz w:val="1"/>
                <w:szCs w:val="1"/>
                <w:color w:val="auto"/>
              </w:rPr>
            </w:pPr>
          </w:p>
        </w:tc>
      </w:tr>
      <w:tr>
        <w:trPr>
          <w:trHeight w:val="153"/>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185,539</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175,228</w:t>
            </w:r>
          </w:p>
        </w:tc>
        <w:tc>
          <w:tcPr>
            <w:tcW w:w="0" w:type="dxa"/>
            <w:vAlign w:val="bottom"/>
          </w:tcPr>
          <w:p>
            <w:pPr>
              <w:spacing w:after="0"/>
              <w:rPr>
                <w:sz w:val="1"/>
                <w:szCs w:val="1"/>
                <w:color w:val="auto"/>
              </w:rPr>
            </w:pPr>
          </w:p>
        </w:tc>
      </w:tr>
      <w:tr>
        <w:trPr>
          <w:trHeight w:val="155"/>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52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17,685,491</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17,098,758</w:t>
            </w:r>
          </w:p>
        </w:tc>
        <w:tc>
          <w:tcPr>
            <w:tcW w:w="0" w:type="dxa"/>
            <w:vAlign w:val="bottom"/>
          </w:tcPr>
          <w:p>
            <w:pPr>
              <w:spacing w:after="0"/>
              <w:rPr>
                <w:sz w:val="1"/>
                <w:szCs w:val="1"/>
                <w:color w:val="auto"/>
              </w:rPr>
            </w:pPr>
          </w:p>
        </w:tc>
      </w:tr>
      <w:tr>
        <w:trPr>
          <w:trHeight w:val="331"/>
        </w:trPr>
        <w:tc>
          <w:tcPr>
            <w:tcW w:w="3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4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52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23,918</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21,344</w:t>
            </w:r>
          </w:p>
        </w:tc>
        <w:tc>
          <w:tcPr>
            <w:tcW w:w="0" w:type="dxa"/>
            <w:vAlign w:val="bottom"/>
          </w:tcPr>
          <w:p>
            <w:pPr>
              <w:spacing w:after="0"/>
              <w:rPr>
                <w:sz w:val="1"/>
                <w:szCs w:val="1"/>
                <w:color w:val="auto"/>
              </w:rPr>
            </w:pPr>
          </w:p>
        </w:tc>
      </w:tr>
      <w:tr>
        <w:trPr>
          <w:trHeight w:val="155"/>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52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w:t>
            </w:r>
          </w:p>
        </w:tc>
        <w:tc>
          <w:tcPr>
            <w:tcW w:w="0" w:type="dxa"/>
            <w:vAlign w:val="bottom"/>
          </w:tcPr>
          <w:p>
            <w:pPr>
              <w:spacing w:after="0"/>
              <w:rPr>
                <w:sz w:val="1"/>
                <w:szCs w:val="1"/>
                <w:color w:val="auto"/>
              </w:rPr>
            </w:pPr>
          </w:p>
        </w:tc>
      </w:tr>
      <w:tr>
        <w:trPr>
          <w:trHeight w:val="295"/>
        </w:trPr>
        <w:tc>
          <w:tcPr>
            <w:tcW w:w="39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4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52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237,290</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227,811</w:t>
            </w:r>
          </w:p>
        </w:tc>
        <w:tc>
          <w:tcPr>
            <w:tcW w:w="0" w:type="dxa"/>
            <w:vAlign w:val="bottom"/>
          </w:tcPr>
          <w:p>
            <w:pPr>
              <w:spacing w:after="0"/>
              <w:rPr>
                <w:sz w:val="1"/>
                <w:szCs w:val="1"/>
                <w:color w:val="auto"/>
              </w:rPr>
            </w:pPr>
          </w:p>
        </w:tc>
      </w:tr>
      <w:tr>
        <w:trPr>
          <w:trHeight w:val="155"/>
        </w:trPr>
        <w:tc>
          <w:tcPr>
            <w:tcW w:w="39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0" w:type="dxa"/>
            <w:vAlign w:val="bottom"/>
          </w:tcPr>
          <w:p>
            <w:pPr>
              <w:spacing w:after="0"/>
              <w:rPr>
                <w:sz w:val="1"/>
                <w:szCs w:val="1"/>
                <w:color w:val="auto"/>
              </w:rPr>
            </w:pPr>
          </w:p>
        </w:tc>
      </w:tr>
      <w:tr>
        <w:trPr>
          <w:trHeight w:val="331"/>
        </w:trPr>
        <w:tc>
          <w:tcPr>
            <w:tcW w:w="3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4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52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50,088</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40,990</w:t>
            </w:r>
          </w:p>
        </w:tc>
        <w:tc>
          <w:tcPr>
            <w:tcW w:w="0" w:type="dxa"/>
            <w:vAlign w:val="bottom"/>
          </w:tcPr>
          <w:p>
            <w:pPr>
              <w:spacing w:after="0"/>
              <w:rPr>
                <w:sz w:val="1"/>
                <w:szCs w:val="1"/>
                <w:color w:val="auto"/>
              </w:rPr>
            </w:pPr>
          </w:p>
        </w:tc>
      </w:tr>
      <w:tr>
        <w:trPr>
          <w:trHeight w:val="155"/>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5240" w:type="dxa"/>
            <w:vAlign w:val="bottom"/>
            <w:gridSpan w:val="2"/>
          </w:tcPr>
          <w:p>
            <w:pPr>
              <w:jc w:val="right"/>
              <w:ind w:right="7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34,727</w:t>
            </w:r>
          </w:p>
        </w:tc>
        <w:tc>
          <w:tcPr>
            <w:tcW w:w="0" w:type="dxa"/>
            <w:vAlign w:val="bottom"/>
          </w:tcPr>
          <w:p>
            <w:pPr>
              <w:spacing w:after="0"/>
              <w:rPr>
                <w:sz w:val="1"/>
                <w:szCs w:val="1"/>
                <w:color w:val="auto"/>
              </w:rPr>
            </w:pPr>
          </w:p>
        </w:tc>
      </w:tr>
      <w:tr>
        <w:trPr>
          <w:trHeight w:val="322"/>
        </w:trPr>
        <w:tc>
          <w:tcPr>
            <w:tcW w:w="39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4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940,463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703,887</w:t>
            </w:r>
          </w:p>
        </w:tc>
        <w:tc>
          <w:tcPr>
            <w:tcW w:w="0" w:type="dxa"/>
            <w:vAlign w:val="bottom"/>
          </w:tcPr>
          <w:p>
            <w:pPr>
              <w:spacing w:after="0"/>
              <w:rPr>
                <w:sz w:val="1"/>
                <w:szCs w:val="1"/>
                <w:color w:val="auto"/>
              </w:rPr>
            </w:pPr>
          </w:p>
        </w:tc>
      </w:tr>
      <w:tr>
        <w:trPr>
          <w:trHeight w:val="155"/>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monthly new enrollments</w:t>
            </w:r>
          </w:p>
        </w:tc>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55,946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53,551</w:t>
            </w:r>
          </w:p>
        </w:tc>
        <w:tc>
          <w:tcPr>
            <w:tcW w:w="0" w:type="dxa"/>
            <w:vAlign w:val="bottom"/>
          </w:tcPr>
          <w:p>
            <w:pPr>
              <w:spacing w:after="0"/>
              <w:rPr>
                <w:sz w:val="1"/>
                <w:szCs w:val="1"/>
                <w:color w:val="auto"/>
              </w:rPr>
            </w:pPr>
          </w:p>
        </w:tc>
      </w:tr>
      <w:tr>
        <w:trPr>
          <w:trHeight w:val="873"/>
        </w:trPr>
        <w:tc>
          <w:tcPr>
            <w:tcW w:w="3900" w:type="dxa"/>
            <w:vAlign w:val="bottom"/>
          </w:tcPr>
          <w:p>
            <w:pPr>
              <w:spacing w:after="0"/>
              <w:rPr>
                <w:sz w:val="24"/>
                <w:szCs w:val="24"/>
                <w:color w:val="auto"/>
              </w:rPr>
            </w:pPr>
          </w:p>
        </w:tc>
        <w:tc>
          <w:tcPr>
            <w:tcW w:w="4340" w:type="dxa"/>
            <w:vAlign w:val="bottom"/>
          </w:tcPr>
          <w:p>
            <w:pPr>
              <w:jc w:val="right"/>
              <w:ind w:right="2480"/>
              <w:spacing w:after="0"/>
              <w:rPr>
                <w:sz w:val="20"/>
                <w:szCs w:val="20"/>
                <w:color w:val="auto"/>
              </w:rPr>
            </w:pPr>
            <w:r>
              <w:rPr>
                <w:rFonts w:ascii="Times New Roman" w:cs="Times New Roman" w:eastAsia="Times New Roman" w:hAnsi="Times New Roman"/>
                <w:sz w:val="12"/>
                <w:szCs w:val="12"/>
                <w:color w:val="auto"/>
              </w:rPr>
              <w:t>11</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2" w:right="319" w:bottom="1440" w:gutter="0" w:footer="0" w:header="0"/>
        </w:sectPr>
      </w:pPr>
    </w:p>
    <w:bookmarkStart w:id="14" w:name="page15"/>
    <w:bookmarkEnd w:id="14"/>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8"/>
          </w:tcPr>
          <w:p>
            <w:pPr>
              <w:ind w:left="84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25,705</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42,442</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(20,369)</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51,294</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(22,170)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(23,176)</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(13,777)</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(2,199)</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19,076</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1,165</w:t>
            </w:r>
          </w:p>
        </w:tc>
        <w:tc>
          <w:tcPr>
            <w:tcW w:w="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37,768</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(47,491)</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10,518</w:t>
            </w:r>
          </w:p>
        </w:tc>
        <w:tc>
          <w:tcPr>
            <w:tcW w:w="0" w:type="dxa"/>
            <w:vAlign w:val="bottom"/>
          </w:tcPr>
          <w:p>
            <w:pPr>
              <w:spacing w:after="0"/>
              <w:rPr>
                <w:sz w:val="1"/>
                <w:szCs w:val="1"/>
                <w:color w:val="auto"/>
              </w:rPr>
            </w:pPr>
          </w:p>
        </w:tc>
      </w:tr>
      <w:tr>
        <w:trPr>
          <w:trHeight w:val="133"/>
        </w:trPr>
        <w:tc>
          <w:tcPr>
            <w:tcW w:w="48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(2,250)</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8,268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8"/>
            <w:vMerge w:val="restart"/>
          </w:tcPr>
          <w:p>
            <w:pPr>
              <w:ind w:left="840"/>
              <w:spacing w:after="0"/>
              <w:rPr>
                <w:sz w:val="20"/>
                <w:szCs w:val="20"/>
                <w:color w:val="auto"/>
              </w:rPr>
            </w:pPr>
            <w:r>
              <w:rPr>
                <w:rFonts w:ascii="Times New Roman" w:cs="Times New Roman" w:eastAsia="Times New Roman" w:hAnsi="Times New Roman"/>
                <w:sz w:val="12"/>
                <w:szCs w:val="12"/>
                <w:b w:val="1"/>
                <w:bCs w:val="1"/>
                <w:color w:val="auto"/>
              </w:rPr>
              <w:t>Three Months Ended March 31, 2024</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25,023</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w:t>
            </w:r>
          </w:p>
        </w:tc>
        <w:tc>
          <w:tcPr>
            <w:tcW w:w="60" w:type="dxa"/>
            <w:vAlign w:val="bottom"/>
          </w:tcPr>
          <w:p>
            <w:pPr>
              <w:spacing w:after="0"/>
              <w:rPr>
                <w:sz w:val="13"/>
                <w:szCs w:val="13"/>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34,727</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(15,157)</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46,340</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(19,906)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(20,880)</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(1,470)</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(1,480)</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(1,634)</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16,432</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(814)</w:t>
            </w:r>
          </w:p>
        </w:tc>
        <w:tc>
          <w:tcPr>
            <w:tcW w:w="6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30,656</w:t>
            </w:r>
          </w:p>
        </w:tc>
        <w:tc>
          <w:tcPr>
            <w:tcW w:w="6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(38,499)</w:t>
            </w:r>
          </w:p>
        </w:tc>
        <w:tc>
          <w:tcPr>
            <w:tcW w:w="6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7,775</w:t>
            </w:r>
          </w:p>
        </w:tc>
        <w:tc>
          <w:tcPr>
            <w:tcW w:w="0" w:type="dxa"/>
            <w:vAlign w:val="bottom"/>
          </w:tcPr>
          <w:p>
            <w:pPr>
              <w:spacing w:after="0"/>
              <w:rPr>
                <w:sz w:val="1"/>
                <w:szCs w:val="1"/>
                <w:color w:val="auto"/>
              </w:rPr>
            </w:pPr>
          </w:p>
        </w:tc>
      </w:tr>
      <w:tr>
        <w:trPr>
          <w:trHeight w:val="133"/>
        </w:trPr>
        <w:tc>
          <w:tcPr>
            <w:tcW w:w="48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(2,582)</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5,193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80"/>
          </w:cols>
          <w:pgMar w:left="300" w:top="122" w:right="31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2025-05-06T06:52:36Z</dcterms:created>
  <dcterms:modified xsi:type="dcterms:W3CDTF">2025-05-06T06:52:36Z</dcterms:modified>
</cp:coreProperties>
</file>