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United States</w:t>
      </w:r>
    </w:p>
    <w:p>
      <w:pPr>
        <w:spacing w:after="0" w:line="3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SECURITIES AND EXCHANGE COMMISSION</w:t>
      </w:r>
    </w:p>
    <w:p>
      <w:pPr>
        <w:spacing w:after="0" w:line="13"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80"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Form 8-K</w:t>
      </w:r>
    </w:p>
    <w:p>
      <w:pPr>
        <w:spacing w:after="0" w:line="198"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3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Pursuant to Section 13 or 15(d) of the</w:t>
      </w:r>
    </w:p>
    <w:p>
      <w:pPr>
        <w:spacing w:after="0" w:line="13"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Securities Exchange Act of 1934</w:t>
      </w:r>
    </w:p>
    <w:p>
      <w:pPr>
        <w:spacing w:after="0" w:line="180"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November 10, 2025</w:t>
      </w:r>
    </w:p>
    <w:p>
      <w:pPr>
        <w:spacing w:after="0" w:line="3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140335</wp:posOffset>
            </wp:positionV>
            <wp:extent cx="2183130" cy="690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83130" cy="690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u w:val="single" w:color="auto"/>
          <w:color w:val="auto"/>
        </w:rPr>
        <w:t>Priority Technology Holdings, Inc.</w:t>
      </w:r>
    </w:p>
    <w:p>
      <w:pPr>
        <w:spacing w:after="0" w:line="3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pacing w:after="0" w:line="284" w:lineRule="exact"/>
        <w:rPr>
          <w:sz w:val="24"/>
          <w:szCs w:val="24"/>
          <w:color w:val="auto"/>
        </w:rPr>
      </w:pPr>
    </w:p>
    <w:tbl>
      <w:tblPr>
        <w:tblLayout w:type="fixed"/>
        <w:tblInd w:w="7" w:type="dxa"/>
        <w:tblCellMar>
          <w:top w:w="0" w:type="dxa"/>
          <w:left w:w="0" w:type="dxa"/>
          <w:bottom w:w="0" w:type="dxa"/>
          <w:right w:w="0" w:type="dxa"/>
        </w:tblCellMar>
      </w:tblPr>
      <w:tr>
        <w:trPr>
          <w:trHeight w:val="204"/>
        </w:trPr>
        <w:tc>
          <w:tcPr>
            <w:tcW w:w="39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20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001-37872</w:t>
            </w: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580" w:type="dxa"/>
            <w:vAlign w:val="bottom"/>
          </w:tcPr>
          <w:p>
            <w:pPr>
              <w:jc w:val="right"/>
              <w:ind w:right="1343"/>
              <w:spacing w:after="0"/>
              <w:rPr>
                <w:sz w:val="20"/>
                <w:szCs w:val="20"/>
                <w:color w:val="auto"/>
              </w:rPr>
            </w:pPr>
            <w:r>
              <w:rPr>
                <w:rFonts w:ascii="Times New Roman" w:cs="Times New Roman" w:eastAsia="Times New Roman" w:hAnsi="Times New Roman"/>
                <w:sz w:val="15"/>
                <w:szCs w:val="15"/>
                <w:b w:val="1"/>
                <w:bCs w:val="1"/>
                <w:color w:val="auto"/>
              </w:rPr>
              <w:t>47-4257046</w:t>
            </w:r>
          </w:p>
        </w:tc>
        <w:tc>
          <w:tcPr>
            <w:tcW w:w="20" w:type="dxa"/>
            <w:vAlign w:val="bottom"/>
          </w:tcPr>
          <w:p>
            <w:pPr>
              <w:spacing w:after="0"/>
              <w:rPr>
                <w:sz w:val="17"/>
                <w:szCs w:val="17"/>
                <w:color w:val="auto"/>
              </w:rPr>
            </w:pPr>
          </w:p>
        </w:tc>
      </w:tr>
      <w:tr>
        <w:trPr>
          <w:trHeight w:val="191"/>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(State or other jurisdiction of incorporation)</w:t>
            </w:r>
          </w:p>
        </w:tc>
        <w:tc>
          <w:tcPr>
            <w:tcW w:w="320" w:type="dxa"/>
            <w:vAlign w:val="bottom"/>
          </w:tcPr>
          <w:p>
            <w:pPr>
              <w:spacing w:after="0"/>
              <w:rPr>
                <w:sz w:val="16"/>
                <w:szCs w:val="16"/>
                <w:color w:val="auto"/>
              </w:rPr>
            </w:pPr>
          </w:p>
        </w:tc>
        <w:tc>
          <w:tcPr>
            <w:tcW w:w="3360" w:type="dxa"/>
            <w:vAlign w:val="bottom"/>
            <w:tcBorders>
              <w:top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5"/>
                <w:szCs w:val="15"/>
                <w:color w:val="auto"/>
              </w:rPr>
              <w:t>(Commission File Number)</w:t>
            </w:r>
          </w:p>
        </w:tc>
        <w:tc>
          <w:tcPr>
            <w:tcW w:w="320" w:type="dxa"/>
            <w:vAlign w:val="bottom"/>
          </w:tcPr>
          <w:p>
            <w:pPr>
              <w:spacing w:after="0"/>
              <w:rPr>
                <w:sz w:val="16"/>
                <w:szCs w:val="16"/>
                <w:color w:val="auto"/>
              </w:rPr>
            </w:pPr>
          </w:p>
        </w:tc>
        <w:tc>
          <w:tcPr>
            <w:tcW w:w="358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5"/>
                <w:szCs w:val="15"/>
                <w:color w:val="auto"/>
              </w:rPr>
              <w:t>(I.R.S. Employer Identification No.)</w:t>
            </w:r>
          </w:p>
        </w:tc>
        <w:tc>
          <w:tcPr>
            <w:tcW w:w="20" w:type="dxa"/>
            <w:vAlign w:val="bottom"/>
          </w:tcPr>
          <w:p>
            <w:pPr>
              <w:spacing w:after="0"/>
              <w:rPr>
                <w:sz w:val="16"/>
                <w:szCs w:val="16"/>
                <w:color w:val="auto"/>
              </w:rPr>
            </w:pPr>
          </w:p>
        </w:tc>
      </w:tr>
      <w:tr>
        <w:trPr>
          <w:trHeight w:val="557"/>
        </w:trPr>
        <w:tc>
          <w:tcPr>
            <w:tcW w:w="3980" w:type="dxa"/>
            <w:vAlign w:val="bottom"/>
            <w:gridSpan w:val="2"/>
          </w:tcPr>
          <w:p>
            <w:pPr>
              <w:jc w:val="center"/>
              <w:ind w:left="1663"/>
              <w:spacing w:after="0"/>
              <w:rPr>
                <w:sz w:val="20"/>
                <w:szCs w:val="20"/>
                <w:color w:val="auto"/>
              </w:rPr>
            </w:pPr>
            <w:r>
              <w:rPr>
                <w:rFonts w:ascii="Times New Roman" w:cs="Times New Roman" w:eastAsia="Times New Roman" w:hAnsi="Times New Roman"/>
                <w:sz w:val="15"/>
                <w:szCs w:val="15"/>
                <w:b w:val="1"/>
                <w:bCs w:val="1"/>
                <w:color w:val="auto"/>
              </w:rPr>
              <w:t>2001 Westside Parkway</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7"/>
        </w:trPr>
        <w:tc>
          <w:tcPr>
            <w:tcW w:w="3980" w:type="dxa"/>
            <w:vAlign w:val="bottom"/>
            <w:gridSpan w:val="2"/>
          </w:tcPr>
          <w:p>
            <w:pPr>
              <w:jc w:val="center"/>
              <w:ind w:left="1663"/>
              <w:spacing w:after="0"/>
              <w:rPr>
                <w:sz w:val="20"/>
                <w:szCs w:val="20"/>
                <w:color w:val="auto"/>
              </w:rPr>
            </w:pPr>
            <w:r>
              <w:rPr>
                <w:rFonts w:ascii="Times New Roman" w:cs="Times New Roman" w:eastAsia="Times New Roman" w:hAnsi="Times New Roman"/>
                <w:sz w:val="15"/>
                <w:szCs w:val="15"/>
                <w:b w:val="1"/>
                <w:bCs w:val="1"/>
                <w:color w:val="auto"/>
              </w:rPr>
              <w:t>Suite 155</w:t>
            </w: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3980" w:type="dxa"/>
            <w:vAlign w:val="bottom"/>
            <w:gridSpan w:val="2"/>
          </w:tcPr>
          <w:p>
            <w:pPr>
              <w:ind w:left="1060"/>
              <w:spacing w:after="0"/>
              <w:rPr>
                <w:sz w:val="20"/>
                <w:szCs w:val="20"/>
                <w:color w:val="auto"/>
              </w:rPr>
            </w:pPr>
            <w:r>
              <w:rPr>
                <w:rFonts w:ascii="Times New Roman" w:cs="Times New Roman" w:eastAsia="Times New Roman" w:hAnsi="Times New Roman"/>
                <w:sz w:val="15"/>
                <w:szCs w:val="15"/>
                <w:b w:val="1"/>
                <w:bCs w:val="1"/>
                <w:color w:val="auto"/>
              </w:rPr>
              <w:t>Alpharetta,</w:t>
            </w:r>
          </w:p>
        </w:tc>
        <w:tc>
          <w:tcPr>
            <w:tcW w:w="3680" w:type="dxa"/>
            <w:vAlign w:val="bottom"/>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rPr>
              <w:t>Georgia</w:t>
            </w:r>
          </w:p>
        </w:tc>
        <w:tc>
          <w:tcPr>
            <w:tcW w:w="3580" w:type="dxa"/>
            <w:vAlign w:val="bottom"/>
          </w:tcPr>
          <w:p>
            <w:pPr>
              <w:jc w:val="right"/>
              <w:ind w:right="2303"/>
              <w:spacing w:after="0"/>
              <w:rPr>
                <w:sz w:val="20"/>
                <w:szCs w:val="20"/>
                <w:color w:val="auto"/>
              </w:rPr>
            </w:pPr>
            <w:r>
              <w:rPr>
                <w:rFonts w:ascii="Times New Roman" w:cs="Times New Roman" w:eastAsia="Times New Roman" w:hAnsi="Times New Roman"/>
                <w:sz w:val="15"/>
                <w:szCs w:val="15"/>
                <w:b w:val="1"/>
                <w:bCs w:val="1"/>
                <w:color w:val="auto"/>
              </w:rPr>
              <w:t>30004</w:t>
            </w:r>
          </w:p>
        </w:tc>
        <w:tc>
          <w:tcPr>
            <w:tcW w:w="20" w:type="dxa"/>
            <w:vAlign w:val="bottom"/>
          </w:tcPr>
          <w:p>
            <w:pPr>
              <w:spacing w:after="0"/>
              <w:rPr>
                <w:sz w:val="17"/>
                <w:szCs w:val="17"/>
                <w:color w:val="auto"/>
              </w:rPr>
            </w:pPr>
          </w:p>
        </w:tc>
      </w:tr>
      <w:tr>
        <w:trPr>
          <w:trHeight w:val="191"/>
        </w:trPr>
        <w:tc>
          <w:tcPr>
            <w:tcW w:w="57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color w:val="auto"/>
              </w:rPr>
              <w:t>(Address of Principal Executive Offices)</w:t>
            </w:r>
          </w:p>
        </w:tc>
        <w:tc>
          <w:tcPr>
            <w:tcW w:w="320" w:type="dxa"/>
            <w:vAlign w:val="bottom"/>
          </w:tcPr>
          <w:p>
            <w:pPr>
              <w:spacing w:after="0"/>
              <w:rPr>
                <w:sz w:val="16"/>
                <w:szCs w:val="16"/>
                <w:color w:val="auto"/>
              </w:rPr>
            </w:pPr>
          </w:p>
        </w:tc>
        <w:tc>
          <w:tcPr>
            <w:tcW w:w="1600" w:type="dxa"/>
            <w:vAlign w:val="bottom"/>
            <w:tcBorders>
              <w:top w:val="single" w:sz="8" w:color="auto"/>
            </w:tcBorders>
            <w:gridSpan w:val="2"/>
          </w:tcPr>
          <w:p>
            <w:pPr>
              <w:spacing w:after="0"/>
              <w:rPr>
                <w:sz w:val="16"/>
                <w:szCs w:val="16"/>
                <w:color w:val="auto"/>
              </w:rPr>
            </w:pPr>
          </w:p>
        </w:tc>
        <w:tc>
          <w:tcPr>
            <w:tcW w:w="358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5"/>
                <w:szCs w:val="15"/>
                <w:color w:val="auto"/>
              </w:rPr>
              <w:t>(Zip Code)</w:t>
            </w:r>
          </w:p>
        </w:tc>
        <w:tc>
          <w:tcPr>
            <w:tcW w:w="20" w:type="dxa"/>
            <w:vAlign w:val="bottom"/>
            <w:tcBorders>
              <w:top w:val="single" w:sz="8" w:color="auto"/>
            </w:tcBorders>
          </w:tcPr>
          <w:p>
            <w:pPr>
              <w:spacing w:after="0"/>
              <w:rPr>
                <w:sz w:val="16"/>
                <w:szCs w:val="16"/>
                <w:color w:val="auto"/>
              </w:rPr>
            </w:pPr>
          </w:p>
        </w:tc>
      </w:tr>
    </w:tbl>
    <w:p>
      <w:pPr>
        <w:spacing w:after="0" w:line="233" w:lineRule="exact"/>
        <w:rPr>
          <w:sz w:val="24"/>
          <w:szCs w:val="24"/>
          <w:color w:val="auto"/>
        </w:rPr>
      </w:pPr>
    </w:p>
    <w:p>
      <w:pPr>
        <w:jc w:val="center"/>
        <w:ind w:right="33"/>
        <w:spacing w:after="0"/>
        <w:rPr>
          <w:sz w:val="20"/>
          <w:szCs w:val="20"/>
          <w:color w:val="auto"/>
        </w:rPr>
      </w:pPr>
      <w:r>
        <w:rPr>
          <w:rFonts w:ascii="Times New Roman" w:cs="Times New Roman" w:eastAsia="Times New Roman" w:hAnsi="Times New Roman"/>
          <w:sz w:val="15"/>
          <w:szCs w:val="15"/>
          <w:color w:val="auto"/>
        </w:rPr>
        <w:t xml:space="preserve">Registrant's telephone number, including area code: </w:t>
      </w:r>
      <w:r>
        <w:rPr>
          <w:rFonts w:ascii="Times New Roman" w:cs="Times New Roman" w:eastAsia="Times New Roman" w:hAnsi="Times New Roman"/>
          <w:sz w:val="15"/>
          <w:szCs w:val="15"/>
          <w:b w:val="1"/>
          <w:bCs w:val="1"/>
          <w:color w:val="auto"/>
        </w:rPr>
        <w:t>(800) 935-5961</w:t>
      </w:r>
    </w:p>
    <w:p>
      <w:pPr>
        <w:spacing w:after="0" w:line="202" w:lineRule="exact"/>
        <w:rPr>
          <w:sz w:val="24"/>
          <w:szCs w:val="24"/>
          <w:color w:val="auto"/>
        </w:rPr>
      </w:pPr>
    </w:p>
    <w:p>
      <w:pPr>
        <w:jc w:val="center"/>
        <w:ind w:right="33"/>
        <w:spacing w:after="0"/>
        <w:rPr>
          <w:sz w:val="20"/>
          <w:szCs w:val="20"/>
          <w:color w:val="auto"/>
        </w:rPr>
      </w:pPr>
      <w:r>
        <w:rPr>
          <w:rFonts w:ascii="Times New Roman" w:cs="Times New Roman" w:eastAsia="Times New Roman" w:hAnsi="Times New Roman"/>
          <w:sz w:val="15"/>
          <w:szCs w:val="15"/>
          <w:color w:val="auto"/>
        </w:rPr>
        <w:t>(Former name or former address, if changed since last report)</w:t>
      </w:r>
    </w:p>
    <w:p>
      <w:pPr>
        <w:spacing w:after="0" w:line="198" w:lineRule="exact"/>
        <w:rPr>
          <w:sz w:val="24"/>
          <w:szCs w:val="24"/>
          <w:color w:val="auto"/>
        </w:rPr>
      </w:pPr>
    </w:p>
    <w:p>
      <w:pPr>
        <w:ind w:left="7" w:right="100"/>
        <w:spacing w:after="0" w:line="295" w:lineRule="auto"/>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5"/>
          <w:szCs w:val="15"/>
          <w:u w:val="single" w:color="auto"/>
          <w:color w:val="auto"/>
        </w:rPr>
        <w:t>see</w:t>
      </w:r>
      <w:r>
        <w:rPr>
          <w:rFonts w:ascii="Times New Roman" w:cs="Times New Roman" w:eastAsia="Times New Roman" w:hAnsi="Times New Roman"/>
          <w:sz w:val="15"/>
          <w:szCs w:val="15"/>
          <w:color w:val="auto"/>
        </w:rPr>
        <w:t xml:space="preserve"> General Instruction A.2. below):</w:t>
      </w:r>
    </w:p>
    <w:p>
      <w:pPr>
        <w:spacing w:after="0" w:line="132" w:lineRule="exact"/>
        <w:rPr>
          <w:sz w:val="24"/>
          <w:szCs w:val="24"/>
          <w:color w:val="auto"/>
        </w:rPr>
      </w:pPr>
    </w:p>
    <w:p>
      <w:pPr>
        <w:ind w:left="367" w:hanging="367"/>
        <w:spacing w:after="0"/>
        <w:tabs>
          <w:tab w:leader="none" w:pos="36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197" w:lineRule="exact"/>
        <w:rPr>
          <w:rFonts w:ascii="MS PGothic" w:cs="MS PGothic" w:eastAsia="MS PGothic" w:hAnsi="MS PGothic"/>
          <w:sz w:val="15"/>
          <w:szCs w:val="15"/>
          <w:color w:val="auto"/>
        </w:rPr>
      </w:pPr>
    </w:p>
    <w:p>
      <w:pPr>
        <w:ind w:left="367" w:hanging="367"/>
        <w:spacing w:after="0"/>
        <w:tabs>
          <w:tab w:leader="none" w:pos="36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197" w:lineRule="exact"/>
        <w:rPr>
          <w:rFonts w:ascii="MS PGothic" w:cs="MS PGothic" w:eastAsia="MS PGothic" w:hAnsi="MS PGothic"/>
          <w:sz w:val="15"/>
          <w:szCs w:val="15"/>
          <w:color w:val="auto"/>
        </w:rPr>
      </w:pPr>
    </w:p>
    <w:p>
      <w:pPr>
        <w:ind w:left="367" w:hanging="367"/>
        <w:spacing w:after="0"/>
        <w:tabs>
          <w:tab w:leader="none" w:pos="36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197" w:lineRule="exact"/>
        <w:rPr>
          <w:rFonts w:ascii="MS PGothic" w:cs="MS PGothic" w:eastAsia="MS PGothic" w:hAnsi="MS PGothic"/>
          <w:sz w:val="15"/>
          <w:szCs w:val="15"/>
          <w:color w:val="auto"/>
        </w:rPr>
      </w:pPr>
    </w:p>
    <w:p>
      <w:pPr>
        <w:ind w:left="367" w:hanging="367"/>
        <w:spacing w:after="0"/>
        <w:tabs>
          <w:tab w:leader="none" w:pos="36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200" w:lineRule="exact"/>
        <w:rPr>
          <w:sz w:val="24"/>
          <w:szCs w:val="24"/>
          <w:color w:val="auto"/>
        </w:rPr>
      </w:pPr>
    </w:p>
    <w:p>
      <w:pPr>
        <w:spacing w:after="0" w:line="206" w:lineRule="exact"/>
        <w:rPr>
          <w:sz w:val="24"/>
          <w:szCs w:val="24"/>
          <w:color w:val="auto"/>
        </w:rPr>
      </w:pPr>
    </w:p>
    <w:tbl>
      <w:tblPr>
        <w:tblLayout w:type="fixed"/>
        <w:tblInd w:w="7" w:type="dxa"/>
        <w:tblCellMar>
          <w:top w:w="0" w:type="dxa"/>
          <w:left w:w="0" w:type="dxa"/>
          <w:bottom w:w="0" w:type="dxa"/>
          <w:right w:w="0" w:type="dxa"/>
        </w:tblCellMar>
      </w:tblPr>
      <w:tr>
        <w:trPr>
          <w:trHeight w:val="199"/>
        </w:trPr>
        <w:tc>
          <w:tcPr>
            <w:tcW w:w="5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7700" w:type="dxa"/>
            <w:vAlign w:val="bottom"/>
            <w:gridSpan w:val="6"/>
          </w:tcPr>
          <w:p>
            <w:pPr>
              <w:ind w:left="28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r>
      <w:tr>
        <w:trPr>
          <w:trHeight w:val="301"/>
        </w:trPr>
        <w:tc>
          <w:tcPr>
            <w:tcW w:w="560" w:type="dxa"/>
            <w:vAlign w:val="bottom"/>
          </w:tcPr>
          <w:p>
            <w:pPr>
              <w:spacing w:after="0"/>
              <w:rPr>
                <w:sz w:val="24"/>
                <w:szCs w:val="24"/>
                <w:color w:val="auto"/>
              </w:rPr>
            </w:pPr>
          </w:p>
        </w:tc>
        <w:tc>
          <w:tcPr>
            <w:tcW w:w="3000" w:type="dxa"/>
            <w:vAlign w:val="bottom"/>
          </w:tcPr>
          <w:p>
            <w:pPr>
              <w:jc w:val="center"/>
              <w:ind w:left="283"/>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Trading Symbol</w:t>
            </w:r>
          </w:p>
        </w:tc>
        <w:tc>
          <w:tcPr>
            <w:tcW w:w="4940" w:type="dxa"/>
            <w:vAlign w:val="bottom"/>
            <w:gridSpan w:val="2"/>
          </w:tcPr>
          <w:p>
            <w:pPr>
              <w:jc w:val="center"/>
              <w:ind w:right="580"/>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91"/>
        </w:trPr>
        <w:tc>
          <w:tcPr>
            <w:tcW w:w="560" w:type="dxa"/>
            <w:vAlign w:val="bottom"/>
          </w:tcPr>
          <w:p>
            <w:pPr>
              <w:spacing w:after="0"/>
              <w:rPr>
                <w:sz w:val="16"/>
                <w:szCs w:val="16"/>
                <w:color w:val="auto"/>
              </w:rPr>
            </w:pPr>
          </w:p>
        </w:tc>
        <w:tc>
          <w:tcPr>
            <w:tcW w:w="3000" w:type="dxa"/>
            <w:vAlign w:val="bottom"/>
            <w:tcBorders>
              <w:top w:val="single" w:sz="8" w:color="auto"/>
            </w:tcBorders>
          </w:tcPr>
          <w:p>
            <w:pPr>
              <w:jc w:val="center"/>
              <w:ind w:left="283"/>
              <w:spacing w:after="0"/>
              <w:rPr>
                <w:sz w:val="20"/>
                <w:szCs w:val="20"/>
                <w:color w:val="auto"/>
              </w:rPr>
            </w:pPr>
            <w:r>
              <w:rPr>
                <w:rFonts w:ascii="Times New Roman" w:cs="Times New Roman" w:eastAsia="Times New Roman" w:hAnsi="Times New Roman"/>
                <w:sz w:val="15"/>
                <w:szCs w:val="15"/>
                <w:color w:val="auto"/>
              </w:rPr>
              <w:t>Common stock, $0.001 par value</w:t>
            </w:r>
          </w:p>
        </w:tc>
        <w:tc>
          <w:tcPr>
            <w:tcW w:w="3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PRTH</w:t>
            </w:r>
          </w:p>
        </w:tc>
        <w:tc>
          <w:tcPr>
            <w:tcW w:w="200" w:type="dxa"/>
            <w:vAlign w:val="bottom"/>
          </w:tcPr>
          <w:p>
            <w:pPr>
              <w:spacing w:after="0"/>
              <w:rPr>
                <w:sz w:val="16"/>
                <w:szCs w:val="16"/>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NASDAQ</w:t>
            </w:r>
          </w:p>
        </w:tc>
        <w:tc>
          <w:tcPr>
            <w:tcW w:w="560" w:type="dxa"/>
            <w:vAlign w:val="bottom"/>
          </w:tcPr>
          <w:p>
            <w:pPr>
              <w:spacing w:after="0"/>
              <w:rPr>
                <w:sz w:val="16"/>
                <w:szCs w:val="16"/>
                <w:color w:val="auto"/>
              </w:rPr>
            </w:pPr>
          </w:p>
        </w:tc>
      </w:tr>
      <w:tr>
        <w:trPr>
          <w:trHeight w:val="1042"/>
        </w:trPr>
        <w:tc>
          <w:tcPr>
            <w:tcW w:w="56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7131685</wp:posOffset>
            </wp:positionH>
            <wp:positionV relativeFrom="paragraph">
              <wp:posOffset>-26670</wp:posOffset>
            </wp:positionV>
            <wp:extent cx="33020"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302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7"/>
          </w:cols>
          <w:pgMar w:left="313" w:top="873" w:right="319" w:bottom="1440" w:gutter="0" w:footer="0" w:header="0"/>
        </w:sectPr>
      </w:pPr>
    </w:p>
    <w:bookmarkStart w:id="1" w:name="page2"/>
    <w:bookmarkEnd w:id="1"/>
    <w:p>
      <w:pPr>
        <w:ind w:right="20"/>
        <w:spacing w:after="0" w:line="295"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9" w:lineRule="exact"/>
        <w:rPr>
          <w:sz w:val="20"/>
          <w:szCs w:val="20"/>
          <w:color w:val="auto"/>
        </w:rPr>
      </w:pPr>
    </w:p>
    <w:p>
      <w:pPr>
        <w:ind w:left="1540"/>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257" w:lineRule="exact"/>
        <w:rPr>
          <w:sz w:val="20"/>
          <w:szCs w:val="20"/>
          <w:color w:val="auto"/>
        </w:rPr>
      </w:pPr>
    </w:p>
    <w:p>
      <w:pPr>
        <w:spacing w:after="0" w:line="20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450215</wp:posOffset>
            </wp:positionV>
            <wp:extent cx="717740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b w:val="1"/>
          <w:bCs w:val="1"/>
          <w:color w:val="auto"/>
        </w:rPr>
        <w:t>Item 8.01 Other Events</w:t>
      </w:r>
    </w:p>
    <w:p>
      <w:pPr>
        <w:spacing w:after="0" w:line="2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On November 10, 2025, Priority Technology Holdings, Inc. (the “Company”) issued a press release announcing that it had received a preliminary, non-binding proposal, dated November 9, 2025, from an investor group led by Thomas Priore, the Company’s Chairman and Chief Executive Officer to acquire the remaining shares of the Company’s common stock that Mr. Priore and his affiliated entities do not currently hold.</w:t>
      </w:r>
    </w:p>
    <w:p>
      <w:pPr>
        <w:spacing w:after="0" w:line="16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Copies of the press release announcing receipt of the preliminary, non-binding proposal from Mr. Priore and the proposal letter are attached hereto as Exhibits 99.1 and 99.2, respectively, and incorporated herein by reference.</w:t>
      </w:r>
    </w:p>
    <w:p>
      <w:pPr>
        <w:spacing w:after="0" w:line="16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5"/>
          <w:szCs w:val="15"/>
          <w:b w:val="1"/>
          <w:bCs w:val="1"/>
          <w:color w:val="auto"/>
        </w:rPr>
        <w:t>Item 9.01</w:t>
      </w:r>
      <w:r>
        <w:rPr>
          <w:sz w:val="20"/>
          <w:szCs w:val="20"/>
          <w:color w:val="auto"/>
        </w:rPr>
        <w:tab/>
      </w:r>
      <w:r>
        <w:rPr>
          <w:rFonts w:ascii="Times New Roman" w:cs="Times New Roman" w:eastAsia="Times New Roman" w:hAnsi="Times New Roman"/>
          <w:sz w:val="15"/>
          <w:szCs w:val="15"/>
          <w:b w:val="1"/>
          <w:bCs w:val="1"/>
          <w:color w:val="auto"/>
        </w:rPr>
        <w:t>Financial Statements and 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 Exhibits – The following exhibit is furnished as part of this Current Report on Form 8-K.</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Exhibit Number</w:t>
            </w:r>
          </w:p>
        </w:tc>
        <w:tc>
          <w:tcPr>
            <w:tcW w:w="99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186"/>
        </w:trPr>
        <w:tc>
          <w:tcPr>
            <w:tcW w:w="1360" w:type="dxa"/>
            <w:vAlign w:val="bottom"/>
          </w:tcPr>
          <w:p>
            <w:pPr>
              <w:spacing w:after="0"/>
              <w:rPr>
                <w:sz w:val="20"/>
                <w:szCs w:val="20"/>
                <w:color w:val="auto"/>
              </w:rPr>
            </w:pPr>
            <w:r>
              <w:rPr>
                <w:rFonts w:ascii="Times New Roman" w:cs="Times New Roman" w:eastAsia="Times New Roman" w:hAnsi="Times New Roman"/>
                <w:sz w:val="15"/>
                <w:szCs w:val="15"/>
                <w:color w:val="0000FF"/>
              </w:rPr>
              <w:t>99.1</w:t>
            </w:r>
          </w:p>
        </w:tc>
        <w:tc>
          <w:tcPr>
            <w:tcW w:w="99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Press Release, of Priority Technology Holdings, Inc. dated November 10, 2025</w:t>
            </w:r>
          </w:p>
        </w:tc>
      </w:tr>
      <w:tr>
        <w:trPr>
          <w:trHeight w:val="197"/>
        </w:trPr>
        <w:tc>
          <w:tcPr>
            <w:tcW w:w="1360" w:type="dxa"/>
            <w:vAlign w:val="bottom"/>
          </w:tcPr>
          <w:p>
            <w:pPr>
              <w:spacing w:after="0"/>
              <w:rPr>
                <w:sz w:val="20"/>
                <w:szCs w:val="20"/>
                <w:color w:val="auto"/>
              </w:rPr>
            </w:pPr>
            <w:r>
              <w:rPr>
                <w:rFonts w:ascii="Times New Roman" w:cs="Times New Roman" w:eastAsia="Times New Roman" w:hAnsi="Times New Roman"/>
                <w:sz w:val="15"/>
                <w:szCs w:val="15"/>
                <w:color w:val="0000FF"/>
              </w:rPr>
              <w:t>99.2</w:t>
            </w:r>
          </w:p>
        </w:tc>
        <w:tc>
          <w:tcPr>
            <w:tcW w:w="99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Letter dated November 9, 2025 to the Board of Directors of the Company from Thomas Priore</w:t>
            </w:r>
          </w:p>
        </w:tc>
      </w:tr>
      <w:tr>
        <w:trPr>
          <w:trHeight w:val="199"/>
        </w:trPr>
        <w:tc>
          <w:tcPr>
            <w:tcW w:w="136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99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SIGNATURE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November 10, 2025</w:t>
      </w:r>
    </w:p>
    <w:p>
      <w:pPr>
        <w:spacing w:after="0" w:line="22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5"/>
          <w:szCs w:val="15"/>
          <w:color w:val="auto"/>
        </w:rPr>
        <w:t>PRIORITY TECHNOLOGY HOLDINGS, INC.</w:t>
      </w:r>
    </w:p>
    <w:p>
      <w:pPr>
        <w:spacing w:after="0" w:line="22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5"/>
          <w:szCs w:val="15"/>
          <w:u w:val="single" w:color="auto"/>
          <w:color w:val="auto"/>
        </w:rPr>
        <w:t>By: /s/ Timothy O'Leary</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5"/>
          <w:szCs w:val="15"/>
          <w:color w:val="auto"/>
        </w:rPr>
        <w:t>Name: Timothy O'Leary</w:t>
      </w:r>
    </w:p>
    <w:p>
      <w:pPr>
        <w:spacing w:after="0" w:line="2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5"/>
          <w:szCs w:val="15"/>
          <w:color w:val="auto"/>
        </w:rPr>
        <w:t>Title: Chief Financial Officer</w:t>
      </w:r>
    </w:p>
    <w:p>
      <w:pPr>
        <w:sectPr>
          <w:pgSz w:w="11900" w:h="16838" w:orient="portrait"/>
          <w:cols w:equalWidth="0" w:num="1">
            <w:col w:w="11260"/>
          </w:cols>
          <w:pgMar w:left="320" w:top="769"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9"/>
          <w:szCs w:val="19"/>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Priority Technology Holdings, Inc. Board Confirms Receipt of Preliminary, Non-Binding Take Private Proposal</w:t>
      </w:r>
    </w:p>
    <w:p>
      <w:pPr>
        <w:spacing w:after="0" w:line="15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5"/>
          <w:szCs w:val="15"/>
          <w:color w:val="auto"/>
        </w:rPr>
        <w:t>ALPHARETTA, Ga., November 10, 2025 -Priority Technology Holdings, Inc. (NASDAQ: PRTH) (“Priority” or the “Company”) announced today that it has received a preliminary, non-binding proposal (the “Proposal”) from an investor group led by Thomas Priore, the Company’s Chairman and Chief Executive Officer (the “Investor Group”), to acquire the remaining shares of the Company’s common stock that the Investor Group does not currently hold, for cash consideration in a range of $6.00 to $6.15 per share. Mr. Priore currently holds approximately 58 % of the outstanding shares of the Company’s common stock, as disclosed in the Company’s Definitive Proxy Statement filed on April 30, 2025.</w:t>
      </w:r>
    </w:p>
    <w:p>
      <w:pPr>
        <w:spacing w:after="0" w:line="286" w:lineRule="exact"/>
        <w:rPr>
          <w:sz w:val="20"/>
          <w:szCs w:val="20"/>
          <w:color w:val="auto"/>
        </w:rPr>
      </w:pPr>
    </w:p>
    <w:p>
      <w:pPr>
        <w:jc w:val="both"/>
        <w:spacing w:after="0" w:line="327" w:lineRule="auto"/>
        <w:rPr>
          <w:sz w:val="20"/>
          <w:szCs w:val="20"/>
          <w:color w:val="auto"/>
        </w:rPr>
      </w:pPr>
      <w:r>
        <w:rPr>
          <w:rFonts w:ascii="Times New Roman" w:cs="Times New Roman" w:eastAsia="Times New Roman" w:hAnsi="Times New Roman"/>
          <w:sz w:val="15"/>
          <w:szCs w:val="15"/>
          <w:color w:val="auto"/>
        </w:rPr>
        <w:t>A copy of the proposal letter from Mr. Priore is available as an exhibit to the Company’s Current Report on Form 8-K as publicly filed today with the Securities and Exchange Commission.</w:t>
      </w:r>
    </w:p>
    <w:p>
      <w:pPr>
        <w:spacing w:after="0" w:line="74"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5"/>
          <w:szCs w:val="15"/>
          <w:color w:val="auto"/>
        </w:rPr>
        <w:t>There can be no assurance as to whether an agreement relating to any proposed transaction will be reached or as to the terms thereof if an agreement is reached. The Company does not intend to comment further or disclose any developments regarding the Proposal unless and until it deems further disclosure is appropriate or required. The Company’s shareholders do not need to take any action at this time.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About Priority</w:t>
      </w:r>
    </w:p>
    <w:p>
      <w:pPr>
        <w:spacing w:after="0" w:line="179"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15"/>
          <w:szCs w:val="15"/>
          <w:color w:val="auto"/>
        </w:rPr>
        <w:t>Priority is the payments and banking solution that enables businesses to collect, store, lend and send funds through a unified commerce engine. Our platform combines payables, merchant solutions, and treasury solutions so leaders can streamline financial operations efficiently — and our innovative industry experts help businesses navigate and build momentum on the path to growth. With the Priority Commerce Engine, leaders can accelerate cash flow, optimize working capital, reduce unnecessary costs, and unlock new revenue opportunities. To learn more about Priority (NASDAQ: PRTH), visit prioritycommerce.com.</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Forward Looking Statements</w:t>
      </w:r>
    </w:p>
    <w:p>
      <w:pPr>
        <w:spacing w:after="0" w:line="16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5"/>
          <w:szCs w:val="15"/>
          <w:color w:val="auto"/>
        </w:rPr>
        <w:t>This press release contains “forward-looking statements” within the meaning of the Private Securities Litigation Reform Act of 1995. Forward-looking statements may be identified by the use of words such as “anticipate,” “believe,” “expect,” “intend,” “plan” and “will” or, in each case, their negative, or other variations or comparable terminology. By their nature, forward-looking statements involve risks and uncertainties because they relate to events and depend on circumstances that may or may not occur in the future, including statements regarding the potential acquisition of the Company and the Company’s evaluation of the Proposal. Forward-looking statements are subject to risks and uncertainties that could cause actual results to differ materially from those expressed or implied by such statements, including, among others, the possibility that no agreement will be reached or that any transaction will not be completed.</w:t>
      </w:r>
    </w:p>
    <w:p>
      <w:pPr>
        <w:spacing w:after="0" w:line="8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5"/>
          <w:szCs w:val="15"/>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6, 2025. These filings are available online at www.sec.gov or www.prioritycommerce.com.</w:t>
      </w:r>
    </w:p>
    <w:p>
      <w:pPr>
        <w:spacing w:after="0" w:line="81" w:lineRule="exact"/>
        <w:rPr>
          <w:sz w:val="20"/>
          <w:szCs w:val="20"/>
          <w:color w:val="auto"/>
        </w:rPr>
      </w:pPr>
    </w:p>
    <w:p>
      <w:pPr>
        <w:jc w:val="both"/>
        <w:ind w:right="20"/>
        <w:spacing w:after="0" w:line="327" w:lineRule="auto"/>
        <w:rPr>
          <w:sz w:val="20"/>
          <w:szCs w:val="20"/>
          <w:color w:val="auto"/>
        </w:rPr>
      </w:pPr>
      <w:r>
        <w:rPr>
          <w:rFonts w:ascii="Times New Roman" w:cs="Times New Roman" w:eastAsia="Times New Roman" w:hAnsi="Times New Roman"/>
          <w:sz w:val="15"/>
          <w:szCs w:val="15"/>
          <w:color w:val="auto"/>
        </w:rPr>
        <w:t>Readers are cautioned not to place undue reliance on these forward-looking statements, which speak only as of the date hereof. The Company undertakes no obligation to update any forward-looking statements, except as required by applicable law. We qualify all of our forward-looking statements by these cautionary statements.</w:t>
      </w:r>
    </w:p>
    <w:p>
      <w:pPr>
        <w:sectPr>
          <w:pgSz w:w="11900" w:h="16838" w:orient="portrait"/>
          <w:cols w:equalWidth="0" w:num="1">
            <w:col w:w="11260"/>
          </w:cols>
          <w:pgMar w:left="320" w:top="140" w:right="3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9"/>
          <w:szCs w:val="19"/>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Investor: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priorityIR@icrinc.com</w:t>
      </w:r>
    </w:p>
    <w:p>
      <w:pPr>
        <w:sectPr>
          <w:pgSz w:w="11900" w:h="16838" w:orient="portrait"/>
          <w:cols w:equalWidth="0" w:num="1">
            <w:col w:w="11260"/>
          </w:cols>
          <w:pgMar w:left="320" w:top="140" w:right="31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6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0410" cy="1016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0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0410" cy="10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2025-11-10T07:43:38Z</dcterms:created>
  <dcterms:modified xsi:type="dcterms:W3CDTF">2025-11-10T07:43:38Z</dcterms:modified>
</cp:coreProperties>
</file>