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76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left="37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left="37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5340"/>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8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95"/>
              </w:rPr>
              <w:t>Current Report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8"/>
              </w:rPr>
              <w:t>Securities Exchange Act of 1934</w:t>
            </w:r>
          </w:p>
        </w:tc>
        <w:tc>
          <w:tcPr>
            <w:tcW w:w="0" w:type="dxa"/>
            <w:vAlign w:val="bottom"/>
          </w:tcPr>
          <w:p>
            <w:pPr>
              <w:spacing w:after="0"/>
              <w:rPr>
                <w:sz w:val="1"/>
                <w:szCs w:val="1"/>
                <w:color w:val="auto"/>
              </w:rPr>
            </w:pPr>
          </w:p>
        </w:tc>
      </w:tr>
      <w:tr>
        <w:trPr>
          <w:trHeight w:val="418"/>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8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88"/>
              </w:rPr>
              <w:t>June 15, 2018</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6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Date of Report (Date of earliest event reported)</w:t>
            </w:r>
          </w:p>
        </w:tc>
        <w:tc>
          <w:tcPr>
            <w:tcW w:w="0" w:type="dxa"/>
            <w:vAlign w:val="bottom"/>
          </w:tcPr>
          <w:p>
            <w:pPr>
              <w:spacing w:after="0"/>
              <w:rPr>
                <w:sz w:val="1"/>
                <w:szCs w:val="1"/>
                <w:color w:val="auto"/>
              </w:rPr>
            </w:pPr>
          </w:p>
        </w:tc>
      </w:tr>
      <w:tr>
        <w:trPr>
          <w:trHeight w:val="392"/>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8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92"/>
              </w:rPr>
              <w:t>M I Acquisitions, Inc.</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tcPr>
          <w:p>
            <w:pPr>
              <w:spacing w:after="0"/>
              <w:rPr>
                <w:sz w:val="20"/>
                <w:szCs w:val="20"/>
                <w:color w:val="auto"/>
              </w:rPr>
            </w:pPr>
          </w:p>
        </w:tc>
        <w:tc>
          <w:tcPr>
            <w:tcW w:w="4000" w:type="dxa"/>
            <w:vAlign w:val="bottom"/>
            <w:gridSpan w:val="6"/>
          </w:tcPr>
          <w:p>
            <w:pPr>
              <w:jc w:val="center"/>
              <w:ind w:left="10"/>
              <w:spacing w:after="0"/>
              <w:rPr>
                <w:sz w:val="20"/>
                <w:szCs w:val="20"/>
                <w:color w:val="auto"/>
              </w:rPr>
            </w:pPr>
            <w:r>
              <w:rPr>
                <w:rFonts w:ascii="Arial" w:cs="Arial" w:eastAsia="Arial" w:hAnsi="Arial"/>
                <w:sz w:val="18"/>
                <w:szCs w:val="18"/>
                <w:color w:val="auto"/>
                <w:w w:val="91"/>
              </w:rPr>
              <w:t>(Exact Name of Registrant as Specified in its Charter)</w:t>
            </w:r>
          </w:p>
        </w:tc>
        <w:tc>
          <w:tcPr>
            <w:tcW w:w="0" w:type="dxa"/>
            <w:vAlign w:val="bottom"/>
          </w:tcPr>
          <w:p>
            <w:pPr>
              <w:spacing w:after="0"/>
              <w:rPr>
                <w:sz w:val="1"/>
                <w:szCs w:val="1"/>
                <w:color w:val="auto"/>
              </w:rPr>
            </w:pPr>
          </w:p>
        </w:tc>
      </w:tr>
      <w:tr>
        <w:trPr>
          <w:trHeight w:val="446"/>
        </w:trPr>
        <w:tc>
          <w:tcPr>
            <w:tcW w:w="354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Delaware</w:t>
            </w:r>
          </w:p>
        </w:tc>
        <w:tc>
          <w:tcPr>
            <w:tcW w:w="28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001-37872</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40" w:type="dxa"/>
            <w:vAlign w:val="bottom"/>
          </w:tcPr>
          <w:p>
            <w:pPr>
              <w:jc w:val="center"/>
              <w:ind w:left="50"/>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3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(Commission File Number)</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47-4257046</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-291465</wp:posOffset>
            </wp:positionH>
            <wp:positionV relativeFrom="paragraph">
              <wp:posOffset>-123190</wp:posOffset>
            </wp:positionV>
            <wp:extent cx="22555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49" w:lineRule="exact"/>
        <w:rPr>
          <w:sz w:val="24"/>
          <w:szCs w:val="24"/>
          <w:color w:val="auto"/>
        </w:rPr>
      </w:pPr>
    </w:p>
    <w:p>
      <w:pPr>
        <w:sectPr>
          <w:pgSz w:w="11900" w:h="16838" w:orient="portrait"/>
          <w:cols w:equalWidth="0" w:num="2">
            <w:col w:w="7660" w:space="560"/>
            <w:col w:w="3120"/>
          </w:cols>
          <w:pgMar w:left="240" w:top="229" w:right="319" w:bottom="1440" w:gutter="0" w:footer="0" w:header="0"/>
        </w:sectPr>
      </w:pPr>
    </w:p>
    <w:p>
      <w:pPr>
        <w:spacing w:after="0" w:line="91" w:lineRule="exact"/>
        <w:rPr>
          <w:sz w:val="24"/>
          <w:szCs w:val="24"/>
          <w:color w:val="auto"/>
        </w:rPr>
      </w:pPr>
    </w:p>
    <w:tbl>
      <w:tblPr>
        <w:tblLayout w:type="fixed"/>
        <w:tblInd w:w="100" w:type="dxa"/>
        <w:tblCellMar>
          <w:top w:w="0" w:type="dxa"/>
          <w:left w:w="0" w:type="dxa"/>
          <w:bottom w:w="0" w:type="dxa"/>
          <w:right w:w="0" w:type="dxa"/>
        </w:tblCellMar>
      </w:tblPr>
      <w:tr>
        <w:trPr>
          <w:trHeight w:val="216"/>
        </w:trPr>
        <w:tc>
          <w:tcPr>
            <w:tcW w:w="8080" w:type="dxa"/>
            <w:vAlign w:val="bottom"/>
            <w:gridSpan w:val="3"/>
          </w:tcPr>
          <w:p>
            <w:pPr>
              <w:jc w:val="center"/>
              <w:ind w:right="2560"/>
              <w:spacing w:after="0"/>
              <w:rPr>
                <w:sz w:val="20"/>
                <w:szCs w:val="20"/>
                <w:color w:val="auto"/>
              </w:rPr>
            </w:pPr>
            <w:r>
              <w:rPr>
                <w:rFonts w:ascii="Arial" w:cs="Arial" w:eastAsia="Arial" w:hAnsi="Arial"/>
                <w:sz w:val="18"/>
                <w:szCs w:val="18"/>
                <w:b w:val="1"/>
                <w:bCs w:val="1"/>
                <w:color w:val="auto"/>
                <w:w w:val="93"/>
              </w:rPr>
              <w:t>c/o Magna Management LLC</w:t>
            </w:r>
          </w:p>
        </w:tc>
        <w:tc>
          <w:tcPr>
            <w:tcW w:w="3140" w:type="dxa"/>
            <w:vAlign w:val="bottom"/>
          </w:tcPr>
          <w:p>
            <w:pPr>
              <w:spacing w:after="0"/>
              <w:rPr>
                <w:sz w:val="18"/>
                <w:szCs w:val="18"/>
                <w:color w:val="auto"/>
              </w:rPr>
            </w:pPr>
          </w:p>
        </w:tc>
      </w:tr>
      <w:tr>
        <w:trPr>
          <w:trHeight w:val="216"/>
        </w:trPr>
        <w:tc>
          <w:tcPr>
            <w:tcW w:w="808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92"/>
              </w:rPr>
              <w:t>40 Wall Street, 58th Floor</w:t>
            </w:r>
          </w:p>
        </w:tc>
        <w:tc>
          <w:tcPr>
            <w:tcW w:w="3140" w:type="dxa"/>
            <w:vAlign w:val="bottom"/>
          </w:tcPr>
          <w:p>
            <w:pPr>
              <w:spacing w:after="0"/>
              <w:rPr>
                <w:sz w:val="18"/>
                <w:szCs w:val="18"/>
                <w:color w:val="auto"/>
              </w:rPr>
            </w:pPr>
          </w:p>
        </w:tc>
      </w:tr>
      <w:tr>
        <w:trPr>
          <w:trHeight w:val="234"/>
        </w:trPr>
        <w:tc>
          <w:tcPr>
            <w:tcW w:w="8080" w:type="dxa"/>
            <w:vAlign w:val="bottom"/>
            <w:gridSpan w:val="3"/>
          </w:tcPr>
          <w:p>
            <w:pPr>
              <w:jc w:val="center"/>
              <w:ind w:right="2560"/>
              <w:spacing w:after="0"/>
              <w:rPr>
                <w:sz w:val="20"/>
                <w:szCs w:val="20"/>
                <w:color w:val="auto"/>
              </w:rPr>
            </w:pPr>
            <w:r>
              <w:rPr>
                <w:rFonts w:ascii="Arial" w:cs="Arial" w:eastAsia="Arial" w:hAnsi="Arial"/>
                <w:sz w:val="18"/>
                <w:szCs w:val="18"/>
                <w:b w:val="1"/>
                <w:bCs w:val="1"/>
                <w:color w:val="auto"/>
                <w:w w:val="95"/>
              </w:rPr>
              <w:t>New York, NY</w:t>
            </w:r>
          </w:p>
        </w:tc>
        <w:tc>
          <w:tcPr>
            <w:tcW w:w="3140" w:type="dxa"/>
            <w:vAlign w:val="bottom"/>
          </w:tcPr>
          <w:p>
            <w:pPr>
              <w:jc w:val="right"/>
              <w:ind w:right="2430"/>
              <w:spacing w:after="0"/>
              <w:rPr>
                <w:sz w:val="20"/>
                <w:szCs w:val="20"/>
                <w:color w:val="auto"/>
              </w:rPr>
            </w:pPr>
            <w:r>
              <w:rPr>
                <w:rFonts w:ascii="Arial" w:cs="Arial" w:eastAsia="Arial" w:hAnsi="Arial"/>
                <w:sz w:val="18"/>
                <w:szCs w:val="18"/>
                <w:b w:val="1"/>
                <w:bCs w:val="1"/>
                <w:color w:val="auto"/>
              </w:rPr>
              <w:t>10005</w:t>
            </w:r>
          </w:p>
        </w:tc>
      </w:tr>
      <w:tr>
        <w:trPr>
          <w:trHeight w:val="22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236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tcPr>
          <w:p>
            <w:pPr>
              <w:jc w:val="center"/>
              <w:ind w:right="2270"/>
              <w:spacing w:after="0"/>
              <w:rPr>
                <w:sz w:val="20"/>
                <w:szCs w:val="20"/>
                <w:color w:val="auto"/>
              </w:rPr>
            </w:pPr>
            <w:r>
              <w:rPr>
                <w:rFonts w:ascii="Arial" w:cs="Arial" w:eastAsia="Arial" w:hAnsi="Arial"/>
                <w:sz w:val="18"/>
                <w:szCs w:val="18"/>
                <w:color w:val="auto"/>
                <w:w w:val="91"/>
              </w:rPr>
              <w:t>(Zip Code)</w:t>
            </w:r>
          </w:p>
        </w:tc>
      </w:tr>
      <w:tr>
        <w:trPr>
          <w:trHeight w:val="418"/>
        </w:trPr>
        <w:tc>
          <w:tcPr>
            <w:tcW w:w="8080" w:type="dxa"/>
            <w:vAlign w:val="bottom"/>
            <w:gridSpan w:val="3"/>
          </w:tcPr>
          <w:p>
            <w:pPr>
              <w:jc w:val="center"/>
              <w:ind w:left="305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(347) 491-4240</w:t>
            </w:r>
          </w:p>
        </w:tc>
        <w:tc>
          <w:tcPr>
            <w:tcW w:w="3140" w:type="dxa"/>
            <w:vAlign w:val="bottom"/>
          </w:tcPr>
          <w:p>
            <w:pPr>
              <w:spacing w:after="0"/>
              <w:rPr>
                <w:sz w:val="24"/>
                <w:szCs w:val="24"/>
                <w:color w:val="auto"/>
              </w:rPr>
            </w:pPr>
          </w:p>
        </w:tc>
      </w:tr>
      <w:tr>
        <w:trPr>
          <w:trHeight w:val="418"/>
        </w:trPr>
        <w:tc>
          <w:tcPr>
            <w:tcW w:w="8080" w:type="dxa"/>
            <w:vAlign w:val="bottom"/>
            <w:gridSpan w:val="3"/>
          </w:tcPr>
          <w:p>
            <w:pPr>
              <w:jc w:val="center"/>
              <w:ind w:left="3050"/>
              <w:spacing w:after="0"/>
              <w:rPr>
                <w:sz w:val="20"/>
                <w:szCs w:val="20"/>
                <w:color w:val="auto"/>
              </w:rPr>
            </w:pPr>
            <w:r>
              <w:rPr>
                <w:rFonts w:ascii="Arial" w:cs="Arial" w:eastAsia="Arial" w:hAnsi="Arial"/>
                <w:sz w:val="18"/>
                <w:szCs w:val="18"/>
                <w:color w:val="auto"/>
                <w:w w:val="99"/>
              </w:rPr>
              <w:t>N/A</w:t>
            </w:r>
          </w:p>
        </w:tc>
        <w:tc>
          <w:tcPr>
            <w:tcW w:w="3140" w:type="dxa"/>
            <w:vAlign w:val="bottom"/>
          </w:tcPr>
          <w:p>
            <w:pPr>
              <w:spacing w:after="0"/>
              <w:rPr>
                <w:sz w:val="24"/>
                <w:szCs w:val="24"/>
                <w:color w:val="auto"/>
              </w:rPr>
            </w:pPr>
          </w:p>
        </w:tc>
      </w:tr>
      <w:tr>
        <w:trPr>
          <w:trHeight w:val="216"/>
        </w:trPr>
        <w:tc>
          <w:tcPr>
            <w:tcW w:w="8080" w:type="dxa"/>
            <w:vAlign w:val="bottom"/>
            <w:gridSpan w:val="3"/>
          </w:tcPr>
          <w:p>
            <w:pPr>
              <w:jc w:val="center"/>
              <w:ind w:left="3050"/>
              <w:spacing w:after="0"/>
              <w:rPr>
                <w:sz w:val="20"/>
                <w:szCs w:val="20"/>
                <w:color w:val="auto"/>
              </w:rPr>
            </w:pPr>
            <w:r>
              <w:rPr>
                <w:rFonts w:ascii="Arial" w:cs="Arial" w:eastAsia="Arial" w:hAnsi="Arial"/>
                <w:sz w:val="18"/>
                <w:szCs w:val="18"/>
                <w:color w:val="auto"/>
                <w:w w:val="89"/>
              </w:rPr>
              <w:t>___________________________</w:t>
            </w:r>
          </w:p>
        </w:tc>
        <w:tc>
          <w:tcPr>
            <w:tcW w:w="3140" w:type="dxa"/>
            <w:vAlign w:val="bottom"/>
          </w:tcPr>
          <w:p>
            <w:pPr>
              <w:spacing w:after="0"/>
              <w:rPr>
                <w:sz w:val="18"/>
                <w:szCs w:val="18"/>
                <w:color w:val="auto"/>
              </w:rPr>
            </w:pPr>
          </w:p>
        </w:tc>
      </w:tr>
      <w:tr>
        <w:trPr>
          <w:trHeight w:val="230"/>
        </w:trPr>
        <w:tc>
          <w:tcPr>
            <w:tcW w:w="8080" w:type="dxa"/>
            <w:vAlign w:val="bottom"/>
            <w:gridSpan w:val="3"/>
          </w:tcPr>
          <w:p>
            <w:pPr>
              <w:jc w:val="center"/>
              <w:ind w:left="305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3140" w:type="dxa"/>
            <w:vAlign w:val="bottom"/>
          </w:tcPr>
          <w:p>
            <w:pPr>
              <w:spacing w:after="0"/>
              <w:rPr>
                <w:sz w:val="20"/>
                <w:szCs w:val="20"/>
                <w:color w:val="auto"/>
              </w:rPr>
            </w:pPr>
          </w:p>
        </w:tc>
      </w:tr>
    </w:tbl>
    <w:p>
      <w:pPr>
        <w:spacing w:after="0" w:line="202" w:lineRule="exact"/>
        <w:rPr>
          <w:sz w:val="24"/>
          <w:szCs w:val="24"/>
          <w:color w:val="auto"/>
        </w:rPr>
      </w:pPr>
    </w:p>
    <w:p>
      <w:pPr>
        <w:jc w:val="both"/>
        <w:ind w:firstLine="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185"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1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29" w:right="319" w:bottom="1440" w:gutter="0" w:footer="0" w:header="0"/>
          <w:type w:val="continuous"/>
        </w:sectPr>
      </w:pPr>
    </w:p>
    <w:bookmarkStart w:id="1" w:name="page2"/>
    <w:bookmarkEnd w:id="1"/>
    <w:p>
      <w:pPr>
        <w:ind w:right="100"/>
        <w:spacing w:after="0" w:line="295" w:lineRule="auto"/>
        <w:rPr>
          <w:sz w:val="20"/>
          <w:szCs w:val="20"/>
          <w:color w:val="auto"/>
        </w:rPr>
      </w:pPr>
      <w:r>
        <w:rPr>
          <w:rFonts w:ascii="Arial" w:cs="Arial" w:eastAsia="Arial" w:hAnsi="Arial"/>
          <w:sz w:val="16"/>
          <w:szCs w:val="16"/>
          <w:b w:val="1"/>
          <w:bCs w:val="1"/>
          <w:color w:val="auto"/>
        </w:rPr>
        <w:t>Priority Holdings, LLC (“Priority”), M I Acquisitions, Inc. (“M I”), and their respective directors, executive officers and employees and other persons may be deemed to be participants in the solicitation of proxies from the holders of M I common stock in respect of the proposed transaction between them. Information about M I’s directors and executive officers and their ownership of M I’s common stock is set forth in M I’s Annual Report on Form 10-K for the year ended December 31, 2017 filed with the SEC, as modified or supplemented by any Form 3 or Form 4 filed with the SEC since the date of such filing. Other information regarding the interests of the participants in the proxy solicitation are included in the Preliminary Proxy Statement (as defined below). These documents can be obtained free of charge from the sources indicated above.</w:t>
      </w:r>
    </w:p>
    <w:p>
      <w:pPr>
        <w:spacing w:after="0" w:line="15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In connection with the proposed transaction between Priority and M I, M I filed a preliminary proxy statement on Schedule 14A (the “Preliminary Proxy Statement”) with the Securities and Exchange Commission (the “SEC”) on May 25, 2018, which includes information relating to the transaction between Priority and M I.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PRIORITY AND THE TRANSACTION. The Preliminary Proxy Statement, the definitive proxy statement (when it becomes available), and other relevant materials in connection with the transaction, and any other documents filed by M I with the SEC, may be obtained free of charge at the SEC’s website (www.sec.gov) or at M I’s website (www.miacquisitions.com) or by writing to M I, c/o Magna Management LLC, 40 Wall Street, 58th Floor, New York, NY 10005.</w:t>
      </w:r>
    </w:p>
    <w:p>
      <w:pPr>
        <w:spacing w:after="0" w:line="19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This current report on Form 8-K contains certain “forward-looking statements” within the meaning of the Securities Act of 1933 and the Securities Exchange Act of 1934, both as amended by the Private Securities Litigation Reform Act of 1995. Statements that are not historical facts, including statements about the pending transaction between M I and Priority and the transactions contemplated thereby, and the parties’ perspectives and expectations, are forward looking statements. Such statements include, but are not limited to, statements regarding the proposed transaction, including the anticipated initial enterprise value and post-closing equity value, the benefits of the proposed transaction,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contribution agreement between M I and Priority dated February 26, 2018, as subsequently amended and restated on March 26, 2018 and April 17, 2018 (the “Purchase Agreement”). The words “expect,” “believe,” “estimate,” “intend,” “plan” and similar expressions indicate forward-looking statements. These forward-looking statements are not guarantees of future performance and are subject to various risks and uncertainties, assumptions (including assumptions about general economic, market, industry and operational factors), known or unknown, which could cause the actual results to vary materially from those indicated or anticipated.</w:t>
      </w:r>
    </w:p>
    <w:p>
      <w:pPr>
        <w:spacing w:after="0" w:line="16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Such risks and uncertainties include, but are not limited to: (i) risks related to the expected timing and likelihood of completion of the pending transaction, including the risk that the transaction may not close due to one or more closing conditions to the transaction not being satisfied or waived, such as regulatory approvals not being obtained, on a timely basis or otherwise, or that a governmental entity prohibited, delayed or refused to grant approval for the consummation of the transaction or required certain conditions, limitations or restrictions in connection with such approvals, or that the required approval of the Purchase Agreement by the stockholders of M I was not obtained; (ii) the occurrence of any event, change or other circumstances that could give rise to the termination of the Purchase Agreement; (iii) the risk that there may be a material adverse change with respect to the financial position, performance, operations or prospects of Priority or M I; (iv) risks related to disruption of management time from ongoing business operations due to the proposed transaction; (v) the risk that any announcements relating to the proposed transaction could have adverse effects on the market price of M I’s common stock; (vi) the risk that the proposed transaction and its announcement could have an adverse effect on the ability of Priority and M I to retain customers and retain and hire key personnel and maintain relationships with their suppliers and customers and on their operating results and businesses generally; (vii) risks related to successfully integrating the businesses of the companies, which may result in the combined company not operating as effectively and efficiently as expected; (viii) the risk that the combined company may be unable to achieve cost-cutting synergies or it may take longer than expected to achieve those synergies; and (ix) risks associated with the financing of the proposed transaction.</w:t>
      </w:r>
    </w:p>
    <w:p>
      <w:pPr>
        <w:spacing w:after="0" w:line="172"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A further list and description of risks and uncertainties can be found in M I’s Annual Report on Form 10-K for the fiscal year ending December 31, 2017 that M I filed with the SEC and in the Preliminary Proxy Statement,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M I, Priority, and their subsidiaries undertake no obligation to update forward-looking statements to reflect events or circumstances after the date they were made except as required by law or applicable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Subsequent to the approval by its stockholders of the Amendment to the Investment Management Trust Agreement dated September 13, 2016 between it and American Stock Transfer &amp; Trust Company (“American”) at the Annual Meeting (as defined below in Item 5.07) (the “Trust Amendment”), on June 15, 2018, M I Acquisitions, Inc. (“M I” or the “Company”) entered into the Trust Amendment with American. The Trust Amendment extends the time by which M I has to consummate a business combination (the “extension”) for an additional 90 days, from June 19, 2018 to September 17, 2018 (the “Extended Termination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Subsequent to the approval by its stockholders of the Amendment to M I’s Certificate of Incorporation (as defined below in Item 5.07) (the “Charter Amendment”), on June 15, 2018, M I filed the Charter Amendment with the Delaware Secretary of State. The Charter Amendment extends the time by which M I has to consummate a business combination from June 19, 2018 to the Extended Termination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Submissions of Matters to a Vote of Security Holders.</w:t>
      </w:r>
    </w:p>
    <w:p>
      <w:pPr>
        <w:spacing w:after="0" w:line="22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M I held its Annual Meeting of Stockholders (the “Annual Meeting”) on June 15, 2018 at 10:00 a.m. local time at the offices of Loeb &amp; Loeb LLP, 345 Park Avenue, New York, NY 10154. Summarized below are the results of the matters voted on at the Annual Meeting.</w:t>
      </w:r>
    </w:p>
    <w:tbl>
      <w:tblPr>
        <w:tblLayout w:type="fixed"/>
        <w:tblInd w:w="0" w:type="dxa"/>
        <w:tblCellMar>
          <w:top w:w="0" w:type="dxa"/>
          <w:left w:w="0" w:type="dxa"/>
          <w:bottom w:w="0" w:type="dxa"/>
          <w:right w:w="0" w:type="dxa"/>
        </w:tblCellMar>
      </w:tblPr>
      <w:tr>
        <w:trPr>
          <w:trHeight w:val="199"/>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100"/>
              <w:spacing w:after="0" w:line="200" w:lineRule="exact"/>
              <w:rPr>
                <w:sz w:val="20"/>
                <w:szCs w:val="20"/>
                <w:color w:val="auto"/>
              </w:rPr>
            </w:pPr>
            <w:r>
              <w:rPr>
                <w:rFonts w:ascii="Arial" w:cs="Arial" w:eastAsia="Arial" w:hAnsi="Arial"/>
                <w:sz w:val="18"/>
                <w:szCs w:val="18"/>
                <w:b w:val="1"/>
                <w:bCs w:val="1"/>
                <w:color w:val="auto"/>
                <w:w w:val="96"/>
              </w:rPr>
              <w:t>Broker</w:t>
            </w:r>
          </w:p>
        </w:tc>
      </w:tr>
      <w:tr>
        <w:trPr>
          <w:trHeight w:val="241"/>
        </w:trPr>
        <w:tc>
          <w:tcPr>
            <w:tcW w:w="5500" w:type="dxa"/>
            <w:vAlign w:val="bottom"/>
          </w:tcPr>
          <w:p>
            <w:pPr>
              <w:spacing w:after="0"/>
              <w:rPr>
                <w:sz w:val="20"/>
                <w:szCs w:val="20"/>
                <w:color w:val="auto"/>
              </w:rPr>
            </w:pPr>
            <w:r>
              <w:rPr>
                <w:rFonts w:ascii="Arial" w:cs="Arial" w:eastAsia="Arial" w:hAnsi="Arial"/>
                <w:sz w:val="18"/>
                <w:szCs w:val="18"/>
                <w:b w:val="1"/>
                <w:bCs w:val="1"/>
                <w:color w:val="auto"/>
              </w:rPr>
              <w:t>Matters Voted On</w:t>
            </w:r>
          </w:p>
        </w:tc>
        <w:tc>
          <w:tcPr>
            <w:tcW w:w="120" w:type="dxa"/>
            <w:vAlign w:val="bottom"/>
          </w:tcPr>
          <w:p>
            <w:pPr>
              <w:spacing w:after="0"/>
              <w:rPr>
                <w:sz w:val="20"/>
                <w:szCs w:val="20"/>
                <w:color w:val="auto"/>
              </w:rPr>
            </w:pPr>
          </w:p>
        </w:tc>
        <w:tc>
          <w:tcPr>
            <w:tcW w:w="1620" w:type="dxa"/>
            <w:vAlign w:val="bottom"/>
            <w:gridSpan w:val="2"/>
          </w:tcPr>
          <w:p>
            <w:pPr>
              <w:ind w:left="540"/>
              <w:spacing w:after="0"/>
              <w:rPr>
                <w:sz w:val="20"/>
                <w:szCs w:val="20"/>
                <w:color w:val="auto"/>
              </w:rPr>
            </w:pPr>
            <w:r>
              <w:rPr>
                <w:rFonts w:ascii="Arial" w:cs="Arial" w:eastAsia="Arial" w:hAnsi="Arial"/>
                <w:sz w:val="18"/>
                <w:szCs w:val="18"/>
                <w:b w:val="1"/>
                <w:bCs w:val="1"/>
                <w:color w:val="auto"/>
              </w:rPr>
              <w:t>For</w:t>
            </w: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Withheld</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Abstain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Non-Vote</w:t>
            </w:r>
          </w:p>
        </w:tc>
      </w:tr>
      <w:tr>
        <w:trPr>
          <w:trHeight w:val="202"/>
        </w:trPr>
        <w:tc>
          <w:tcPr>
            <w:tcW w:w="5500" w:type="dxa"/>
            <w:vAlign w:val="bottom"/>
            <w:tcBorders>
              <w:top w:val="single" w:sz="8" w:color="auto"/>
            </w:tcBorders>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Election of one Class I director to serve until the 2020 Annual Meeting</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of Stockholders of the Company and two Class II directors to serve until</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the 2021 Annual Meeting of Stockholders of the Company and until his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or her successor has been duly elected and qualified or until his or her</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earlier resignation, removal or death:</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Joshua Sason (Class I)</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5,653,418</w:t>
            </w: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908,500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387,934</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 Manuel (Class II)</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5,653,418</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908,500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387,934</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Samuel Holdsworth (Class II)</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5,653,418</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908,500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387,934</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Broker</w:t>
            </w:r>
          </w:p>
        </w:tc>
      </w:tr>
      <w:tr>
        <w:trPr>
          <w:trHeight w:val="194"/>
        </w:trPr>
        <w:tc>
          <w:tcPr>
            <w:tcW w:w="180" w:type="dxa"/>
            <w:vAlign w:val="bottom"/>
          </w:tcPr>
          <w:p>
            <w:pPr>
              <w:spacing w:after="0"/>
              <w:rPr>
                <w:sz w:val="16"/>
                <w:szCs w:val="16"/>
                <w:color w:val="auto"/>
              </w:rPr>
            </w:pPr>
          </w:p>
        </w:tc>
        <w:tc>
          <w:tcPr>
            <w:tcW w:w="1380" w:type="dxa"/>
            <w:vAlign w:val="bottom"/>
          </w:tcPr>
          <w:p>
            <w:pPr>
              <w:spacing w:after="0" w:line="194" w:lineRule="exact"/>
              <w:rPr>
                <w:sz w:val="20"/>
                <w:szCs w:val="20"/>
                <w:color w:val="auto"/>
              </w:rPr>
            </w:pPr>
            <w:r>
              <w:rPr>
                <w:rFonts w:ascii="Arial" w:cs="Arial" w:eastAsia="Arial" w:hAnsi="Arial"/>
                <w:sz w:val="18"/>
                <w:szCs w:val="18"/>
                <w:b w:val="1"/>
                <w:bCs w:val="1"/>
                <w:color w:val="auto"/>
                <w:w w:val="91"/>
              </w:rPr>
              <w:t>Matters Voted On</w:t>
            </w:r>
          </w:p>
        </w:tc>
        <w:tc>
          <w:tcPr>
            <w:tcW w:w="4660" w:type="dxa"/>
            <w:vAlign w:val="bottom"/>
          </w:tcPr>
          <w:p>
            <w:pPr>
              <w:spacing w:after="0"/>
              <w:rPr>
                <w:sz w:val="16"/>
                <w:szCs w:val="16"/>
                <w:color w:val="auto"/>
              </w:rPr>
            </w:pPr>
          </w:p>
        </w:tc>
        <w:tc>
          <w:tcPr>
            <w:tcW w:w="1060" w:type="dxa"/>
            <w:vAlign w:val="bottom"/>
            <w:gridSpan w:val="2"/>
          </w:tcPr>
          <w:p>
            <w:pPr>
              <w:jc w:val="right"/>
              <w:ind w:right="780"/>
              <w:spacing w:after="0" w:line="194" w:lineRule="exact"/>
              <w:rPr>
                <w:sz w:val="20"/>
                <w:szCs w:val="20"/>
                <w:color w:val="auto"/>
              </w:rPr>
            </w:pPr>
            <w:r>
              <w:rPr>
                <w:rFonts w:ascii="Arial" w:cs="Arial" w:eastAsia="Arial" w:hAnsi="Arial"/>
                <w:sz w:val="18"/>
                <w:szCs w:val="18"/>
                <w:b w:val="1"/>
                <w:bCs w:val="1"/>
                <w:color w:val="auto"/>
                <w:w w:val="89"/>
              </w:rPr>
              <w:t>For</w:t>
            </w:r>
          </w:p>
        </w:tc>
        <w:tc>
          <w:tcPr>
            <w:tcW w:w="1380" w:type="dxa"/>
            <w:vAlign w:val="bottom"/>
            <w:gridSpan w:val="3"/>
          </w:tcPr>
          <w:p>
            <w:pPr>
              <w:jc w:val="right"/>
              <w:ind w:right="480"/>
              <w:spacing w:after="0" w:line="194" w:lineRule="exact"/>
              <w:rPr>
                <w:sz w:val="20"/>
                <w:szCs w:val="20"/>
                <w:color w:val="auto"/>
              </w:rPr>
            </w:pPr>
            <w:r>
              <w:rPr>
                <w:rFonts w:ascii="Arial" w:cs="Arial" w:eastAsia="Arial" w:hAnsi="Arial"/>
                <w:sz w:val="18"/>
                <w:szCs w:val="18"/>
                <w:b w:val="1"/>
                <w:bCs w:val="1"/>
                <w:color w:val="auto"/>
              </w:rPr>
              <w:t>Against</w:t>
            </w:r>
          </w:p>
        </w:tc>
        <w:tc>
          <w:tcPr>
            <w:tcW w:w="1660" w:type="dxa"/>
            <w:vAlign w:val="bottom"/>
            <w:gridSpan w:val="3"/>
          </w:tcPr>
          <w:p>
            <w:pPr>
              <w:jc w:val="right"/>
              <w:ind w:right="780"/>
              <w:spacing w:after="0" w:line="194" w:lineRule="exact"/>
              <w:rPr>
                <w:sz w:val="20"/>
                <w:szCs w:val="20"/>
                <w:color w:val="auto"/>
              </w:rPr>
            </w:pPr>
            <w:r>
              <w:rPr>
                <w:rFonts w:ascii="Arial" w:cs="Arial" w:eastAsia="Arial" w:hAnsi="Arial"/>
                <w:sz w:val="18"/>
                <w:szCs w:val="18"/>
                <w:b w:val="1"/>
                <w:bCs w:val="1"/>
                <w:color w:val="auto"/>
              </w:rPr>
              <w:t>Abstain</w:t>
            </w:r>
          </w:p>
        </w:tc>
        <w:tc>
          <w:tcPr>
            <w:tcW w:w="1100" w:type="dxa"/>
            <w:vAlign w:val="bottom"/>
            <w:gridSpan w:val="2"/>
          </w:tcPr>
          <w:p>
            <w:pPr>
              <w:jc w:val="right"/>
              <w:ind w:right="360"/>
              <w:spacing w:after="0" w:line="194" w:lineRule="exact"/>
              <w:rPr>
                <w:sz w:val="20"/>
                <w:szCs w:val="20"/>
                <w:color w:val="auto"/>
              </w:rPr>
            </w:pPr>
            <w:r>
              <w:rPr>
                <w:rFonts w:ascii="Arial" w:cs="Arial" w:eastAsia="Arial" w:hAnsi="Arial"/>
                <w:sz w:val="18"/>
                <w:szCs w:val="18"/>
                <w:b w:val="1"/>
                <w:bCs w:val="1"/>
                <w:color w:val="auto"/>
                <w:w w:val="89"/>
              </w:rPr>
              <w:t>Non-Vote</w:t>
            </w:r>
          </w:p>
        </w:tc>
      </w:tr>
      <w:tr>
        <w:trPr>
          <w:trHeight w:val="20"/>
        </w:trPr>
        <w:tc>
          <w:tcPr>
            <w:tcW w:w="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18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Proposal to amend the Company’s amended and restated certificate of</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incorporation to extend the date by which the Company has to complete</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 business combination for an additional 90 days, from June 19, 2018 to</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the Extended Termination Date.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6,432,818</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90,000</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39,100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387,934</w:t>
            </w:r>
          </w:p>
        </w:tc>
      </w:tr>
      <w:tr>
        <w:trPr>
          <w:trHeight w:val="418"/>
        </w:trPr>
        <w:tc>
          <w:tcPr>
            <w:tcW w:w="18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Proposal to amend the Company’s investment management trust</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agreement, dated as of September 13, 2016, by and between the</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Company and American Stock Transfer &amp; Trust Company, to extend the</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date on which to commence liquidating the trust account established in</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connection with the Company’s initial public offering in the event the</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Company has not consummated a business combination by the Extended</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Termination Date.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6,432,818</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90,000</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39,100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387,934</w:t>
            </w:r>
          </w:p>
        </w:tc>
      </w:tr>
      <w:tr>
        <w:trPr>
          <w:trHeight w:val="418"/>
        </w:trPr>
        <w:tc>
          <w:tcPr>
            <w:tcW w:w="18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Ratify the appointment of Marcum LLP as the Company’s independent</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registered public accounting firm for the fiscal year ending December 31,</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1560" w:type="dxa"/>
            <w:vAlign w:val="bottom"/>
            <w:gridSpan w:val="2"/>
          </w:tcPr>
          <w:p>
            <w:pPr>
              <w:ind w:left="180"/>
              <w:spacing w:after="0"/>
              <w:rPr>
                <w:sz w:val="20"/>
                <w:szCs w:val="20"/>
                <w:color w:val="auto"/>
              </w:rPr>
            </w:pPr>
            <w:r>
              <w:rPr>
                <w:rFonts w:ascii="Arial" w:cs="Arial" w:eastAsia="Arial" w:hAnsi="Arial"/>
                <w:sz w:val="18"/>
                <w:szCs w:val="18"/>
                <w:color w:val="auto"/>
              </w:rPr>
              <w:t>2018.</w:t>
            </w:r>
          </w:p>
        </w:tc>
        <w:tc>
          <w:tcPr>
            <w:tcW w:w="466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6,905,752</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2,500</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41,600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46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ind w:right="80"/>
        <w:spacing w:after="0" w:line="264" w:lineRule="auto"/>
        <w:rPr>
          <w:sz w:val="20"/>
          <w:szCs w:val="20"/>
          <w:color w:val="auto"/>
        </w:rPr>
      </w:pPr>
      <w:r>
        <w:rPr>
          <w:rFonts w:ascii="Arial" w:cs="Arial" w:eastAsia="Arial" w:hAnsi="Arial"/>
          <w:sz w:val="18"/>
          <w:szCs w:val="18"/>
          <w:color w:val="auto"/>
        </w:rPr>
        <w:t>As a result of the voting at the Annual Meeting, each of the nominees for director named above was elected and each of the proposals described above was approved by the Company’s stockholders. Prior to the Annual Meeting, holders of 377,231 shares of the Company’s common stock redeemed their shares for cash, resulting in a trust account balance of $51,829,390.86.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June 19, 2018, the Company issued a press release announcing the results of the Annual Meeting. A copy of the press release is filed as Exhibit 99.1 hereto.</w:t>
      </w:r>
    </w:p>
    <w:p>
      <w:pPr>
        <w:spacing w:after="0" w:line="1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As previously disclosed on the Company’s Current Report on Form 8-K filed on January 8, 2018, the Company received a letter from the Nasdaq Stock Market LLC (“Nasdaq”), dated January 3, 2018, which stated that the Company no longer complied with Nasdaq’s continued listing rules due to the Company not having held an annual meeting within 12 months of the Company’s fiscal year end, as required pursuant to Listing Rules 5620 (the “Rules”). On June 19, 2018, the Company received a notice from Nasdaq stating that as a result of the Annual Meeting, the Company is now in compliance with the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180" w:hanging="605"/>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Exhibit No.</w:t>
            </w:r>
          </w:p>
        </w:tc>
        <w:tc>
          <w:tcPr>
            <w:tcW w:w="46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700" w:type="dxa"/>
            <w:vAlign w:val="bottom"/>
            <w:gridSpan w:val="5"/>
          </w:tcPr>
          <w:p>
            <w:pPr>
              <w:spacing w:after="0"/>
              <w:rPr>
                <w:sz w:val="17"/>
                <w:szCs w:val="17"/>
                <w:color w:val="auto"/>
              </w:rPr>
            </w:pPr>
          </w:p>
        </w:tc>
      </w:tr>
      <w:tr>
        <w:trPr>
          <w:trHeight w:val="412"/>
        </w:trPr>
        <w:tc>
          <w:tcPr>
            <w:tcW w:w="800" w:type="dxa"/>
            <w:vAlign w:val="bottom"/>
            <w:gridSpan w:val="2"/>
          </w:tcPr>
          <w:p>
            <w:pPr>
              <w:ind w:left="58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540" w:type="dxa"/>
            <w:vAlign w:val="bottom"/>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Amendment to the Amended and Restated Certificate of Incorporation of M I Acquisitions, Inc., dated June 15, 2018</w:t>
              </w:r>
            </w:hyperlink>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9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420" w:type="dxa"/>
            <w:vAlign w:val="bottom"/>
            <w:gridSpan w:val="4"/>
          </w:tcPr>
          <w:p>
            <w:pPr>
              <w:ind w:left="580"/>
              <w:spacing w:after="0"/>
              <w:rPr>
                <w:rFonts w:ascii="Arial" w:cs="Arial" w:eastAsia="Arial" w:hAnsi="Arial"/>
                <w:sz w:val="18"/>
                <w:szCs w:val="18"/>
                <w:color w:val="0000EE"/>
              </w:rPr>
            </w:pPr>
            <w:hyperlink w:anchor="page7">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60" w:type="dxa"/>
            <w:vAlign w:val="bottom"/>
          </w:tcPr>
          <w:p>
            <w:pPr>
              <w:spacing w:after="0"/>
              <w:rPr>
                <w:sz w:val="24"/>
                <w:szCs w:val="24"/>
                <w:color w:val="auto"/>
              </w:rPr>
            </w:pPr>
          </w:p>
        </w:tc>
        <w:tc>
          <w:tcPr>
            <w:tcW w:w="9540" w:type="dxa"/>
            <w:vAlign w:val="bottom"/>
            <w:gridSpan w:val="6"/>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Amendment to the Investment Management Trust Agreement between M I Acquisitions, Inc., and American Stock Transfer &amp; Trust</w:t>
              </w:r>
            </w:hyperlink>
          </w:p>
        </w:tc>
      </w:tr>
      <w:tr>
        <w:trPr>
          <w:trHeight w:val="196"/>
        </w:trPr>
        <w:tc>
          <w:tcPr>
            <w:tcW w:w="5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5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Company, dated June 15, 2018</w:t>
              </w:r>
            </w:hyperlink>
          </w:p>
        </w:tc>
        <w:tc>
          <w:tcPr>
            <w:tcW w:w="40" w:type="dxa"/>
            <w:vAlign w:val="bottom"/>
          </w:tcPr>
          <w:p>
            <w:pPr>
              <w:spacing w:after="0"/>
              <w:rPr>
                <w:sz w:val="17"/>
                <w:szCs w:val="17"/>
                <w:color w:val="auto"/>
              </w:rPr>
            </w:pPr>
          </w:p>
        </w:tc>
      </w:tr>
      <w:tr>
        <w:trPr>
          <w:trHeight w:val="20"/>
        </w:trPr>
        <w:tc>
          <w:tcPr>
            <w:tcW w:w="14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r>
      <w:tr>
        <w:trPr>
          <w:trHeight w:val="412"/>
        </w:trPr>
        <w:tc>
          <w:tcPr>
            <w:tcW w:w="1420" w:type="dxa"/>
            <w:vAlign w:val="bottom"/>
            <w:gridSpan w:val="4"/>
          </w:tcPr>
          <w:p>
            <w:pPr>
              <w:ind w:left="580"/>
              <w:spacing w:after="0"/>
              <w:rPr>
                <w:rFonts w:ascii="Arial" w:cs="Arial" w:eastAsia="Arial" w:hAnsi="Arial"/>
                <w:sz w:val="18"/>
                <w:szCs w:val="18"/>
                <w:color w:val="0000EE"/>
              </w:rPr>
            </w:pPr>
            <w:hyperlink w:anchor="page11">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460" w:type="dxa"/>
            <w:vAlign w:val="bottom"/>
          </w:tcPr>
          <w:p>
            <w:pPr>
              <w:spacing w:after="0"/>
              <w:rPr>
                <w:sz w:val="24"/>
                <w:szCs w:val="24"/>
                <w:color w:val="auto"/>
              </w:rPr>
            </w:pPr>
          </w:p>
        </w:tc>
        <w:tc>
          <w:tcPr>
            <w:tcW w:w="9540" w:type="dxa"/>
            <w:vAlign w:val="bottom"/>
            <w:gridSpan w:val="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Press Release dated June 19, 2018</w:t>
              </w:r>
            </w:hyperlink>
          </w:p>
        </w:tc>
      </w:tr>
      <w:tr>
        <w:trPr>
          <w:trHeight w:val="271"/>
        </w:trPr>
        <w:tc>
          <w:tcPr>
            <w:tcW w:w="580" w:type="dxa"/>
            <w:vAlign w:val="bottom"/>
            <w:tcBorders>
              <w:bottom w:val="single" w:sz="8" w:color="auto"/>
            </w:tcBorders>
          </w:tcPr>
          <w:p>
            <w:pPr>
              <w:spacing w:after="0"/>
              <w:rPr>
                <w:sz w:val="23"/>
                <w:szCs w:val="23"/>
                <w:color w:val="auto"/>
              </w:rPr>
            </w:pPr>
          </w:p>
        </w:tc>
        <w:tc>
          <w:tcPr>
            <w:tcW w:w="220" w:type="dxa"/>
            <w:vAlign w:val="bottom"/>
            <w:tcBorders>
              <w:top w:val="single" w:sz="8" w:color="0000EE"/>
              <w:bottom w:val="single" w:sz="8" w:color="auto"/>
            </w:tcBorders>
          </w:tcPr>
          <w:p>
            <w:pPr>
              <w:spacing w:after="0"/>
              <w:rPr>
                <w:sz w:val="23"/>
                <w:szCs w:val="23"/>
                <w:color w:val="auto"/>
              </w:rPr>
            </w:pPr>
          </w:p>
        </w:tc>
        <w:tc>
          <w:tcPr>
            <w:tcW w:w="100" w:type="dxa"/>
            <w:vAlign w:val="bottom"/>
            <w:tcBorders>
              <w:top w:val="single" w:sz="8" w:color="0000EE"/>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40" w:type="dxa"/>
            <w:vAlign w:val="bottom"/>
            <w:tcBorders>
              <w:top w:val="single" w:sz="8" w:color="0000EE"/>
              <w:bottom w:val="single" w:sz="8" w:color="auto"/>
            </w:tcBorders>
          </w:tcPr>
          <w:p>
            <w:pPr>
              <w:spacing w:after="0"/>
              <w:rPr>
                <w:sz w:val="23"/>
                <w:szCs w:val="23"/>
                <w:color w:val="auto"/>
              </w:rPr>
            </w:pPr>
          </w:p>
        </w:tc>
        <w:tc>
          <w:tcPr>
            <w:tcW w:w="1360" w:type="dxa"/>
            <w:vAlign w:val="bottom"/>
            <w:tcBorders>
              <w:top w:val="single" w:sz="8" w:color="0000EE"/>
              <w:bottom w:val="single" w:sz="8" w:color="auto"/>
            </w:tcBorders>
          </w:tcPr>
          <w:p>
            <w:pPr>
              <w:spacing w:after="0"/>
              <w:rPr>
                <w:sz w:val="23"/>
                <w:szCs w:val="23"/>
                <w:color w:val="auto"/>
              </w:rPr>
            </w:pPr>
          </w:p>
        </w:tc>
        <w:tc>
          <w:tcPr>
            <w:tcW w:w="260" w:type="dxa"/>
            <w:vAlign w:val="bottom"/>
            <w:tcBorders>
              <w:top w:val="single" w:sz="8" w:color="0000EE"/>
              <w:bottom w:val="single" w:sz="8" w:color="auto"/>
            </w:tcBorders>
          </w:tcPr>
          <w:p>
            <w:pPr>
              <w:spacing w:after="0"/>
              <w:rPr>
                <w:sz w:val="23"/>
                <w:szCs w:val="23"/>
                <w:color w:val="auto"/>
              </w:rPr>
            </w:pPr>
          </w:p>
        </w:tc>
        <w:tc>
          <w:tcPr>
            <w:tcW w:w="59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bl>
    <w:p>
      <w:pPr>
        <w:sectPr>
          <w:pgSz w:w="11900" w:h="16838" w:orient="portrait"/>
          <w:cols w:equalWidth="0" w:num="1">
            <w:col w:w="11420"/>
          </w:cols>
          <w:pgMar w:left="240" w:top="692" w:right="239" w:bottom="1440" w:gutter="0" w:footer="0" w:header="0"/>
        </w:sectPr>
      </w:pPr>
    </w:p>
    <w:bookmarkStart w:id="4" w:name="page5"/>
    <w:bookmarkEnd w:id="4"/>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19,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-10160</wp:posOffset>
            </wp:positionV>
            <wp:extent cx="806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06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Joshua Sason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AMENDMENT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15, 2018</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 I Acquisitions, Inc., a corporation organized and existing under the laws of the State of Delaware (the “Corporation”), DOES HEREBY CERTIFY AS FOLLOWS:</w:t>
      </w:r>
    </w:p>
    <w:p>
      <w:pPr>
        <w:spacing w:after="0" w:line="170" w:lineRule="exact"/>
        <w:rPr>
          <w:sz w:val="20"/>
          <w:szCs w:val="20"/>
          <w:color w:val="auto"/>
        </w:rPr>
      </w:pPr>
    </w:p>
    <w:p>
      <w:pPr>
        <w:ind w:right="240" w:firstLine="8"/>
        <w:spacing w:after="0" w:line="264"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 of the Corporation is “M I Acquisitions, Inc.” The original certificate of incorporation was filed with the Secretary of State of the State of Delaware on April 23, 2015 (the “Original Certificate”). The Amended and Restated Certificate of Incorporation (the “Amended and Restated Certificate”) was filed with the Secretary of State of the State of Delaware on September 13, 2016.</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Amendment to the Amended and Restated Certificate of Incorporation amends the Amended and Restated Certificate.</w:t>
      </w:r>
    </w:p>
    <w:p>
      <w:pPr>
        <w:spacing w:after="0" w:line="225"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Amendment to the Amended and Restated Certificate of Incorporation was duly adopted by the Board of Directors of the Corporation and the stockholders of the Corporation in accordance with Section 242 of the General Corporation Law of the State of Delaware.</w:t>
      </w:r>
    </w:p>
    <w:p>
      <w:pPr>
        <w:spacing w:after="0" w:line="146" w:lineRule="exact"/>
        <w:rPr>
          <w:rFonts w:ascii="Arial" w:cs="Arial" w:eastAsia="Arial" w:hAnsi="Arial"/>
          <w:sz w:val="17"/>
          <w:szCs w:val="17"/>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text of Paragraph E of Article SIXTH is hereby amended and restated to read in full as follows:</w:t>
      </w:r>
    </w:p>
    <w:p>
      <w:pPr>
        <w:spacing w:after="0" w:line="225"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“E. In the event that the Corporation does not consummate a Business Combination by September 17, 2018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 share redemption price shall be equal to a pro rata share of the Trust Account plus any pro rata interest earned on the funds held in the Trust Account and not previously released to the Corporation to pay its taxes divided by the total number of IPO Shares then outstanding.”</w:t>
      </w:r>
    </w:p>
    <w:p>
      <w:pPr>
        <w:spacing w:after="0" w:line="1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WITNESS WHEREOF, M I Acquisitions, Inc. has caused this Amendment to the Amended and Restated Certificate to be duly executed in its name and on its behalf by an authorized officer as of the date first set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10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Joshua Sason</w:t>
            </w:r>
          </w:p>
        </w:tc>
      </w:tr>
      <w:tr>
        <w:trPr>
          <w:trHeight w:val="202"/>
        </w:trPr>
        <w:tc>
          <w:tcPr>
            <w:tcW w:w="104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10380" w:type="dxa"/>
            <w:vAlign w:val="bottom"/>
          </w:tcPr>
          <w:p>
            <w:pPr>
              <w:ind w:left="60"/>
              <w:spacing w:after="0" w:line="201" w:lineRule="exact"/>
              <w:rPr>
                <w:sz w:val="20"/>
                <w:szCs w:val="20"/>
                <w:color w:val="auto"/>
              </w:rPr>
            </w:pPr>
            <w:r>
              <w:rPr>
                <w:rFonts w:ascii="Arial" w:cs="Arial" w:eastAsia="Arial" w:hAnsi="Arial"/>
                <w:sz w:val="18"/>
                <w:szCs w:val="18"/>
                <w:color w:val="auto"/>
              </w:rPr>
              <w:t>Joshua Sason</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103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1114"/>
        </w:trPr>
        <w:tc>
          <w:tcPr>
            <w:tcW w:w="104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INVESTMENT MANAGEMENT TRUST AGREEMENT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Amendment No. 1 (this “Amendment”), dated as of June 15, 2018, to the Investment Management Trust Agreement (as defined below) is made by and between M I Acquisitions, Inc. (the “Company”) and American Stock Transfer &amp; Trust Company, LLC, as trustee (“Trustee”). All terms used but not defined herein shall have the meanings assigned to them in the Trust Agreement.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and the Trustee entered into an Investment Management Trust Agreement dated as of September 13, 2016 (the “Trust Agreement”);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Section 1(i) of the Trust Agreement sets forth the terms that govern the liquidation of the Trust Account under the circumstances described therein;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WHEREAS, at a special meeting of stockholders of the Company held on June 15, 2018, the Company stockholders approved (i) a proposal to amend (the “Charter Amendment”) the Company’s amended and restated certificate of incorporation to provide that the date by which the Company shall be required to effect a Business Combination shall be on or before September 17, 2018 (the “ Extended Date”) and (ii) a proposal to extend the date on which to commence liquidating the Trust Account in the event the Company has not consummated a business combination by the Extended Date; 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WHEREAS, on the date hereof, the Company is filing the Charter Amendment with the Secretary of State of the State of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Section 1(i) of the Trust Agreement is hereby amended and restated to read in full as follows:</w:t>
      </w:r>
    </w:p>
    <w:p>
      <w:pPr>
        <w:spacing w:after="0" w:line="225"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“(i) 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acknowledged and agreed to by Chardan,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September 17, 2018 (the “Last Date”), the Trust Account shall be liquidated in accordance with the procedures set forth in the Termination Letter attached as Exhibit B hereto and distributed to the Public Shareholders as of the Last Date.”</w:t>
      </w:r>
    </w:p>
    <w:p>
      <w:pPr>
        <w:spacing w:after="0" w:line="179" w:lineRule="exact"/>
        <w:rPr>
          <w:sz w:val="20"/>
          <w:szCs w:val="20"/>
          <w:color w:val="auto"/>
        </w:rPr>
      </w:pPr>
    </w:p>
    <w:p>
      <w:pPr>
        <w:ind w:left="660" w:right="4520" w:hanging="652"/>
        <w:spacing w:after="0" w:line="501" w:lineRule="auto"/>
        <w:tabs>
          <w:tab w:leader="none" w:pos="192"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1(l) of the Trust Agreement is hereby amended and restated to read in full as follows: “(l) [intentionally omitted]”</w:t>
      </w: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1(m) of the Trust Agreement is hereby amended and restated to read in full as follows:</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“(m) Not disburse any amounts from the Trust Account in connection with a Business Combination in the event that the amount per share to be received by the redeeming Public Shareholders is less than $10.375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4. Section 2(c) of the Trust Agreement is hereby amended and restated to read in full as follows:</w:t>
      </w:r>
    </w:p>
    <w:p>
      <w:pPr>
        <w:spacing w:after="0" w:line="225"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“(c) The limited distributions referred to in Section 2(a) above shall be made only from income collected on the Property. Except as provided in Section 2(a), no other distributions from the Trust Account shall be permitted except in accordance with Section 1(i) and 2(e)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5. Section 2(e) of the Trust Agreement is hereby amended and restated to read in full as follows:</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“(e) Upon the receipt of an Amendment Notification Letter (as defined below), the Trustee shall distribute to Public Shareholders who exercised their conversion rights in connection with an Amendment (as defined below), an amount equal to the pro rata share of the Property relating to the shares of Common Stock for which such Public Shareholders have exercised conversion rights in connection with such Amendment.”</w:t>
      </w:r>
    </w:p>
    <w:p>
      <w:pPr>
        <w:spacing w:after="0" w:line="166" w:lineRule="exact"/>
        <w:rPr>
          <w:sz w:val="20"/>
          <w:szCs w:val="20"/>
          <w:color w:val="auto"/>
        </w:rPr>
      </w:pPr>
    </w:p>
    <w:p>
      <w:pPr>
        <w:ind w:left="660" w:right="4500" w:hanging="652"/>
        <w:spacing w:after="0" w:line="501" w:lineRule="auto"/>
        <w:tabs>
          <w:tab w:leader="none" w:pos="192"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2(f) of the Trust Agreement is hereby amended and restated to read in full as follows: “(f) [intentionally omitted]”</w:t>
      </w: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3(g) of the Trust Agreement is hereby amended and restated to read in full as follows:</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“(g) At the request of any Public Shareholder who has removed shares from street name and holds such shares either in certificated or book-entry form and, except if such shares are held in book-entry form, delivered such certificated shares to the Trustee for purposes of redemption in connection with a Business Combination, concurrently with the delivery of such shares, solely if such shares are certificated. to the Trustee, send an irrevocable written instruction letter in the form of Exhibit E to the Trustee directing the Trustee to disburse no less than $10.375 per share to such Public Shareholder.”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8. A new Section 3(i) is hereby inserted in the Trust Agreement immediately following Section 3(h) as follows:</w:t>
      </w:r>
    </w:p>
    <w:p>
      <w:pPr>
        <w:spacing w:after="0" w:line="22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 If the Company seeks to amend any provision of its Amended and Restated Certificate of Incorporation relating to stockholders’ rights or pre-Business Combination activity (including the time within which the Company has to complete a Business Combination) (in each case an “Amendment”), the Company will provide the Trustee with a letter (an “Amendment Notification Letter”) in the form of Exhibit D providing instructions for the distribution of funds to Public Shareholders who exercise their conversion option in connection with such Amendment.”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 Section 7(c) of the Trust Agreement is hereby amended and restated to read in full as follows:</w:t>
      </w:r>
    </w:p>
    <w:p>
      <w:pPr>
        <w:spacing w:after="0" w:line="225"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“(c) This Agreement contains the entire agreement and understanding of the parties hereto with respect to the subject matter hereof. Except for Sections 1(i), 1(m), 1(n), 1(o), 1(p), 3(g), 3(h) 7(c) and 7(h) (which may only be amended with the approval of the holders of at least 75% of the shares of Common Stock sold in the IPO, provided that all Public Shareholders must be given the right to receive a pro-rata portion of the trust account (no less than $10.375 per share) in connection with any such amendment), this Agreement or any provision hereof may only be changed, amended or modified by a writing signed by each of the parties hereto; provided, however, that no such change, amendment or modification may be made without the prior written consent of Chardan. As to any claim, cross-claim or counterclaim in any way relating to this Agreement, each party waives the right to trial by jury. The Trustee may require from Company counsel an opinion as to the propriety of any proposed amendment.”</w:t>
      </w:r>
    </w:p>
    <w:p>
      <w:pPr>
        <w:spacing w:after="0" w:line="16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Exhibit D is hereby amended and restated to read in full as Exhibit D attached hereto.</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other provisions of the Trust Agreement shall remain unaffected by the terms hereof.</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Amendment may be signed in any number of counterparts, each of which shall be an original and all of which shall be deemed to be one and the same instrument, with the same effect as if the signatures thereto and hereto were upon the same instrument. A facsimile signature shall be deemed to be an original signature for purposes of this Amendment.</w:t>
      </w:r>
    </w:p>
    <w:p>
      <w:pPr>
        <w:spacing w:after="0" w:line="181" w:lineRule="exact"/>
        <w:rPr>
          <w:rFonts w:ascii="Arial" w:cs="Arial" w:eastAsia="Arial" w:hAnsi="Arial"/>
          <w:sz w:val="18"/>
          <w:szCs w:val="18"/>
          <w:color w:val="auto"/>
        </w:rPr>
      </w:pPr>
    </w:p>
    <w:p>
      <w:pPr>
        <w:jc w:val="both"/>
        <w:ind w:firstLine="8"/>
        <w:spacing w:after="0" w:line="264" w:lineRule="auto"/>
        <w:tabs>
          <w:tab w:leader="none" w:pos="18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Amendment is intended to be in full compliance with the requirements for an Amendment to the Trust Agreement as required by Section 7(c) of the Trust Agreement, and every defect in fulfilling such requirements for an effective amendment to the Trust Agreement is hereby ratified, intentionally waived and relinquished by all parties hereto.</w:t>
      </w:r>
    </w:p>
    <w:p>
      <w:pPr>
        <w:spacing w:after="0" w:line="181" w:lineRule="exact"/>
        <w:rPr>
          <w:rFonts w:ascii="Arial" w:cs="Arial" w:eastAsia="Arial" w:hAnsi="Arial"/>
          <w:sz w:val="18"/>
          <w:szCs w:val="18"/>
          <w:color w:val="auto"/>
        </w:rPr>
      </w:pPr>
    </w:p>
    <w:p>
      <w:pPr>
        <w:ind w:right="20" w:firstLine="8"/>
        <w:spacing w:after="0" w:line="277" w:lineRule="auto"/>
        <w:tabs>
          <w:tab w:leader="none" w:pos="29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and enforced in accordance with the laws of the State of New York, without giving effect to conflicts of law principles that would result in the application of the substantive laws of another jurisdiction.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IN WITNESS WHEREOF, the parties have duly executed this Amendment to the Investment Management Trust Agreement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 AS TRUSTEE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10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Michael Legregin</w:t>
            </w:r>
          </w:p>
        </w:tc>
      </w:tr>
      <w:tr>
        <w:trPr>
          <w:trHeight w:val="202"/>
        </w:trPr>
        <w:tc>
          <w:tcPr>
            <w:tcW w:w="104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10380" w:type="dxa"/>
            <w:vAlign w:val="bottom"/>
          </w:tcPr>
          <w:p>
            <w:pPr>
              <w:ind w:left="60"/>
              <w:spacing w:after="0" w:line="201" w:lineRule="exact"/>
              <w:rPr>
                <w:sz w:val="20"/>
                <w:szCs w:val="20"/>
                <w:color w:val="auto"/>
              </w:rPr>
            </w:pPr>
            <w:r>
              <w:rPr>
                <w:rFonts w:ascii="Arial" w:cs="Arial" w:eastAsia="Arial" w:hAnsi="Arial"/>
                <w:sz w:val="18"/>
                <w:szCs w:val="18"/>
                <w:color w:val="auto"/>
              </w:rPr>
              <w:t>Michael Legregin</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10380" w:type="dxa"/>
            <w:vAlign w:val="bottom"/>
          </w:tcPr>
          <w:p>
            <w:pPr>
              <w:ind w:left="60"/>
              <w:spacing w:after="0"/>
              <w:rPr>
                <w:sz w:val="20"/>
                <w:szCs w:val="20"/>
                <w:color w:val="auto"/>
              </w:rPr>
            </w:pPr>
            <w:r>
              <w:rPr>
                <w:rFonts w:ascii="Arial" w:cs="Arial" w:eastAsia="Arial" w:hAnsi="Arial"/>
                <w:sz w:val="18"/>
                <w:szCs w:val="18"/>
                <w:color w:val="auto"/>
              </w:rPr>
              <w:t>Senior Vice President</w:t>
            </w:r>
          </w:p>
        </w:tc>
      </w:tr>
      <w:tr>
        <w:trPr>
          <w:trHeight w:val="432"/>
        </w:trPr>
        <w:tc>
          <w:tcPr>
            <w:tcW w:w="11420" w:type="dxa"/>
            <w:vAlign w:val="bottom"/>
            <w:gridSpan w:val="2"/>
          </w:tcPr>
          <w:p>
            <w:pPr>
              <w:spacing w:after="0"/>
              <w:rPr>
                <w:sz w:val="20"/>
                <w:szCs w:val="20"/>
                <w:color w:val="auto"/>
              </w:rPr>
            </w:pPr>
            <w:r>
              <w:rPr>
                <w:rFonts w:ascii="Arial" w:cs="Arial" w:eastAsia="Arial" w:hAnsi="Arial"/>
                <w:sz w:val="18"/>
                <w:szCs w:val="18"/>
                <w:color w:val="auto"/>
              </w:rPr>
              <w:t>M I ACQUISITIONS, INC.</w:t>
            </w:r>
          </w:p>
        </w:tc>
      </w:tr>
      <w:tr>
        <w:trPr>
          <w:trHeight w:val="439"/>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10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Joshua Sason</w:t>
            </w:r>
          </w:p>
        </w:tc>
      </w:tr>
      <w:tr>
        <w:trPr>
          <w:trHeight w:val="202"/>
        </w:trPr>
        <w:tc>
          <w:tcPr>
            <w:tcW w:w="104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10380" w:type="dxa"/>
            <w:vAlign w:val="bottom"/>
          </w:tcPr>
          <w:p>
            <w:pPr>
              <w:ind w:left="60"/>
              <w:spacing w:after="0" w:line="201" w:lineRule="exact"/>
              <w:rPr>
                <w:sz w:val="20"/>
                <w:szCs w:val="20"/>
                <w:color w:val="auto"/>
              </w:rPr>
            </w:pPr>
            <w:r>
              <w:rPr>
                <w:rFonts w:ascii="Arial" w:cs="Arial" w:eastAsia="Arial" w:hAnsi="Arial"/>
                <w:sz w:val="18"/>
                <w:szCs w:val="18"/>
                <w:color w:val="auto"/>
              </w:rPr>
              <w:t>Joshua Sason</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103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466"/>
        </w:trPr>
        <w:tc>
          <w:tcPr>
            <w:tcW w:w="104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Relationship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Trust Account No. [ ] Stockholder Conversion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Section 2(e) of the Amended and Restated Investment Management Trust Agreement between M I Acquisitions, Inc. (the “ Company” ) and American Stock Transfer &amp; Trust Company, LLC (the “Trustee”), dated as of September 13, 2016, as amended (the “Trust Agreement”), the Company hereby requests that you deliver to the Public Shareholders who have properly elected to have their Common Stock converted into cash in connection with the stockholder vote to approve an amendment to the Company’s amended and restated certificate of incorporation to extend the time in which the Company must complete a Business Combination or liquidate the Trust Account $ ___________ of the principal and interest income earned on the Property as of the date hereof. Capitalized terms used but not defined herein shall have the meanings set forth in the Trust Agreement.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You are hereby directed and authorized to transfer (via wire transfer) such funds promptly upon your receipt of this letter to the accounts designated by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Public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-130810</wp:posOffset>
            </wp:positionV>
            <wp:extent cx="65862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highlight w:val="white"/>
        </w:rPr>
        <w:t>M I Acquisitions, Inc. Announces Shareholder Approval to Extend Time to Complete Business Combination with Priority Holdings, LLC</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highlight w:val="white"/>
        </w:rPr>
        <w:t>New York, NY, June 19, 2018 --- M I Acquisitions, Inc. (NASDAQ: MACQU, MACQ, MACQW) (“M I”), a Magna-sponsored special purpose acquisition company, announced that its stockholders have approved an extension of the date by which it must consummate a business combination from June 19, 2018 to September 17, 2018 (the “extension”).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highlight w:val="white"/>
        </w:rPr>
        <w:t>The purpose of the extension is to provide time for M I to complete its previously announced business combination with Priority Holdings, LLC (“Priority”), a leading provider of B2C and B2B payment processing solutions based in Alpharetta, GA.</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highlight w:val="white"/>
        </w:rPr>
        <w:t>M I also announced that prior to the Annual Meeting, holders of only 377,231 shares of M I common stock elected to redeem their shares for cash, resulting in a trust account balance of $51,829,390.86 on June 19, 2018, which represents an amount in excess of the cash minimum included as a condition to closing the pending business combination with Priority.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M I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097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097915"/>
                    </a:xfrm>
                    <a:prstGeom prst="rect">
                      <a:avLst/>
                    </a:prstGeom>
                    <a:noFill/>
                  </pic:spPr>
                </pic:pic>
              </a:graphicData>
            </a:graphic>
          </wp:anchor>
        </w:drawing>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highlight w:val="white"/>
        </w:rPr>
        <w:t>M I is a blank check company formed for the purpose of entering into a merger, share exchange, asset acquisition, stock purchase, recapitalization, reorganization or other similar business combination with one or more businesses or entities sponsored by NY-based investment firm, Magna. In September 2016, M I consummated a $54.7 million initial public offering of 5.73 million units, each unit consisting of one share of common stock and one redeemable common stock purchase warrant, at a price of $10.00 per unit. M I’s securities are quoted on the NASDAQ stock exchange under the ticker symbols MACQ, MACQW and MACQU.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Important Notice Regarding 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press release contains statements that constitute “forward-looking statements” including with respect to the pending business combination with Priority. Forward-looking statements are subject to numerous conditions, many of which are beyond the control of M I, including those set forth in the Risk Factors section of M I’s annual report on Form 10-K for the year ended December 31, 2017, filed with the Securities and Exchange Commission (“SEC”). Copies are available on the SEC’s website, www.sec.gov. M I undertakes no obligation to update these statements for revisions or changes after the date of this release,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and Where to Find It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transaction described herein, M I has filed relevant materials with the Securities and Exchange Commission (the “SEC”), including a preliminary proxy statement on Schedule 14A. Promptly after filing its definitive proxy statement with the SEC, M I will mail the definitive proxy statement and a proxy card to each stockholder entitled to vote at the special meeting relating to the transaction. INVESTORS AND SECURITY HOLDERS OF M I ARE URGED TO READ THESE MATERIALS (INCLUDING ANY AMENDMENTS OR SUPPLEMENTS THERETO) AND ANY OTHER RELEVANT DOCUMENTS IN CONNECTION WITH THE TRANSACTION THAT M I WILL FILE WITH THE SEC WHEN THEY BECOME AVAILABLE BECAUSE THEY WILL CONTAIN IMPORTANT INFORMATION ABOUT M I, PRIORITY AND THE TRANSACTION. The definitive proxy statement, the preliminary proxy statement and other relevant materials in connection with the transaction (when they become available), and any other documents filed by M I with the SEC, may be obtained free of charge at the SEC’s website (www.sec.gov) or at M I’s website (www.miacquisitions.com) or by writing to M I, c/o Magna Management LLC, 40 Wall Street, 58th Floor, New York, NY 10005.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Participants in Solicitation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M I, and their respective directors, executive officers and employees and other persons may be deemed to be participants in the solicitation of proxies from the holders of M I common stock in respect of the proposed transaction. Information about M I’s directors and executive officers and their ownership of M I’s common stock is set forth in M I’s Annual Report on Form 10-K for the year ended December 31, 2017 filed with the SEC, as modified or supplemented by any Form 3 or Form 4 filed with the SEC since the date of such filing. Other information regarding the interests of the participants in the proxy solicitation will be included in the proxy statement pertaining to the proposed transaction when it becomes available.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3"/>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6"/>
    </w:lvl>
  </w:abstractNum>
  <w:abstractNum w:abstractNumId="7">
    <w:nsid w:val="7545E14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2020-01-15T16:54:32Z</dcterms:created>
  <dcterms:modified xsi:type="dcterms:W3CDTF">2020-01-15T16:54:32Z</dcterms:modified>
</cp:coreProperties>
</file>