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February 3,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Executives of Priority Technology Holdings, Inc. (the "Company") will present to various investors at the A.G.P. Emerging Growth Technology Conference on February 4, 2021. The Company will reiterate its previously disclosed guidance for the fourth quarter of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gridSpan w:val="2"/>
          </w:tcPr>
          <w:p>
            <w:pPr>
              <w:spacing w:after="0"/>
              <w:rPr>
                <w:sz w:val="20"/>
                <w:szCs w:val="20"/>
                <w:color w:val="auto"/>
              </w:rPr>
            </w:pPr>
            <w:r>
              <w:rPr>
                <w:rFonts w:ascii="Arial" w:cs="Arial" w:eastAsia="Arial" w:hAnsi="Arial"/>
                <w:sz w:val="12"/>
                <w:szCs w:val="12"/>
                <w:b w:val="1"/>
                <w:bCs w:val="1"/>
                <w:color w:val="auto"/>
              </w:rPr>
              <w:t>Exhibit Number</w:t>
            </w:r>
          </w:p>
        </w:tc>
        <w:tc>
          <w:tcPr>
            <w:tcW w:w="39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68"/>
        </w:trPr>
        <w:tc>
          <w:tcPr>
            <w:tcW w:w="840" w:type="dxa"/>
            <w:vAlign w:val="bottom"/>
          </w:tcPr>
          <w:p>
            <w:pPr>
              <w:spacing w:after="0"/>
              <w:rPr>
                <w:rFonts w:ascii="Arial" w:cs="Arial" w:eastAsia="Arial" w:hAnsi="Arial"/>
                <w:sz w:val="12"/>
                <w:szCs w:val="12"/>
                <w:u w:val="single" w:color="auto"/>
                <w:color w:val="0000FF"/>
              </w:rPr>
            </w:pPr>
            <w:hyperlink w:anchor="page25">
              <w:r>
                <w:rPr>
                  <w:rFonts w:ascii="Arial" w:cs="Arial" w:eastAsia="Arial" w:hAnsi="Arial"/>
                  <w:sz w:val="12"/>
                  <w:szCs w:val="12"/>
                  <w:u w:val="single" w:color="auto"/>
                  <w:color w:val="0000FF"/>
                </w:rPr>
                <w:t>99.1</w:t>
              </w:r>
            </w:hyperlink>
          </w:p>
        </w:tc>
        <w:tc>
          <w:tcPr>
            <w:tcW w:w="1640" w:type="dxa"/>
            <w:vAlign w:val="bottom"/>
          </w:tcPr>
          <w:p>
            <w:pPr>
              <w:spacing w:after="0"/>
              <w:rPr>
                <w:sz w:val="23"/>
                <w:szCs w:val="23"/>
                <w:color w:val="auto"/>
              </w:rPr>
            </w:pPr>
          </w:p>
        </w:tc>
        <w:tc>
          <w:tcPr>
            <w:tcW w:w="3960" w:type="dxa"/>
            <w:vAlign w:val="bottom"/>
            <w:gridSpan w:val="2"/>
          </w:tcPr>
          <w:p>
            <w:pPr>
              <w:spacing w:after="0"/>
              <w:rPr>
                <w:rFonts w:ascii="Arial" w:cs="Arial" w:eastAsia="Arial" w:hAnsi="Arial"/>
                <w:sz w:val="12"/>
                <w:szCs w:val="12"/>
                <w:u w:val="single" w:color="auto"/>
                <w:color w:val="0000FF"/>
                <w:w w:val="98"/>
              </w:rPr>
            </w:pPr>
            <w:hyperlink w:anchor="page25">
              <w:r>
                <w:rPr>
                  <w:rFonts w:ascii="Arial" w:cs="Arial" w:eastAsia="Arial" w:hAnsi="Arial"/>
                  <w:sz w:val="12"/>
                  <w:szCs w:val="12"/>
                  <w:u w:val="single" w:color="auto"/>
                  <w:color w:val="0000FF"/>
                  <w:w w:val="98"/>
                </w:rPr>
                <w:t>Press Release of Priority Technology Holdings, Inc. dated February 3, 2021</w:t>
              </w:r>
            </w:hyperlink>
          </w:p>
        </w:tc>
      </w:tr>
      <w:tr>
        <w:trPr>
          <w:trHeight w:val="153"/>
        </w:trPr>
        <w:tc>
          <w:tcPr>
            <w:tcW w:w="84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99.1</w:t>
              </w:r>
            </w:hyperlink>
          </w:p>
        </w:tc>
        <w:tc>
          <w:tcPr>
            <w:tcW w:w="1640" w:type="dxa"/>
            <w:vAlign w:val="bottom"/>
          </w:tcPr>
          <w:p>
            <w:pPr>
              <w:spacing w:after="0"/>
              <w:rPr>
                <w:sz w:val="13"/>
                <w:szCs w:val="13"/>
                <w:color w:val="auto"/>
              </w:rPr>
            </w:pPr>
          </w:p>
        </w:tc>
        <w:tc>
          <w:tcPr>
            <w:tcW w:w="3960" w:type="dxa"/>
            <w:vAlign w:val="bottom"/>
            <w:gridSpan w:val="2"/>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A.G.P Emerging Growth Technology Conference Presentation</w:t>
              </w:r>
            </w:hyperlink>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164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3,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Bradley J. Miller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Bradley J. Miller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General Counsel and Chief Risk Officer</w:t>
      </w:r>
    </w:p>
    <w:p>
      <w:pPr>
        <w:sectPr>
          <w:pgSz w:w="11900" w:h="16838" w:orient="portrait"/>
          <w:cols w:equalWidth="0" w:num="1">
            <w:col w:w="11020"/>
          </w:cols>
          <w:pgMar w:left="300" w:top="649" w:right="57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0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450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4863465</wp:posOffset>
            </wp:positionV>
            <wp:extent cx="713041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For Immediate Release*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Investor and Media Inquiries: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Dave Faupel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dave.faupel@prth.com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Priority Technology Holdings, Inc. to Participate in A.G.P. Emerging Growth Technology Conference</w:t>
      </w:r>
    </w:p>
    <w:p>
      <w:pPr>
        <w:spacing w:after="0" w:line="39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ALPHARETTA, Ga. - (February 3, 2021) -- Priority Technology Holdings, Inc. (NASDAQ: PRTH) (“Priority”) today announced that is participating in the A.G.P. Emerging Growth Technology Conference on Thursday, February 4, 2021. Virtual one-on-one meetings will be held throughout the day and the presentation can be found here http://prth.com/assets/AGP-Technology-Conference.pdf</w:t>
      </w:r>
    </w:p>
    <w:p>
      <w:pPr>
        <w:spacing w:after="0" w:line="344"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In these meetings, the Company will reiterate its previously disclosed guidance for the fourth quarter of 2020 financial results to match, if not exceed, third quarter of 2020 revenue of $105.1 million and adjusted EBITDA of $17.1 million, excluding the RentPayment business results. The strong momentum experienced in the third quarter of 2020 continued through the fourth quarter of 2020. Priority’s third quarter 2020 earnings release on November 12, 2020 provides a reconciliation of net income to the non-GAAP adjusted EBITDA measure, and provides pro forma results summaries excluding the RentPayment business.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Priority Technology Holdings, Inc.</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Priority is a leading provider of merchant acquiring, integrated payment software and corporate payment solutions, offering unique product and service capabilities to its merchant network and distribution partners. Priority’s enterprise operates from a purpose-built payments infrastructure that includes tailored customer service offerings and bespoke technology development, allowing the Company to provide end-to-end solutions for payment and payment-adjacent software. Additional information can be found at www.PRTH.com.</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Forward Looking Statements</w:t>
      </w:r>
    </w:p>
    <w:p>
      <w:pPr>
        <w:spacing w:after="0" w:line="219" w:lineRule="exact"/>
        <w:rPr>
          <w:sz w:val="20"/>
          <w:szCs w:val="20"/>
          <w:color w:val="auto"/>
        </w:rPr>
      </w:pPr>
    </w:p>
    <w:p>
      <w:pPr>
        <w:jc w:val="both"/>
        <w:ind w:right="140"/>
        <w:spacing w:after="0" w:line="251"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w:t>
      </w:r>
    </w:p>
    <w:p>
      <w:pPr>
        <w:sectPr>
          <w:pgSz w:w="11900" w:h="16838" w:orient="portrait"/>
          <w:cols w:equalWidth="0" w:num="1">
            <w:col w:w="11280"/>
          </w:cols>
          <w:pgMar w:left="300" w:top="1060" w:right="31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3"/>
          <w:szCs w:val="13"/>
          <w:color w:val="auto"/>
        </w:rPr>
        <w:t>“predict,”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155" w:lineRule="exact"/>
        <w:rPr>
          <w:sz w:val="20"/>
          <w:szCs w:val="20"/>
          <w:color w:val="auto"/>
        </w:rPr>
      </w:pPr>
    </w:p>
    <w:p>
      <w:pPr>
        <w:ind w:right="180"/>
        <w:spacing w:after="0" w:line="249" w:lineRule="auto"/>
        <w:rPr>
          <w:sz w:val="20"/>
          <w:szCs w:val="20"/>
          <w:color w:val="auto"/>
        </w:rPr>
      </w:pPr>
      <w:r>
        <w:rPr>
          <w:rFonts w:ascii="Arial" w:cs="Arial" w:eastAsia="Arial" w:hAnsi="Arial"/>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 our Quarterly Report on Form 10-Q filed with the SEC on March 30, 2020 and November 13, 2020, respectively. These filings are available online at www.sec.gov or www.PRTH.com.</w:t>
      </w:r>
    </w:p>
    <w:sectPr>
      <w:pgSz w:w="11900" w:h="16838" w:orient="portrait"/>
      <w:cols w:equalWidth="0" w:num="1">
        <w:col w:w="11260"/>
      </w:cols>
      <w:pgMar w:left="300" w:top="10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2021-02-03T15:48:07Z</dcterms:created>
  <dcterms:modified xsi:type="dcterms:W3CDTF">2021-02-03T15:48:07Z</dcterms:modified>
</cp:coreProperties>
</file>