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80" w:right="900" w:hanging="3179"/>
        <w:spacing w:after="0" w:line="484" w:lineRule="auto"/>
        <w:tabs>
          <w:tab w:leader="none" w:pos="137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September 30, 2016</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4"/>
          </w:tcPr>
          <w:p>
            <w:pPr>
              <w:ind w:left="3620"/>
              <w:spacing w:after="0"/>
              <w:rPr>
                <w:sz w:val="20"/>
                <w:szCs w:val="20"/>
                <w:color w:val="auto"/>
              </w:rPr>
            </w:pPr>
            <w:r>
              <w:rPr>
                <w:rFonts w:ascii="Arial" w:cs="Arial" w:eastAsia="Arial" w:hAnsi="Arial"/>
                <w:sz w:val="18"/>
                <w:szCs w:val="18"/>
                <w:b w:val="1"/>
                <w:bCs w:val="1"/>
                <w:color w:val="auto"/>
              </w:rPr>
              <w:t>For the transition period from</w:t>
            </w:r>
          </w:p>
        </w:tc>
        <w:tc>
          <w:tcPr>
            <w:tcW w:w="4600" w:type="dxa"/>
            <w:vAlign w:val="bottom"/>
            <w:gridSpan w:val="2"/>
          </w:tcPr>
          <w:p>
            <w:pPr>
              <w:ind w:left="20"/>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820" w:type="dxa"/>
            <w:vAlign w:val="bottom"/>
            <w:gridSpan w:val="4"/>
          </w:tcPr>
          <w:p>
            <w:pPr>
              <w:jc w:val="center"/>
              <w:ind w:left="4530"/>
              <w:spacing w:after="0"/>
              <w:rPr>
                <w:sz w:val="20"/>
                <w:szCs w:val="20"/>
                <w:color w:val="auto"/>
              </w:rPr>
            </w:pPr>
            <w:r>
              <w:rPr>
                <w:rFonts w:ascii="Arial" w:cs="Arial" w:eastAsia="Arial" w:hAnsi="Arial"/>
                <w:sz w:val="18"/>
                <w:szCs w:val="18"/>
                <w:b w:val="1"/>
                <w:bCs w:val="1"/>
                <w:color w:val="auto"/>
              </w:rPr>
              <w:t>M I ACQUISITIONS, INC.</w:t>
            </w: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8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1"/>
              </w:rPr>
              <w:t>Delaware</w:t>
            </w:r>
          </w:p>
        </w:tc>
        <w:tc>
          <w:tcPr>
            <w:tcW w:w="460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89"/>
              </w:rPr>
              <w:t>47-4257046</w:t>
            </w:r>
          </w:p>
        </w:tc>
      </w:tr>
      <w:tr>
        <w:trPr>
          <w:trHeight w:val="195"/>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5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6820" w:type="dxa"/>
            <w:vAlign w:val="bottom"/>
            <w:gridSpan w:val="4"/>
          </w:tcPr>
          <w:p>
            <w:pPr>
              <w:jc w:val="center"/>
              <w:ind w:right="1100"/>
              <w:spacing w:after="0"/>
              <w:rPr>
                <w:sz w:val="20"/>
                <w:szCs w:val="20"/>
                <w:color w:val="auto"/>
              </w:rPr>
            </w:pPr>
            <w:r>
              <w:rPr>
                <w:rFonts w:ascii="Arial" w:cs="Arial" w:eastAsia="Arial" w:hAnsi="Arial"/>
                <w:sz w:val="18"/>
                <w:szCs w:val="18"/>
                <w:color w:val="auto"/>
                <w:w w:val="92"/>
              </w:rPr>
              <w:t>incorporation or organization)</w:t>
            </w:r>
          </w:p>
        </w:tc>
        <w:tc>
          <w:tcPr>
            <w:tcW w:w="280" w:type="dxa"/>
            <w:vAlign w:val="bottom"/>
          </w:tcPr>
          <w:p>
            <w:pPr>
              <w:spacing w:after="0"/>
              <w:rPr>
                <w:sz w:val="20"/>
                <w:szCs w:val="20"/>
                <w:color w:val="auto"/>
              </w:rPr>
            </w:pPr>
          </w:p>
        </w:tc>
        <w:tc>
          <w:tcPr>
            <w:tcW w:w="4320" w:type="dxa"/>
            <w:vAlign w:val="bottom"/>
          </w:tcPr>
          <w:p>
            <w:pPr>
              <w:jc w:val="center"/>
              <w:ind w:righ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491-4240</w:t>
      </w:r>
    </w:p>
    <w:p>
      <w:pPr>
        <w:spacing w:after="0" w:line="27"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color w:val="auto"/>
        </w:rPr>
        <w:t>(Issuer’s telephone number)</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(Do not check if smaller reporting</w:t>
            </w:r>
          </w:p>
        </w:tc>
        <w:tc>
          <w:tcPr>
            <w:tcW w:w="17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company)</w:t>
            </w:r>
          </w:p>
        </w:tc>
        <w:tc>
          <w:tcPr>
            <w:tcW w:w="17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2"/>
        </w:trPr>
        <w:tc>
          <w:tcPr>
            <w:tcW w:w="856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8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2016, 7,168,716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gridSpan w:val="6"/>
          </w:tcPr>
          <w:p>
            <w:pPr>
              <w:jc w:val="center"/>
              <w:ind w:right="3020"/>
              <w:spacing w:after="0"/>
              <w:rPr>
                <w:sz w:val="20"/>
                <w:szCs w:val="20"/>
                <w:color w:val="auto"/>
              </w:rPr>
            </w:pPr>
            <w:r>
              <w:rPr>
                <w:rFonts w:ascii="Arial" w:cs="Arial" w:eastAsia="Arial" w:hAnsi="Arial"/>
                <w:sz w:val="18"/>
                <w:szCs w:val="18"/>
                <w:b w:val="1"/>
                <w:bCs w:val="1"/>
                <w:color w:val="auto"/>
              </w:rPr>
              <w:t>M I ACQUISITIONS,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gridSpan w:val="10"/>
          </w:tcPr>
          <w:p>
            <w:pPr>
              <w:jc w:val="center"/>
              <w:ind w:right="2020"/>
              <w:spacing w:after="0"/>
              <w:rPr>
                <w:sz w:val="20"/>
                <w:szCs w:val="20"/>
                <w:color w:val="auto"/>
              </w:rPr>
            </w:pPr>
            <w:r>
              <w:rPr>
                <w:rFonts w:ascii="Arial" w:cs="Arial" w:eastAsia="Arial" w:hAnsi="Arial"/>
                <w:sz w:val="18"/>
                <w:szCs w:val="18"/>
                <w:b w:val="1"/>
                <w:bCs w:val="1"/>
                <w:color w:val="auto"/>
                <w:w w:val="98"/>
              </w:rPr>
              <w:t>FORM 10-Q FOR THE QUARTER ENDED SEPTEMBER 30,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80" w:type="dxa"/>
            <w:vAlign w:val="bottom"/>
            <w:gridSpan w:val="6"/>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94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30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300" w:type="dxa"/>
            <w:vAlign w:val="bottom"/>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0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 of Changes in Stockholder’s Equity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1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w:t>
              </w:r>
            </w:hyperlink>
          </w:p>
        </w:tc>
        <w:tc>
          <w:tcPr>
            <w:tcW w:w="512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30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80" w:type="dxa"/>
            <w:vAlign w:val="bottom"/>
            <w:gridSpan w:val="1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3. Quantitative and Qualitative Disclosures Regarding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gridSpan w:val="2"/>
          </w:tcPr>
          <w:p>
            <w:pPr>
              <w:spacing w:after="0" w:line="17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4.</w:t>
              </w:r>
            </w:hyperlink>
          </w:p>
        </w:tc>
        <w:tc>
          <w:tcPr>
            <w:tcW w:w="4680" w:type="dxa"/>
            <w:vAlign w:val="bottom"/>
            <w:tcBorders>
              <w:top w:val="single" w:sz="8" w:color="0000EE"/>
            </w:tcBorders>
            <w:gridSpan w:val="11"/>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426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8940" w:type="dxa"/>
            <w:vAlign w:val="bottom"/>
            <w:gridSpan w:val="13"/>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shd w:val="clear" w:color="auto" w:fill="CCEEFF"/>
          </w:tcPr>
          <w:p>
            <w:pPr>
              <w:ind w:left="20"/>
              <w:spacing w:after="0" w:line="17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Other Information</w:t>
              </w:r>
            </w:hyperlink>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6.</w:t>
              </w:r>
            </w:hyperlink>
          </w:p>
        </w:tc>
        <w:tc>
          <w:tcPr>
            <w:tcW w:w="8940" w:type="dxa"/>
            <w:vAlign w:val="bottom"/>
            <w:gridSpan w:val="13"/>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24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5560" w:type="dxa"/>
            <w:vAlign w:val="bottom"/>
            <w:gridSpan w:val="4"/>
            <w:shd w:val="clear" w:color="auto" w:fill="CCEEFF"/>
          </w:tcPr>
          <w:p>
            <w:pPr>
              <w:jc w:val="center"/>
              <w:ind w:right="2800"/>
              <w:spacing w:after="0" w:line="176" w:lineRule="exact"/>
              <w:rPr>
                <w:sz w:val="20"/>
                <w:szCs w:val="20"/>
                <w:color w:val="auto"/>
              </w:rPr>
            </w:pPr>
            <w:r>
              <w:rPr>
                <w:rFonts w:ascii="Arial" w:cs="Arial" w:eastAsia="Arial" w:hAnsi="Arial"/>
                <w:sz w:val="18"/>
                <w:szCs w:val="18"/>
                <w:b w:val="1"/>
                <w:bCs w:val="1"/>
                <w:color w:val="auto"/>
                <w:w w:val="81"/>
              </w:rPr>
              <w:t>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 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509,051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interest receivable held in trust account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Cash and cash equivalents held in trust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51,500,000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52,012,196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183,957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5560" w:type="dxa"/>
            <w:vAlign w:val="bottom"/>
            <w:gridSpan w:val="4"/>
            <w:shd w:val="clear" w:color="auto" w:fill="CCEEFF"/>
          </w:tcPr>
          <w:p>
            <w:pPr>
              <w:jc w:val="center"/>
              <w:ind w:right="2800"/>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67,027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offering costs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60"/>
              <w:spacing w:after="0"/>
              <w:rPr>
                <w:sz w:val="20"/>
                <w:szCs w:val="20"/>
                <w:color w:val="auto"/>
              </w:rPr>
            </w:pPr>
            <w:r>
              <w:rPr>
                <w:rFonts w:ascii="Arial" w:cs="Arial" w:eastAsia="Arial" w:hAnsi="Arial"/>
                <w:sz w:val="18"/>
                <w:szCs w:val="18"/>
                <w:color w:val="auto"/>
              </w:rPr>
              <w:t>Advances from related party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60"/>
              <w:spacing w:after="0"/>
              <w:rPr>
                <w:sz w:val="20"/>
                <w:szCs w:val="20"/>
                <w:color w:val="auto"/>
              </w:rPr>
            </w:pPr>
            <w:r>
              <w:rPr>
                <w:rFonts w:ascii="Arial" w:cs="Arial" w:eastAsia="Arial" w:hAnsi="Arial"/>
                <w:sz w:val="18"/>
                <w:szCs w:val="18"/>
                <w:color w:val="auto"/>
              </w:rPr>
              <w:t>Note payable - related parties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114,183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1,141,497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conversion (4,453,194 shares at conversion value)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45,870,695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$0.001 par value; 30,000,000 shares authorized; 2,386,806 issued and outstanding at September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w w:val="97"/>
              </w:rPr>
              <w:t>30, 2016 (excluding 4,453,194 shares subject to possible conversion) and 1,437,500 shares issued and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outstanding at December 31, 2015 (1)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6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5,051,490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52,012,196</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183,957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09" w:lineRule="auto"/>
        <w:framePr w:w="680" w:h="160" w:wrap="auto" w:vAnchor="page" w:hAnchor="page" w:x="200" w:y="5544"/>
        <w:rPr>
          <w:rFonts w:ascii="Arial" w:cs="Arial" w:eastAsia="Arial" w:hAnsi="Arial"/>
          <w:sz w:val="16"/>
          <w:szCs w:val="16"/>
          <w:color w:val="auto"/>
        </w:rPr>
      </w:pPr>
      <w:r>
        <w:rPr>
          <w:rFonts w:ascii="Arial" w:cs="Arial" w:eastAsia="Arial" w:hAnsi="Arial"/>
          <w:sz w:val="16"/>
          <w:szCs w:val="16"/>
          <w:color w:val="auto"/>
        </w:rPr>
        <w:t>Net loss</w:t>
      </w:r>
    </w:p>
    <w:p>
      <w:pPr>
        <w:spacing w:after="0" w:line="196" w:lineRule="auto"/>
        <w:framePr w:w="2060" w:h="160" w:wrap="auto" w:vAnchor="page" w:hAnchor="page" w:x="200" w:y="5085"/>
        <w:rPr>
          <w:rFonts w:ascii="Arial" w:cs="Arial" w:eastAsia="Arial" w:hAnsi="Arial"/>
          <w:sz w:val="17"/>
          <w:szCs w:val="17"/>
          <w:color w:val="auto"/>
        </w:rPr>
      </w:pPr>
      <w:r>
        <w:rPr>
          <w:rFonts w:ascii="Arial" w:cs="Arial" w:eastAsia="Arial" w:hAnsi="Arial"/>
          <w:sz w:val="17"/>
          <w:szCs w:val="17"/>
          <w:color w:val="auto"/>
        </w:rPr>
        <w:t>TOTAL OTHER INCOME</w:t>
      </w:r>
    </w:p>
    <w:p>
      <w:pPr>
        <w:spacing w:after="0" w:line="196" w:lineRule="auto"/>
        <w:framePr w:w="1440" w:h="160" w:wrap="auto" w:vAnchor="page" w:hAnchor="page" w:x="200" w:y="3991"/>
        <w:rPr>
          <w:rFonts w:ascii="Arial" w:cs="Arial" w:eastAsia="Arial" w:hAnsi="Arial"/>
          <w:sz w:val="17"/>
          <w:szCs w:val="17"/>
          <w:color w:val="auto"/>
        </w:rPr>
      </w:pPr>
      <w:r>
        <w:rPr>
          <w:rFonts w:ascii="Arial" w:cs="Arial" w:eastAsia="Arial" w:hAnsi="Arial"/>
          <w:sz w:val="17"/>
          <w:szCs w:val="17"/>
          <w:color w:val="auto"/>
        </w:rPr>
        <w:t>OTHER INCOME</w:t>
      </w:r>
    </w:p>
    <w:p>
      <w:pPr>
        <w:spacing w:after="0" w:line="229" w:lineRule="auto"/>
        <w:framePr w:w="2800" w:h="593" w:wrap="auto" w:vAnchor="page" w:hAnchor="page" w:x="540" w:y="4207"/>
        <w:rPr>
          <w:rFonts w:ascii="Arial" w:cs="Arial" w:eastAsia="Arial" w:hAnsi="Arial"/>
          <w:sz w:val="18"/>
          <w:szCs w:val="18"/>
          <w:color w:val="auto"/>
        </w:rPr>
      </w:pPr>
      <w:r>
        <w:rPr>
          <w:rFonts w:ascii="Arial" w:cs="Arial" w:eastAsia="Arial" w:hAnsi="Arial"/>
          <w:sz w:val="18"/>
          <w:szCs w:val="18"/>
          <w:color w:val="auto"/>
        </w:rPr>
        <w:t>Change in value of derivative liability Interest and dividend income Extinguishment of debt</w:t>
      </w:r>
    </w:p>
    <w:p>
      <w:pPr>
        <w:spacing w:after="0" w:line="196" w:lineRule="auto"/>
        <w:framePr w:w="1600" w:h="160" w:wrap="auto" w:vAnchor="page" w:hAnchor="page" w:x="200" w:y="3545"/>
        <w:rPr>
          <w:rFonts w:ascii="Arial" w:cs="Arial" w:eastAsia="Arial" w:hAnsi="Arial"/>
          <w:sz w:val="17"/>
          <w:szCs w:val="17"/>
          <w:color w:val="auto"/>
        </w:rPr>
      </w:pPr>
      <w:r>
        <w:rPr>
          <w:rFonts w:ascii="Arial" w:cs="Arial" w:eastAsia="Arial" w:hAnsi="Arial"/>
          <w:sz w:val="17"/>
          <w:szCs w:val="17"/>
          <w:color w:val="auto"/>
        </w:rPr>
        <w:t>TOTAL EXPENSES</w:t>
      </w:r>
    </w:p>
    <w:p>
      <w:pPr>
        <w:spacing w:after="0" w:line="209" w:lineRule="auto"/>
        <w:framePr w:w="980" w:h="160" w:wrap="auto" w:vAnchor="page" w:hAnchor="page" w:x="200" w:y="2667"/>
        <w:rPr>
          <w:rFonts w:ascii="Arial" w:cs="Arial" w:eastAsia="Arial" w:hAnsi="Arial"/>
          <w:sz w:val="16"/>
          <w:szCs w:val="16"/>
          <w:color w:val="auto"/>
        </w:rPr>
      </w:pPr>
      <w:r>
        <w:rPr>
          <w:rFonts w:ascii="Arial" w:cs="Arial" w:eastAsia="Arial" w:hAnsi="Arial"/>
          <w:sz w:val="16"/>
          <w:szCs w:val="16"/>
          <w:color w:val="auto"/>
        </w:rPr>
        <w:t>EXPENSES</w:t>
      </w:r>
    </w:p>
    <w:p>
      <w:pPr>
        <w:spacing w:after="0" w:line="245" w:lineRule="auto"/>
        <w:framePr w:w="2520" w:h="376" w:wrap="auto" w:vAnchor="page" w:hAnchor="page" w:x="200" w:y="2883"/>
        <w:rPr>
          <w:rFonts w:ascii="Arial" w:cs="Arial" w:eastAsia="Arial" w:hAnsi="Arial"/>
          <w:sz w:val="16"/>
          <w:szCs w:val="16"/>
          <w:color w:val="auto"/>
        </w:rPr>
      </w:pPr>
      <w:r>
        <w:rPr>
          <w:rFonts w:ascii="Arial" w:cs="Arial" w:eastAsia="Arial" w:hAnsi="Arial"/>
          <w:sz w:val="16"/>
          <w:szCs w:val="16"/>
          <w:color w:val="auto"/>
        </w:rPr>
        <w:t>Formation and operating costs Administrative fee – related party</w:t>
      </w: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For the Three Months</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For the Nine Months</w:t>
            </w:r>
          </w:p>
        </w:tc>
        <w:tc>
          <w:tcPr>
            <w:tcW w:w="120" w:type="dxa"/>
            <w:vAlign w:val="bottom"/>
          </w:tcPr>
          <w:p>
            <w:pPr>
              <w:spacing w:after="0"/>
              <w:rPr>
                <w:sz w:val="17"/>
                <w:szCs w:val="17"/>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Ended</w:t>
            </w: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w w:val="96"/>
              </w:rPr>
              <w:t>April 23, 2015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September 30, 2016</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Pr>
          <w:p>
            <w:pPr>
              <w:spacing w:after="0"/>
              <w:rPr>
                <w:sz w:val="20"/>
                <w:szCs w:val="20"/>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to September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ind w:left="680"/>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61,360</w:t>
            </w: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68,624</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5,667</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67,027</w:t>
            </w: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74,291</w:t>
            </w: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3,145</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3,145</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30,645</w:t>
            </w:r>
          </w:p>
        </w:tc>
        <w:tc>
          <w:tcPr>
            <w:tcW w:w="320" w:type="dxa"/>
            <w:vAlign w:val="bottom"/>
          </w:tcPr>
          <w:p>
            <w:pPr>
              <w:spacing w:after="0"/>
              <w:rPr>
                <w:sz w:val="15"/>
                <w:szCs w:val="15"/>
                <w:color w:val="auto"/>
              </w:rPr>
            </w:pPr>
          </w:p>
        </w:tc>
        <w:tc>
          <w:tcPr>
            <w:tcW w:w="148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30,645</w:t>
            </w:r>
          </w:p>
        </w:tc>
        <w:tc>
          <w:tcPr>
            <w:tcW w:w="120" w:type="dxa"/>
            <w:vAlign w:val="bottom"/>
          </w:tcPr>
          <w:p>
            <w:pPr>
              <w:spacing w:after="0"/>
              <w:rPr>
                <w:sz w:val="15"/>
                <w:szCs w:val="15"/>
                <w:color w:val="auto"/>
              </w:rPr>
            </w:pPr>
          </w:p>
        </w:tc>
        <w:tc>
          <w:tcPr>
            <w:tcW w:w="19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(36,382)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(43,646)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 basic and diluted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1,363,737</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1,288,329</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Additional 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1,438</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402,500 private units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402,500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4,024,597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conversion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(4,453,194)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(45,866,240)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(45,870,695)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2,386,806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2,386</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5,051,490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(53,872)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1"/>
              </w:rPr>
              <w:t>For the Nine Months</w:t>
            </w:r>
          </w:p>
        </w:tc>
        <w:tc>
          <w:tcPr>
            <w:tcW w:w="120" w:type="dxa"/>
            <w:vAlign w:val="bottom"/>
          </w:tcPr>
          <w:p>
            <w:pPr>
              <w:spacing w:after="0"/>
              <w:rPr>
                <w:sz w:val="18"/>
                <w:szCs w:val="18"/>
                <w:color w:val="auto"/>
              </w:rPr>
            </w:pPr>
          </w:p>
        </w:tc>
        <w:tc>
          <w:tcPr>
            <w:tcW w:w="1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For the Period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6"/>
              </w:rPr>
              <w:t>April 23, 2015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 2016</w:t>
            </w:r>
          </w:p>
        </w:tc>
        <w:tc>
          <w:tcPr>
            <w:tcW w:w="120" w:type="dxa"/>
            <w:vAlign w:val="bottom"/>
          </w:tcPr>
          <w:p>
            <w:pPr>
              <w:spacing w:after="0"/>
              <w:rPr>
                <w:sz w:val="20"/>
                <w:szCs w:val="20"/>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to September 30,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(43,646)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3"/>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interest income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340"/>
              <w:spacing w:after="0"/>
              <w:rPr>
                <w:sz w:val="20"/>
                <w:szCs w:val="20"/>
                <w:color w:val="auto"/>
              </w:rPr>
            </w:pPr>
            <w:r>
              <w:rPr>
                <w:rFonts w:ascii="Arial" w:cs="Arial" w:eastAsia="Arial" w:hAnsi="Arial"/>
                <w:sz w:val="18"/>
                <w:szCs w:val="18"/>
                <w:color w:val="auto"/>
              </w:rPr>
              <w:t>Formation and organization costs paid by related parties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52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67,027</w:t>
            </w: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Cash deposited into trust account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(51,500,000)</w:t>
            </w: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(51,500,000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48,194,567</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insider units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Payments of related party notes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(131,720)</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related party advances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55,201</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Payments of related party advances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(54,230)</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offering costs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(80,040)</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52,008,778</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504,051</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509,051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11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Payment of deferred offering costs by issuance of common stock</w:t>
            </w:r>
          </w:p>
        </w:tc>
        <w:tc>
          <w:tcPr>
            <w:tcW w:w="8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bottom w:val="single" w:sz="8" w:color="CCEEFF"/>
            </w:tcBorders>
            <w:gridSpan w:val="2"/>
            <w:vMerge w:val="continue"/>
          </w:tcPr>
          <w:p>
            <w:pPr>
              <w:spacing w:after="0"/>
              <w:rPr>
                <w:sz w:val="20"/>
                <w:szCs w:val="20"/>
                <w:color w:val="auto"/>
              </w:rPr>
            </w:pPr>
          </w:p>
        </w:tc>
        <w:tc>
          <w:tcPr>
            <w:tcW w:w="8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Reclassification of deferred offering costs to equity</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258,997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8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bottom w:val="single" w:sz="8" w:color="CCEEFF"/>
            </w:tcBorders>
            <w:gridSpan w:val="2"/>
            <w:vMerge w:val="continue"/>
          </w:tcPr>
          <w:p>
            <w:pPr>
              <w:spacing w:after="0"/>
              <w:rPr>
                <w:sz w:val="20"/>
                <w:szCs w:val="20"/>
                <w:color w:val="auto"/>
              </w:rPr>
            </w:pPr>
          </w:p>
        </w:tc>
        <w:tc>
          <w:tcPr>
            <w:tcW w:w="8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Common stock subject to possible conversion</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45,870,695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8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$1,107,110, of which the deferred underwriting fee of $1,000,000 was unpaid as of September 30, 2016.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activity from inception through September 19, 2016 related to the Company’s formation, Offering and general and administrative expenses. Since the Offering, the Company’s activity has been limited to the evaluation of business combination candidates, and we will not be generating any operating revenues until the closing and completion of our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$54,694,127 placed into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Additionally,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its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or $0.025 per unit in either case, up to an aggregate of $375,000 (or $431,250 if the underwriters’ over-allotment option is exercised in full),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nine months ended September 30, 2016 are not necessarily indicative of the results that may be expected for the year ending December 31, 2016 or any other period. The accompanying condensed financial statements should be read in conjunction with the Company’s audited financial statements and notes thereto for the period from April 23, 2015 (Inception) through December 31, 2015 and the period then ended included in the prospectus filed with the Securities and Exchange Commission on September 14,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As of September 30, 2016, marketable securities held in the Trust Account consisted of $51,500,000 in United States Treasury Bills with an original maturity of six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are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2016 through September 30, 2016.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19, 2016, the Company sold 5,000,000 Units at a price of $10.00 per Unit. In addition, the Company granted the Underwriter the option to purchase an additional 750,000 Units solely to cover over allotments, if any, pursuant to a 45 day over- allotment option granted to the Underwriter, which was partially exercised in October 2016 (see Note 8).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Initial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402,500 Private Units at $10.00 per Private Unit (for an aggregate purchase price of $4,025,000)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was non-interest bearing and payable on the earlier of (i) the consummation of the Offering or (ii) the date on which the Company determines not to proceed with the Offering. As of September 30, 2016, all amounts under the note had been repaid.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affiliate of the Company’s executive officers advanced funds to the Company to pay administrative expenses and offering costs incurred. These advances are due on demand and are non-interest bearing. As of September 30, 2016, the Company repaid $54,230. The amount due to the related party at September 30, 2016 is $971 and is presented as Advances from related party on the accompanying balance sheet. The remaining outstanding balance was repaid in October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 2015, the Company issued a $55,000 principal amount unsecured promissory note. The note is non-interest bearing and was payable on the earlier of (i) the consummation of the Public Offering or (ii) the date on which the Company determines not to proceed with the Public Offering. On September 26, 2016, the Company amended the agreement with lender and outstanding balance was amended to $27,500. The Company recorded a gain on extinguishment of debt as a result of the amendment in the amount of $27,500 during the period ended September 30, 2016. The note is now due upon completion of an initial business combination. Due to the short-term nature of the note, the fair value of the note approximates the carrying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$6,000,000)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and nine months ended September 30, 2016, the Company incurred administrative fees of $5,667.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there are no preferred shares issued or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2016, there were 2,386,806 common shares issued or outstanding, which excludes 4,453,194 shares subject to possible conversion.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September 30, 2016, the Company canceled 109,973 founders’ shares pursuant to the Escrow Agreement upon the expiration of the underwriters’ over-allotment option.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10, 2016, the Company issued a press release announcing that the holders of Units may elect to separately trade the Common Stock and warrants included in the Units commencing on or about November 14,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includes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 References to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We expect our expenses to increase substantially after this period.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2016, we had a net loss of $36,382 and $43,646, respectively. During the three months ended September 30, 2016, we incurred $61,360 of general and administrative expenses and $5,667 of administrative fees paid to a related party. During the nine months ended September 30, 2016, we incurred $68,624 of general and administrative expenses and $5,667 of administrative fees paid to a related party. These expenses for the three and nine months ended September 30, 2016 were offset by $27,500 for the extinguishment of debt recorded by the Company on the amendment of a note payable and $3,145 of interest income. For the period from April 23, 2016 (Inception) to September 30, 2015, we had a net loss of $1,043 which was comprised of formation and operating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had cash outside our trust account of $509,051.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liquidity needs have been satisfied to date through receipt of $25,000 from the sale of the insider shares and loans and advances from insiders and a related party and an unrelated party in an aggregate amount of $241,921 that are more fully described below.</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the approximately $509,051 outside of our trust account will be sufficient to allow us to operate until June 13, 2018, assuming that a business combination is not consummated during that time.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net proceeds from the offering not held in the trust account and the interest earned on the trust account balance (net of income, and other tax obligations) that may be released to us to fund our working capital requirements, which we anticipate will be approximately $525,000,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7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$115,000 for general working capital that will be used for miscellaneous expenses, liquidation obligations and reserves, including director and officer liability insurance premiums.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did not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2016, we were not subject to any market or interest rate risk. Following the consummation of the Offering, the net proceeds of the Offering, including amounts in the trust account, may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2016,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of 2016 covered by this Quarterly Report on Form 10-Q that has materially affected, or is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$1,500,000 in underwriting discounts and commissions and $1,625,429 for other costs and expenses related to our formation and the IPO.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2016, we issued a press release announcing that that the holders of Units may elect to separately trade the common stock and warrants included in the Units commencing on or about November 14, 2016. Those Units not separated will continue to trade on the NASDAQ Capital Market under the symbol “MACQU,” and each of the common stock and warrants are expected to separately trade on the NASDAQ Capital Market under the symbols “MACQ,” and “MACQW,”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0"/>
                <w:szCs w:val="20"/>
                <w:color w:val="auto"/>
              </w:rPr>
            </w:pP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Underwriting Agreement, dated September 13, 2016, by and between the Registrant and Chardan Capital Markets, LLC (incorporated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by reference to Exhibit 1.1 to the Current Report on Form 8-K filed with the Securities &amp; Exchange Commission on September 16,</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Articles of Incorporation (incorporated by reference to Exhibit 3.1 to the Current Report on Form 8-K filed with</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 Securities &amp; Exchange Commission on 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Warrant Agreement, dated September 13, 2016, by and between American Stock Transfer &amp; Trust Company, LLC and the Registrant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(incorporated by reference to Exhibit 4.1 to the Current Report on Form 8-K filed with the Securities &amp; Exchange Commission on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Investment Management Trust Account Agreement, dated September 13, 2016, by and between American Stock Transfer &amp; Trust</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Company, LLC and the Registrant (incorporated by reference to Exhibit 10.1 to the Current Report on Form 8-K filed with the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Securities &amp; Exchange Commission on 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Registration Rights Agreement, dated September 13, 2016, by and among the Registrant and the initial stockholders (incorporated by</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reference to Exhibit 10.2 to the Current Report on Form 8-K filed with the Securities &amp; Exchange Commission on 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Stock Escrow Agreement dated September 13, 2016 among the Registrant, American Stock Transfer &amp; Trust Company, LLC, and the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initial stockholders (incorporated by reference to Exhibit 10.3 to the Current Report on Form 8-K filed with the Securities &amp; Exchange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Commission on 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Form of Letter Agreement by and between the Registrant, the initial shareholders and the officers and directors of the Company</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(incorporated by reference to Exhibit 10.2 to the Registration Statement on Form S-1 filed with the Securities &amp; Exchange Commission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on September 9,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Administrative Services Agreement dated September 13, 2016 by and between the Registrant and Magna Management LLC</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(incorporated by reference to Exhibit 10.5 to the Current Report on Form 8-K filed with the Securities &amp; Exchange Commission on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September 16, 2016)</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Rule 13a-14 and Rule 15d-14(a), promulgated under the Securities and Exchange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Act of 1934, as amended.</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 and Rule 15d-14(a), promulgated under the Securities and Exchange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Act of 1934, as amended.</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November 10, 2016</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40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904"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3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November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32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November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September 30, 2016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328"/>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November 14, 2016</w:t>
      </w: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Date:November 14, 2016</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M I Acquisitions, Inc. Announces that Common Stock and Warrants to Commence Separate Trading on or about November 14, 2016</w:t>
      </w:r>
    </w:p>
    <w:p>
      <w:pPr>
        <w:spacing w:after="0" w:line="241" w:lineRule="exact"/>
        <w:rPr>
          <w:sz w:val="20"/>
          <w:szCs w:val="20"/>
          <w:color w:val="auto"/>
        </w:rPr>
      </w:pPr>
    </w:p>
    <w:p>
      <w:pPr>
        <w:jc w:val="both"/>
        <w:ind w:right="800"/>
        <w:spacing w:after="0" w:line="342" w:lineRule="auto"/>
        <w:rPr>
          <w:sz w:val="20"/>
          <w:szCs w:val="20"/>
          <w:color w:val="auto"/>
        </w:rPr>
      </w:pPr>
      <w:r>
        <w:rPr>
          <w:rFonts w:ascii="Arial" w:cs="Arial" w:eastAsia="Arial" w:hAnsi="Arial"/>
          <w:sz w:val="16"/>
          <w:szCs w:val="16"/>
          <w:color w:val="auto"/>
        </w:rPr>
        <w:t>NEW YORK, Nov. 10, 2016 /PRNewswire/ — M I Acquisitions, Inc. (NASDAQ: MACQU) the "Company"), today announced that holders of the Company's units may elect to separately trade the common stock and warrants included in such units commencing on or about November 14, 2016.</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common stock and warrants will trade on the NASDAQ Capital Market ("NASDAQ") under the symbols MACQ and MACQW, respectively. Units not separated will continue to trade on NASDAQ under the symbol MACQU.</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unexercised portion of the underwriter's over-allotment terminated on October 28, 2016. The Company will now continue focusing on entering into a business combination with one or more businesses or entities, focusing on acquiring a business operating in the technology, media and telecommunications industries. As the Company previously reported on a Current Report on Form 8-K, approximately $54.6 million of cash is now held in the Company's trust account, which will be released upon closing of a business combination. The Company's management team consists of Joshua Sason as CEO, Marc Manuel as CFO and Russell Rieger as VP of Strategy, and the Company's independent board of directors, consists of Don Ienner, David Schulhof and Sam Holdsworth. The Company has also engaged Matthew J. Kearney as a Special Advisor to the Company. For more information on management's acquisition strategy, feel free to review the Company website (MIAcquisitions.com), or reach out to management for further details at 347-491-4240.</w:t>
      </w:r>
    </w:p>
    <w:p>
      <w:pPr>
        <w:spacing w:after="0" w:line="19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 registration statement relating to company's initial public offering was declared effective by the Securities and Exchange Commission on September 13, 2016.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 The registration statement and a copy of the final prospectus relating to the initial public offering may be accessed via the Securities and Exchange Commission's website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 I Acquisitions, Inc.</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 I Acquisitions, Inc. is a blank check company formed for the purpose of entering into a merger, share exchange, asset acquisition, stock purchase, recapitalization, reorganization or other similar business combination with one or more businesses or entities. The Company's efforts to identify a target business will not be limited to a particular industry or geographic region, although it intends to focus its efforts on seeking a business combination with a company or companies operating in the technology, media and telecommunications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press release includes forward-looking statements that involve risks and uncertainties. Forward looking statements are statements that are not historical facts. Such forward-looking statements, including the successful consummation of the Company's initial public offering, are subject to risks and uncertainties, which could cause actual results to differ from the forward looking statements.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M I Acquisitions,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Joshua.Sason@Mag.na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347-491-4240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CFO, M I Acquisitions,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Marc.Manuel@Mag.na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347-491-4240</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347"/>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2020-01-21T20:18:32Z</dcterms:created>
  <dcterms:modified xsi:type="dcterms:W3CDTF">2020-01-21T20:18:32Z</dcterms:modified>
</cp:coreProperties>
</file>