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00" w:right="160"/>
        <w:spacing w:after="0" w:line="25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-167005</wp:posOffset>
            </wp:positionV>
            <wp:extent cx="107950"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1" w:lineRule="exact"/>
        <w:rPr>
          <w:sz w:val="24"/>
          <w:szCs w:val="24"/>
          <w:color w:val="auto"/>
        </w:rPr>
      </w:pPr>
    </w:p>
    <w:p>
      <w:pPr>
        <w:ind w:left="300"/>
        <w:spacing w:after="0" w:line="242"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-433705</wp:posOffset>
            </wp:positionV>
            <wp:extent cx="107950" cy="107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920" w:type="dxa"/>
            <w:vAlign w:val="bottom"/>
          </w:tcPr>
          <w:p>
            <w:pPr>
              <w:jc w:val="center"/>
              <w:ind w:right="54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jc w:val="center"/>
              <w:ind w:right="547"/>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5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0"/>
        </w:trPr>
        <w:tc>
          <w:tcPr>
            <w:tcW w:w="5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jc w:val="center"/>
              <w:ind w:right="547"/>
              <w:spacing w:after="0" w:line="161" w:lineRule="exact"/>
              <w:rPr>
                <w:sz w:val="20"/>
                <w:szCs w:val="20"/>
                <w:color w:val="auto"/>
              </w:rPr>
            </w:pPr>
            <w:r>
              <w:rPr>
                <w:rFonts w:ascii="Arial" w:cs="Arial" w:eastAsia="Arial" w:hAnsi="Arial"/>
                <w:sz w:val="18"/>
                <w:szCs w:val="18"/>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20" w:type="dxa"/>
            <w:vAlign w:val="bottom"/>
            <w:vMerge w:val="restart"/>
          </w:tcPr>
          <w:p>
            <w:pPr>
              <w:jc w:val="center"/>
              <w:ind w:right="56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9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5041265</wp:posOffset>
            </wp:positionH>
            <wp:positionV relativeFrom="paragraph">
              <wp:posOffset>-550545</wp:posOffset>
            </wp:positionV>
            <wp:extent cx="53975" cy="563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-550545</wp:posOffset>
            </wp:positionV>
            <wp:extent cx="53975"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975" cy="56388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-1885315</wp:posOffset>
            </wp:positionH>
            <wp:positionV relativeFrom="paragraph">
              <wp:posOffset>581025</wp:posOffset>
            </wp:positionV>
            <wp:extent cx="7009765" cy="415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9765" cy="4159885"/>
                    </a:xfrm>
                    <a:prstGeom prst="rect">
                      <a:avLst/>
                    </a:prstGeom>
                    <a:noFill/>
                  </pic:spPr>
                </pic:pic>
              </a:graphicData>
            </a:graphic>
          </wp:anchor>
        </w:drawing>
      </w:r>
    </w:p>
    <w:p>
      <w:pPr>
        <w:spacing w:after="0" w:line="978" w:lineRule="exact"/>
        <w:rPr>
          <w:sz w:val="24"/>
          <w:szCs w:val="24"/>
          <w:color w:val="auto"/>
        </w:rPr>
      </w:pPr>
    </w:p>
    <w:p>
      <w:pPr>
        <w:sectPr>
          <w:pgSz w:w="11900" w:h="16838" w:orient="portrait"/>
          <w:cols w:equalWidth="0" w:num="2">
            <w:col w:w="2300" w:space="640"/>
            <w:col w:w="8040"/>
          </w:cols>
          <w:pgMar w:left="460" w:top="207" w:right="459" w:bottom="1440" w:gutter="0" w:footer="0" w:header="0"/>
        </w:sectPr>
      </w:pPr>
    </w:p>
    <w:p>
      <w:pPr>
        <w:spacing w:after="0" w:line="7" w:lineRule="exact"/>
        <w:rPr>
          <w:sz w:val="24"/>
          <w:szCs w:val="24"/>
          <w:color w:val="auto"/>
        </w:r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0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Priore Thomas Charles</w:t>
        </w:r>
      </w:hyperlink>
    </w:p>
    <w:p>
      <w:pPr>
        <w:spacing w:after="0" w:line="26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65" w:lineRule="exact"/>
        <w:rPr>
          <w:sz w:val="24"/>
          <w:szCs w:val="24"/>
          <w:color w:val="auto"/>
        </w:rPr>
      </w:pPr>
    </w:p>
    <w:p>
      <w:pPr>
        <w:ind w:left="100"/>
        <w:spacing w:after="0" w:line="340" w:lineRule="auto"/>
        <w:rPr>
          <w:sz w:val="20"/>
          <w:szCs w:val="20"/>
          <w:color w:val="auto"/>
        </w:rPr>
      </w:pPr>
      <w:r>
        <w:rPr>
          <w:rFonts w:ascii="Times New Roman" w:cs="Times New Roman" w:eastAsia="Times New Roman" w:hAnsi="Times New Roman"/>
          <w:sz w:val="15"/>
          <w:szCs w:val="15"/>
          <w:color w:val="0000FF"/>
        </w:rPr>
        <w:t>C/O PRIORITY TECHNOLOGY HOLDINGS, INC. 2001 WESTSIDE PARKWAY, SUITE 155</w:t>
      </w:r>
    </w:p>
    <w:p>
      <w:pPr>
        <w:spacing w:after="0" w:line="156" w:lineRule="exact"/>
        <w:rPr>
          <w:sz w:val="24"/>
          <w:szCs w:val="24"/>
          <w:color w:val="auto"/>
        </w:rPr>
      </w:pPr>
    </w:p>
    <w:p>
      <w:pPr>
        <w:ind w:left="60"/>
        <w:spacing w:after="0"/>
        <w:rPr>
          <w:sz w:val="20"/>
          <w:szCs w:val="20"/>
          <w:color w:val="auto"/>
        </w:rPr>
      </w:pPr>
      <w:r>
        <w:rPr>
          <w:rFonts w:ascii="Arial" w:cs="Arial" w:eastAsia="Arial" w:hAnsi="Arial"/>
          <w:sz w:val="11"/>
          <w:szCs w:val="11"/>
          <w:color w:val="auto"/>
        </w:rPr>
        <w:t>(Street)</w:t>
      </w:r>
    </w:p>
    <w:p>
      <w:pPr>
        <w:spacing w:after="0" w:line="31" w:lineRule="exact"/>
        <w:rPr>
          <w:sz w:val="24"/>
          <w:szCs w:val="24"/>
          <w:color w:val="auto"/>
        </w:rPr>
      </w:pPr>
    </w:p>
    <w:p>
      <w:pPr>
        <w:ind w:left="100"/>
        <w:spacing w:after="0"/>
        <w:tabs>
          <w:tab w:leader="none" w:pos="1300" w:val="left"/>
          <w:tab w:leader="none" w:pos="2540" w:val="left"/>
        </w:tabs>
        <w:rPr>
          <w:sz w:val="20"/>
          <w:szCs w:val="20"/>
          <w:color w:val="auto"/>
        </w:rPr>
      </w:pPr>
      <w:r>
        <w:rPr>
          <w:rFonts w:ascii="Times New Roman" w:cs="Times New Roman" w:eastAsia="Times New Roman" w:hAnsi="Times New Roman"/>
          <w:sz w:val="15"/>
          <w:szCs w:val="15"/>
          <w:color w:val="0000FF"/>
        </w:rPr>
        <w:t>ALPHARETTA</w:t>
      </w:r>
      <w:r>
        <w:rPr>
          <w:sz w:val="20"/>
          <w:szCs w:val="20"/>
          <w:color w:val="auto"/>
        </w:rPr>
        <w:tab/>
      </w:r>
      <w:r>
        <w:rPr>
          <w:rFonts w:ascii="Times New Roman" w:cs="Times New Roman" w:eastAsia="Times New Roman" w:hAnsi="Times New Roman"/>
          <w:sz w:val="15"/>
          <w:szCs w:val="15"/>
          <w:color w:val="0000FF"/>
        </w:rPr>
        <w:t>GA</w:t>
      </w:r>
      <w:r>
        <w:rPr>
          <w:sz w:val="20"/>
          <w:szCs w:val="20"/>
          <w:color w:val="auto"/>
        </w:rPr>
        <w:tab/>
      </w:r>
      <w:r>
        <w:rPr>
          <w:rFonts w:ascii="Times New Roman" w:cs="Times New Roman" w:eastAsia="Times New Roman" w:hAnsi="Times New Roman"/>
          <w:sz w:val="14"/>
          <w:szCs w:val="14"/>
          <w:color w:val="0000FF"/>
        </w:rPr>
        <w:t>30004</w:t>
      </w:r>
    </w:p>
    <w:p>
      <w:pPr>
        <w:spacing w:after="0" w:line="28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0" w:type="dxa"/>
            <w:vAlign w:val="bottom"/>
            <w:gridSpan w:val="2"/>
          </w:tcPr>
          <w:p>
            <w:pPr>
              <w:ind w:left="60"/>
              <w:spacing w:after="0"/>
              <w:rPr>
                <w:sz w:val="20"/>
                <w:szCs w:val="20"/>
                <w:color w:val="auto"/>
              </w:rPr>
            </w:pPr>
            <w:r>
              <w:rPr>
                <w:rFonts w:ascii="Arial" w:cs="Arial" w:eastAsia="Arial" w:hAnsi="Arial"/>
                <w:sz w:val="11"/>
                <w:szCs w:val="11"/>
                <w:color w:val="auto"/>
                <w:w w:val="86"/>
              </w:rPr>
              <w:t>2.</w:t>
            </w:r>
          </w:p>
        </w:tc>
        <w:tc>
          <w:tcPr>
            <w:tcW w:w="3660" w:type="dxa"/>
            <w:vAlign w:val="bottom"/>
            <w:gridSpan w:val="2"/>
          </w:tcPr>
          <w:p>
            <w:pPr>
              <w:ind w:left="20"/>
              <w:spacing w:after="0"/>
              <w:rPr>
                <w:sz w:val="20"/>
                <w:szCs w:val="20"/>
                <w:color w:val="auto"/>
              </w:rPr>
            </w:pPr>
            <w:r>
              <w:rPr>
                <w:rFonts w:ascii="Arial" w:cs="Arial" w:eastAsia="Arial" w:hAnsi="Arial"/>
                <w:sz w:val="11"/>
                <w:szCs w:val="11"/>
                <w:color w:val="auto"/>
              </w:rPr>
              <w:t xml:space="preserve">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3320" w:type="dxa"/>
            <w:vAlign w:val="bottom"/>
            <w:gridSpan w:val="2"/>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0" w:type="dxa"/>
            <w:vAlign w:val="bottom"/>
          </w:tcPr>
          <w:p>
            <w:pPr>
              <w:spacing w:after="0"/>
              <w:rPr>
                <w:sz w:val="1"/>
                <w:szCs w:val="1"/>
                <w:color w:val="auto"/>
              </w:rPr>
            </w:pPr>
          </w:p>
        </w:tc>
      </w:tr>
      <w:tr>
        <w:trPr>
          <w:trHeight w:val="124"/>
        </w:trPr>
        <w:tc>
          <w:tcPr>
            <w:tcW w:w="3820" w:type="dxa"/>
            <w:vAlign w:val="bottom"/>
            <w:gridSpan w:val="4"/>
          </w:tcPr>
          <w:p>
            <w:pPr>
              <w:ind w:left="60"/>
              <w:spacing w:after="0" w:line="125" w:lineRule="exact"/>
              <w:rPr>
                <w:rFonts w:ascii="Times New Roman" w:cs="Times New Roman" w:eastAsia="Times New Roman" w:hAnsi="Times New Roman"/>
                <w:sz w:val="14"/>
                <w:szCs w:val="14"/>
                <w:color w:val="0000EE"/>
              </w:rPr>
            </w:pPr>
            <w:hyperlink r:id="rId14">
              <w:r>
                <w:rPr>
                  <w:rFonts w:ascii="Times New Roman" w:cs="Times New Roman" w:eastAsia="Times New Roman" w:hAnsi="Times New Roman"/>
                  <w:sz w:val="14"/>
                  <w:szCs w:val="14"/>
                  <w:color w:val="0000EE"/>
                </w:rPr>
                <w:t xml:space="preserve">Priority Technology Holdings, Inc.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tc>
        <w:tc>
          <w:tcPr>
            <w:tcW w:w="1780" w:type="dxa"/>
            <w:vAlign w:val="bottom"/>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420" w:type="dxa"/>
            <w:vAlign w:val="bottom"/>
            <w:tcBorders>
              <w:bottom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Director</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Arial" w:cs="Arial" w:eastAsia="Arial" w:hAnsi="Arial"/>
                <w:sz w:val="11"/>
                <w:szCs w:val="11"/>
                <w:color w:val="auto"/>
              </w:rPr>
              <w:t>Officer (give title</w:t>
            </w:r>
          </w:p>
        </w:tc>
        <w:tc>
          <w:tcPr>
            <w:tcW w:w="1540" w:type="dxa"/>
            <w:vAlign w:val="bottom"/>
          </w:tcPr>
          <w:p>
            <w:pPr>
              <w:ind w:left="400"/>
              <w:spacing w:after="0"/>
              <w:rPr>
                <w:sz w:val="20"/>
                <w:szCs w:val="20"/>
                <w:color w:val="auto"/>
              </w:rPr>
            </w:pPr>
            <w:r>
              <w:rPr>
                <w:rFonts w:ascii="Arial" w:cs="Arial" w:eastAsia="Arial" w:hAnsi="Arial"/>
                <w:sz w:val="11"/>
                <w:szCs w:val="11"/>
                <w:color w:val="auto"/>
              </w:rPr>
              <w:t>Other (specify</w:t>
            </w:r>
          </w:p>
        </w:tc>
        <w:tc>
          <w:tcPr>
            <w:tcW w:w="0" w:type="dxa"/>
            <w:vAlign w:val="bottom"/>
          </w:tcPr>
          <w:p>
            <w:pPr>
              <w:spacing w:after="0"/>
              <w:rPr>
                <w:sz w:val="1"/>
                <w:szCs w:val="1"/>
                <w:color w:val="auto"/>
              </w:rPr>
            </w:pPr>
          </w:p>
        </w:tc>
      </w:tr>
      <w:tr>
        <w:trPr>
          <w:trHeight w:val="81"/>
        </w:trPr>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below)</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47"/>
        </w:trPr>
        <w:tc>
          <w:tcPr>
            <w:tcW w:w="160" w:type="dxa"/>
            <w:vAlign w:val="bottom"/>
            <w:gridSpan w:val="2"/>
            <w:vMerge w:val="restart"/>
          </w:tcPr>
          <w:p>
            <w:pPr>
              <w:ind w:left="60"/>
              <w:spacing w:after="0"/>
              <w:rPr>
                <w:sz w:val="20"/>
                <w:szCs w:val="20"/>
                <w:color w:val="auto"/>
              </w:rPr>
            </w:pPr>
            <w:r>
              <w:rPr>
                <w:rFonts w:ascii="Arial" w:cs="Arial" w:eastAsia="Arial" w:hAnsi="Arial"/>
                <w:sz w:val="11"/>
                <w:szCs w:val="11"/>
                <w:color w:val="auto"/>
                <w:w w:val="86"/>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1"/>
                <w:szCs w:val="11"/>
                <w:color w:val="auto"/>
              </w:rPr>
              <w:t>Date of Earliest Transaction (Month/Day/Year)</w:t>
            </w:r>
          </w:p>
        </w:tc>
        <w:tc>
          <w:tcPr>
            <w:tcW w:w="17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6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33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color w:val="0000FF"/>
              </w:rPr>
              <w:t>President, CEO and Chairman</w:t>
            </w:r>
          </w:p>
        </w:tc>
        <w:tc>
          <w:tcPr>
            <w:tcW w:w="0" w:type="dxa"/>
            <w:vAlign w:val="bottom"/>
          </w:tcPr>
          <w:p>
            <w:pPr>
              <w:spacing w:after="0"/>
              <w:rPr>
                <w:sz w:val="1"/>
                <w:szCs w:val="1"/>
                <w:color w:val="auto"/>
              </w:rPr>
            </w:pPr>
          </w:p>
        </w:tc>
      </w:tr>
      <w:tr>
        <w:trPr>
          <w:trHeight w:val="101"/>
        </w:trPr>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01/17/2025</w:t>
            </w:r>
          </w:p>
        </w:tc>
        <w:tc>
          <w:tcPr>
            <w:tcW w:w="124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580" w:type="dxa"/>
            <w:vAlign w:val="bottom"/>
            <w:gridSpan w:val="3"/>
            <w:vMerge w:val="continue"/>
          </w:tcPr>
          <w:p>
            <w:pPr>
              <w:spacing w:after="0"/>
              <w:rPr>
                <w:sz w:val="7"/>
                <w:szCs w:val="7"/>
                <w:color w:val="auto"/>
              </w:rPr>
            </w:pPr>
          </w:p>
        </w:tc>
        <w:tc>
          <w:tcPr>
            <w:tcW w:w="12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7"/>
        </w:trPr>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33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 w:type="dxa"/>
            <w:vAlign w:val="bottom"/>
            <w:gridSpan w:val="2"/>
          </w:tcPr>
          <w:p>
            <w:pPr>
              <w:ind w:left="60"/>
              <w:spacing w:after="0"/>
              <w:rPr>
                <w:sz w:val="20"/>
                <w:szCs w:val="20"/>
                <w:color w:val="auto"/>
              </w:rPr>
            </w:pPr>
            <w:r>
              <w:rPr>
                <w:rFonts w:ascii="Arial" w:cs="Arial" w:eastAsia="Arial" w:hAnsi="Arial"/>
                <w:sz w:val="11"/>
                <w:szCs w:val="11"/>
                <w:color w:val="auto"/>
                <w:w w:val="86"/>
              </w:rPr>
              <w:t>4.</w:t>
            </w:r>
          </w:p>
        </w:tc>
        <w:tc>
          <w:tcPr>
            <w:tcW w:w="3660" w:type="dxa"/>
            <w:vAlign w:val="bottom"/>
            <w:gridSpan w:val="2"/>
          </w:tcPr>
          <w:p>
            <w:pPr>
              <w:ind w:left="20"/>
              <w:spacing w:after="0"/>
              <w:rPr>
                <w:sz w:val="20"/>
                <w:szCs w:val="20"/>
                <w:color w:val="auto"/>
              </w:rPr>
            </w:pPr>
            <w:r>
              <w:rPr>
                <w:rFonts w:ascii="Arial" w:cs="Arial" w:eastAsia="Arial" w:hAnsi="Arial"/>
                <w:sz w:val="11"/>
                <w:szCs w:val="11"/>
                <w:color w:val="auto"/>
              </w:rPr>
              <w:t>If Amendment, Date of Original Filed (Month/Day/Year)</w:t>
            </w:r>
          </w:p>
        </w:tc>
        <w:tc>
          <w:tcPr>
            <w:tcW w:w="3320" w:type="dxa"/>
            <w:vAlign w:val="bottom"/>
            <w:gridSpan w:val="2"/>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20" w:type="dxa"/>
            <w:vAlign w:val="bottom"/>
            <w:gridSpan w:val="2"/>
          </w:tcPr>
          <w:p>
            <w:pPr>
              <w:ind w:left="600"/>
              <w:spacing w:after="0"/>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320" w:type="dxa"/>
            <w:vAlign w:val="bottom"/>
            <w:gridSpan w:val="2"/>
          </w:tcPr>
          <w:p>
            <w:pPr>
              <w:ind w:left="60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2">
            <w:col w:w="3240" w:space="600"/>
            <w:col w:w="7140"/>
          </w:cols>
          <w:pgMar w:left="460" w:top="207" w:right="45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60" w:type="dxa"/>
            <w:vAlign w:val="bottom"/>
          </w:tcPr>
          <w:p>
            <w:pPr>
              <w:spacing w:after="0"/>
              <w:rPr>
                <w:sz w:val="10"/>
                <w:szCs w:val="10"/>
                <w:color w:val="auto"/>
              </w:rPr>
            </w:pPr>
          </w:p>
        </w:tc>
        <w:tc>
          <w:tcPr>
            <w:tcW w:w="1720" w:type="dxa"/>
            <w:vAlign w:val="bottom"/>
            <w:gridSpan w:val="3"/>
          </w:tcPr>
          <w:p>
            <w:pPr>
              <w:ind w:left="800"/>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2A. Deemed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0"/>
                <w:szCs w:val="10"/>
                <w:b w:val="1"/>
                <w:bCs w:val="1"/>
                <w:color w:val="auto"/>
              </w:rPr>
              <w:t>4. Securities Acquired (A) or Disposed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5. Amount of</w:t>
            </w:r>
          </w:p>
        </w:tc>
        <w:tc>
          <w:tcPr>
            <w:tcW w:w="50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720" w:type="dxa"/>
            <w:vAlign w:val="bottom"/>
            <w:gridSpan w:val="3"/>
          </w:tcPr>
          <w:p>
            <w:pPr>
              <w:ind w:left="800"/>
              <w:spacing w:after="0" w:line="113"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Execution Date,</w:t>
            </w: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Transaction</w:t>
            </w:r>
          </w:p>
        </w:tc>
        <w:tc>
          <w:tcPr>
            <w:tcW w:w="1460" w:type="dxa"/>
            <w:vAlign w:val="bottom"/>
            <w:gridSpan w:val="3"/>
          </w:tcPr>
          <w:p>
            <w:pPr>
              <w:ind w:left="120"/>
              <w:spacing w:after="0" w:line="113" w:lineRule="exact"/>
              <w:rPr>
                <w:sz w:val="20"/>
                <w:szCs w:val="20"/>
                <w:color w:val="auto"/>
              </w:rPr>
            </w:pPr>
            <w:r>
              <w:rPr>
                <w:rFonts w:ascii="Arial" w:cs="Arial" w:eastAsia="Arial" w:hAnsi="Arial"/>
                <w:sz w:val="10"/>
                <w:szCs w:val="10"/>
                <w:b w:val="1"/>
                <w:bCs w:val="1"/>
                <w:color w:val="auto"/>
              </w:rPr>
              <w:t>Of (D) (Instr. 3, 4 and 5)</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Securities</w:t>
            </w:r>
          </w:p>
        </w:tc>
        <w:tc>
          <w:tcPr>
            <w:tcW w:w="50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Form: Direct (D)</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720" w:type="dxa"/>
            <w:vAlign w:val="bottom"/>
            <w:gridSpan w:val="3"/>
          </w:tcPr>
          <w:p>
            <w:pPr>
              <w:jc w:val="center"/>
              <w:ind w:left="664"/>
              <w:spacing w:after="0" w:line="113" w:lineRule="exact"/>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if any</w:t>
            </w:r>
          </w:p>
        </w:tc>
        <w:tc>
          <w:tcPr>
            <w:tcW w:w="5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Code (Instr.</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Beneficially Owned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or Indirect (I)</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8)</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Following Reported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59"/>
        </w:trPr>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restart"/>
          </w:tcPr>
          <w:p>
            <w:pPr>
              <w:ind w:left="40"/>
              <w:spacing w:after="0" w:line="113" w:lineRule="exact"/>
              <w:rPr>
                <w:sz w:val="20"/>
                <w:szCs w:val="20"/>
                <w:color w:val="auto"/>
              </w:rPr>
            </w:pPr>
            <w:r>
              <w:rPr>
                <w:rFonts w:ascii="Arial" w:cs="Arial" w:eastAsia="Arial" w:hAnsi="Arial"/>
                <w:sz w:val="10"/>
                <w:szCs w:val="10"/>
                <w:b w:val="1"/>
                <w:bCs w:val="1"/>
                <w:color w:val="auto"/>
              </w:rPr>
              <w:t>Transaction(s) (Instr.</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restart"/>
          </w:tcPr>
          <w:p>
            <w:pPr>
              <w:ind w:left="4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9"/>
                <w:szCs w:val="9"/>
                <w:color w:val="auto"/>
              </w:rPr>
            </w:pPr>
          </w:p>
        </w:tc>
        <w:tc>
          <w:tcPr>
            <w:tcW w:w="5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3 and 4)</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w:t>
            </w:r>
          </w:p>
        </w:tc>
        <w:tc>
          <w:tcPr>
            <w:tcW w:w="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gridSpan w:val="2"/>
          </w:tcPr>
          <w:p>
            <w:pPr>
              <w:jc w:val="center"/>
              <w:ind w:right="89"/>
              <w:spacing w:after="0"/>
              <w:rPr>
                <w:sz w:val="20"/>
                <w:szCs w:val="20"/>
                <w:color w:val="auto"/>
              </w:rPr>
            </w:pPr>
            <w:r>
              <w:rPr>
                <w:rFonts w:ascii="Times New Roman" w:cs="Times New Roman" w:eastAsia="Times New Roman" w:hAnsi="Times New Roman"/>
                <w:sz w:val="15"/>
                <w:szCs w:val="15"/>
                <w:color w:val="0000FF"/>
                <w:w w:val="96"/>
              </w:rPr>
              <w:t>01/17/2025</w:t>
            </w:r>
          </w:p>
        </w:tc>
        <w:tc>
          <w:tcPr>
            <w:tcW w:w="4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2"/>
                <w:szCs w:val="22"/>
                <w:color w:val="0000FF"/>
                <w:vertAlign w:val="subscript"/>
              </w:rPr>
              <w:t>S</w:t>
            </w:r>
            <w:r>
              <w:rPr>
                <w:rFonts w:ascii="Times New Roman" w:cs="Times New Roman" w:eastAsia="Times New Roman" w:hAnsi="Times New Roman"/>
                <w:sz w:val="9"/>
                <w:szCs w:val="9"/>
                <w:color w:val="008000"/>
              </w:rPr>
              <w:t>(1)</w:t>
            </w:r>
          </w:p>
        </w:tc>
        <w:tc>
          <w:tcPr>
            <w:tcW w:w="920" w:type="dxa"/>
            <w:vAlign w:val="bottom"/>
            <w:tcBorders>
              <w:bottom w:val="single" w:sz="8" w:color="2C2C2C"/>
            </w:tcBorders>
            <w:gridSpan w:val="2"/>
          </w:tcPr>
          <w:p>
            <w:pPr>
              <w:jc w:val="right"/>
              <w:ind w:right="149"/>
              <w:spacing w:after="0"/>
              <w:rPr>
                <w:sz w:val="20"/>
                <w:szCs w:val="20"/>
                <w:color w:val="auto"/>
              </w:rPr>
            </w:pPr>
            <w:r>
              <w:rPr>
                <w:rFonts w:ascii="Times New Roman" w:cs="Times New Roman" w:eastAsia="Times New Roman" w:hAnsi="Times New Roman"/>
                <w:sz w:val="15"/>
                <w:szCs w:val="15"/>
                <w:color w:val="0000FF"/>
              </w:rPr>
              <w:t>294,167</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rPr>
              <w:t>D</w:t>
            </w:r>
          </w:p>
        </w:tc>
        <w:tc>
          <w:tcPr>
            <w:tcW w:w="600" w:type="dxa"/>
            <w:vAlign w:val="bottom"/>
            <w:tcBorders>
              <w:bottom w:val="single" w:sz="8" w:color="2C2C2C"/>
            </w:tcBorders>
          </w:tcPr>
          <w:p>
            <w:pPr>
              <w:ind w:left="6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7.44</w:t>
            </w:r>
            <w:r>
              <w:rPr>
                <w:rFonts w:ascii="Times New Roman" w:cs="Times New Roman" w:eastAsia="Times New Roman" w:hAnsi="Times New Roman"/>
                <w:sz w:val="18"/>
                <w:szCs w:val="18"/>
                <w:color w:val="008000"/>
                <w:vertAlign w:val="superscript"/>
              </w:rPr>
              <w:t>(2)</w:t>
            </w:r>
          </w:p>
        </w:tc>
        <w:tc>
          <w:tcPr>
            <w:tcW w:w="2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5"/>
                <w:szCs w:val="15"/>
                <w:color w:val="0000FF"/>
              </w:rPr>
              <w:t>34,025,319</w:t>
            </w:r>
          </w:p>
        </w:tc>
        <w:tc>
          <w:tcPr>
            <w:tcW w:w="2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gridSpan w:val="2"/>
          </w:tcPr>
          <w:p>
            <w:pPr>
              <w:jc w:val="center"/>
              <w:ind w:right="89"/>
              <w:spacing w:after="0"/>
              <w:rPr>
                <w:sz w:val="20"/>
                <w:szCs w:val="20"/>
                <w:color w:val="auto"/>
              </w:rPr>
            </w:pPr>
            <w:r>
              <w:rPr>
                <w:rFonts w:ascii="Times New Roman" w:cs="Times New Roman" w:eastAsia="Times New Roman" w:hAnsi="Times New Roman"/>
                <w:sz w:val="15"/>
                <w:szCs w:val="15"/>
                <w:color w:val="0000FF"/>
                <w:w w:val="96"/>
              </w:rPr>
              <w:t>01/21/2025</w:t>
            </w:r>
          </w:p>
        </w:tc>
        <w:tc>
          <w:tcPr>
            <w:tcW w:w="4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2"/>
                <w:szCs w:val="22"/>
                <w:color w:val="0000FF"/>
                <w:vertAlign w:val="subscript"/>
              </w:rPr>
              <w:t>S</w:t>
            </w:r>
            <w:r>
              <w:rPr>
                <w:rFonts w:ascii="Times New Roman" w:cs="Times New Roman" w:eastAsia="Times New Roman" w:hAnsi="Times New Roman"/>
                <w:sz w:val="9"/>
                <w:szCs w:val="9"/>
                <w:color w:val="008000"/>
              </w:rPr>
              <w:t>(3)</w:t>
            </w:r>
          </w:p>
        </w:tc>
        <w:tc>
          <w:tcPr>
            <w:tcW w:w="920" w:type="dxa"/>
            <w:vAlign w:val="bottom"/>
            <w:tcBorders>
              <w:bottom w:val="single" w:sz="8" w:color="2C2C2C"/>
            </w:tcBorders>
            <w:gridSpan w:val="2"/>
          </w:tcPr>
          <w:p>
            <w:pPr>
              <w:jc w:val="right"/>
              <w:ind w:right="149"/>
              <w:spacing w:after="0"/>
              <w:rPr>
                <w:sz w:val="20"/>
                <w:szCs w:val="20"/>
                <w:color w:val="auto"/>
              </w:rPr>
            </w:pPr>
            <w:r>
              <w:rPr>
                <w:rFonts w:ascii="Times New Roman" w:cs="Times New Roman" w:eastAsia="Times New Roman" w:hAnsi="Times New Roman"/>
                <w:sz w:val="15"/>
                <w:szCs w:val="15"/>
                <w:color w:val="0000FF"/>
              </w:rPr>
              <w:t>105,833</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rPr>
              <w:t>D</w:t>
            </w:r>
          </w:p>
        </w:tc>
        <w:tc>
          <w:tcPr>
            <w:tcW w:w="600" w:type="dxa"/>
            <w:vAlign w:val="bottom"/>
            <w:tcBorders>
              <w:bottom w:val="single" w:sz="8" w:color="2C2C2C"/>
            </w:tcBorders>
          </w:tcPr>
          <w:p>
            <w:pPr>
              <w:ind w:left="6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7.44</w:t>
            </w:r>
            <w:r>
              <w:rPr>
                <w:rFonts w:ascii="Times New Roman" w:cs="Times New Roman" w:eastAsia="Times New Roman" w:hAnsi="Times New Roman"/>
                <w:sz w:val="18"/>
                <w:szCs w:val="18"/>
                <w:color w:val="008000"/>
                <w:vertAlign w:val="superscript"/>
              </w:rPr>
              <w:t>(2)</w:t>
            </w:r>
          </w:p>
        </w:tc>
        <w:tc>
          <w:tcPr>
            <w:tcW w:w="2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5"/>
                <w:szCs w:val="15"/>
                <w:color w:val="0000FF"/>
              </w:rPr>
              <w:t>33,919,486</w:t>
            </w:r>
          </w:p>
        </w:tc>
        <w:tc>
          <w:tcPr>
            <w:tcW w:w="2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0000FF"/>
              </w:rPr>
              <w:t>12,500,000</w:t>
            </w:r>
          </w:p>
        </w:tc>
        <w:tc>
          <w:tcPr>
            <w:tcW w:w="280" w:type="dxa"/>
            <w:vAlign w:val="bottom"/>
          </w:tcPr>
          <w:p>
            <w:pPr>
              <w:spacing w:after="0"/>
              <w:rPr>
                <w:sz w:val="18"/>
                <w:szCs w:val="18"/>
                <w:color w:val="auto"/>
              </w:rPr>
            </w:pPr>
          </w:p>
        </w:tc>
        <w:tc>
          <w:tcPr>
            <w:tcW w:w="620" w:type="dxa"/>
            <w:vAlign w:val="bottom"/>
            <w:vMerge w:val="restart"/>
          </w:tcPr>
          <w:p>
            <w:pPr>
              <w:jc w:val="center"/>
              <w:ind w:right="282"/>
              <w:spacing w:after="0"/>
              <w:rPr>
                <w:sz w:val="20"/>
                <w:szCs w:val="20"/>
                <w:color w:val="auto"/>
              </w:rPr>
            </w:pPr>
            <w:r>
              <w:rPr>
                <w:rFonts w:ascii="Times New Roman" w:cs="Times New Roman" w:eastAsia="Times New Roman" w:hAnsi="Times New Roman"/>
                <w:sz w:val="15"/>
                <w:szCs w:val="15"/>
                <w:color w:val="0000FF"/>
                <w:w w:val="79"/>
              </w:rPr>
              <w:t>I</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see</w:t>
            </w:r>
          </w:p>
        </w:tc>
        <w:tc>
          <w:tcPr>
            <w:tcW w:w="0" w:type="dxa"/>
            <w:vAlign w:val="bottom"/>
          </w:tcPr>
          <w:p>
            <w:pPr>
              <w:spacing w:after="0"/>
              <w:rPr>
                <w:sz w:val="1"/>
                <w:szCs w:val="1"/>
                <w:color w:val="auto"/>
              </w:rPr>
            </w:pPr>
          </w:p>
        </w:tc>
      </w:tr>
      <w:tr>
        <w:trPr>
          <w:trHeight w:val="101"/>
        </w:trPr>
        <w:tc>
          <w:tcPr>
            <w:tcW w:w="10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footnote</w:t>
            </w:r>
            <w:r>
              <w:rPr>
                <w:rFonts w:ascii="Times New Roman" w:cs="Times New Roman" w:eastAsia="Times New Roman" w:hAnsi="Times New Roman"/>
                <w:sz w:val="18"/>
                <w:szCs w:val="18"/>
                <w:color w:val="008000"/>
                <w:vertAlign w:val="superscript"/>
              </w:rPr>
              <w:t>(4)</w:t>
            </w:r>
          </w:p>
        </w:tc>
        <w:tc>
          <w:tcPr>
            <w:tcW w:w="0" w:type="dxa"/>
            <w:vAlign w:val="bottom"/>
          </w:tcPr>
          <w:p>
            <w:pPr>
              <w:spacing w:after="0"/>
              <w:rPr>
                <w:sz w:val="1"/>
                <w:szCs w:val="1"/>
                <w:color w:val="auto"/>
              </w:rPr>
            </w:pPr>
          </w:p>
        </w:tc>
      </w:tr>
      <w:tr>
        <w:trPr>
          <w:trHeight w:val="179"/>
        </w:trPr>
        <w:tc>
          <w:tcPr>
            <w:tcW w:w="10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20" w:type="dxa"/>
            <w:vAlign w:val="bottom"/>
            <w:gridSpan w:val="11"/>
          </w:tcPr>
          <w:p>
            <w:pPr>
              <w:ind w:left="120"/>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0" w:type="dxa"/>
            <w:vAlign w:val="bottom"/>
            <w:gridSpan w:val="9"/>
          </w:tcPr>
          <w:p>
            <w:pPr>
              <w:ind w:left="740"/>
              <w:spacing w:after="0"/>
              <w:rPr>
                <w:sz w:val="20"/>
                <w:szCs w:val="20"/>
                <w:color w:val="auto"/>
              </w:rPr>
            </w:pPr>
            <w:r>
              <w:rPr>
                <w:rFonts w:ascii="Arial" w:cs="Arial" w:eastAsia="Arial" w:hAnsi="Arial"/>
                <w:sz w:val="15"/>
                <w:szCs w:val="15"/>
                <w:b w:val="1"/>
                <w:bCs w:val="1"/>
                <w:color w:val="auto"/>
                <w:w w:val="97"/>
              </w:rPr>
              <w:t>(e.g., puts, calls, warrants, options, convertible securities)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8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5. Number of</w:t>
            </w:r>
          </w:p>
        </w:tc>
        <w:tc>
          <w:tcPr>
            <w:tcW w:w="1300" w:type="dxa"/>
            <w:vAlign w:val="bottom"/>
            <w:gridSpan w:val="2"/>
          </w:tcPr>
          <w:p>
            <w:pPr>
              <w:ind w:left="40"/>
              <w:spacing w:after="0"/>
              <w:rPr>
                <w:sz w:val="20"/>
                <w:szCs w:val="20"/>
                <w:color w:val="auto"/>
              </w:rPr>
            </w:pPr>
            <w:r>
              <w:rPr>
                <w:rFonts w:ascii="Arial" w:cs="Arial" w:eastAsia="Arial" w:hAnsi="Arial"/>
                <w:sz w:val="10"/>
                <w:szCs w:val="10"/>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60" w:type="dxa"/>
            <w:vAlign w:val="bottom"/>
          </w:tcPr>
          <w:p>
            <w:pPr>
              <w:ind w:left="10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3"/>
        </w:trPr>
        <w:tc>
          <w:tcPr>
            <w:tcW w:w="10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Conversion</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Date</w:t>
            </w:r>
          </w:p>
        </w:tc>
        <w:tc>
          <w:tcPr>
            <w:tcW w:w="8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Execution Date,</w:t>
            </w:r>
          </w:p>
        </w:tc>
        <w:tc>
          <w:tcPr>
            <w:tcW w:w="60" w:type="dxa"/>
            <w:vAlign w:val="bottom"/>
          </w:tcPr>
          <w:p>
            <w:pPr>
              <w:spacing w:after="0"/>
              <w:rPr>
                <w:sz w:val="9"/>
                <w:szCs w:val="9"/>
                <w:color w:val="auto"/>
              </w:rPr>
            </w:pPr>
          </w:p>
        </w:tc>
        <w:tc>
          <w:tcPr>
            <w:tcW w:w="7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Code (Instr. 8)</w:t>
            </w: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Derivative</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Expiration Date</w:t>
            </w:r>
          </w:p>
        </w:tc>
        <w:tc>
          <w:tcPr>
            <w:tcW w:w="1460" w:type="dxa"/>
            <w:vAlign w:val="bottom"/>
            <w:gridSpan w:val="4"/>
          </w:tcPr>
          <w:p>
            <w:pPr>
              <w:ind w:left="60"/>
              <w:spacing w:after="0" w:line="113" w:lineRule="exact"/>
              <w:rPr>
                <w:sz w:val="20"/>
                <w:szCs w:val="20"/>
                <w:color w:val="auto"/>
              </w:rPr>
            </w:pPr>
            <w:r>
              <w:rPr>
                <w:rFonts w:ascii="Arial" w:cs="Arial" w:eastAsia="Arial" w:hAnsi="Arial"/>
                <w:sz w:val="10"/>
                <w:szCs w:val="10"/>
                <w:b w:val="1"/>
                <w:bCs w:val="1"/>
                <w:color w:val="auto"/>
              </w:rPr>
              <w:t>Securities Underlying</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derivative</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Ownership</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Exercise</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(Month/Day/Year)</w:t>
            </w:r>
          </w:p>
        </w:tc>
        <w:tc>
          <w:tcPr>
            <w:tcW w:w="8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if any</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Securities</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1460" w:type="dxa"/>
            <w:vAlign w:val="bottom"/>
            <w:gridSpan w:val="4"/>
          </w:tcPr>
          <w:p>
            <w:pPr>
              <w:ind w:left="60"/>
              <w:spacing w:after="0" w:line="113" w:lineRule="exact"/>
              <w:rPr>
                <w:sz w:val="20"/>
                <w:szCs w:val="20"/>
                <w:color w:val="auto"/>
              </w:rPr>
            </w:pPr>
            <w:r>
              <w:rPr>
                <w:rFonts w:ascii="Arial" w:cs="Arial" w:eastAsia="Arial" w:hAnsi="Arial"/>
                <w:sz w:val="10"/>
                <w:szCs w:val="10"/>
                <w:b w:val="1"/>
                <w:bCs w:val="1"/>
                <w:color w:val="auto"/>
              </w:rPr>
              <w:t>Derivative 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6"/>
              </w:rPr>
              <w:t>Securities</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Form:</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Price of</w:t>
            </w:r>
          </w:p>
        </w:tc>
        <w:tc>
          <w:tcPr>
            <w:tcW w:w="960" w:type="dxa"/>
            <w:vAlign w:val="bottom"/>
          </w:tcPr>
          <w:p>
            <w:pPr>
              <w:spacing w:after="0"/>
              <w:rPr>
                <w:sz w:val="9"/>
                <w:szCs w:val="9"/>
                <w:color w:val="auto"/>
              </w:rPr>
            </w:pPr>
          </w:p>
        </w:tc>
        <w:tc>
          <w:tcPr>
            <w:tcW w:w="880" w:type="dxa"/>
            <w:vAlign w:val="bottom"/>
          </w:tcPr>
          <w:p>
            <w:pPr>
              <w:ind w:left="60"/>
              <w:spacing w:after="0" w:line="113" w:lineRule="exact"/>
              <w:rPr>
                <w:sz w:val="20"/>
                <w:szCs w:val="20"/>
                <w:color w:val="auto"/>
              </w:rPr>
            </w:pPr>
            <w:r>
              <w:rPr>
                <w:rFonts w:ascii="Arial" w:cs="Arial" w:eastAsia="Arial" w:hAnsi="Arial"/>
                <w:sz w:val="10"/>
                <w:szCs w:val="10"/>
                <w:b w:val="1"/>
                <w:bCs w:val="1"/>
                <w:color w:val="auto"/>
                <w:w w:val="97"/>
              </w:rPr>
              <w:t>(Month/Day/Year)</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Acquired (A) or</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and 4)</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(Instr. 5)</w:t>
            </w:r>
          </w:p>
        </w:tc>
        <w:tc>
          <w:tcPr>
            <w:tcW w:w="7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Beneficially</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Direct (D)</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Disposed of (D)</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Indirect</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(Instr. 3, 4 and</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Following</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 (Instr. 4)</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5)</w:t>
            </w: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w:t>
            </w: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Amount or</w:t>
            </w: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Expiration</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Number of</w:t>
            </w: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29"/>
              <w:spacing w:after="0"/>
              <w:rPr>
                <w:sz w:val="20"/>
                <w:szCs w:val="20"/>
                <w:color w:val="auto"/>
              </w:rPr>
            </w:pPr>
            <w:r>
              <w:rPr>
                <w:rFonts w:ascii="Arial" w:cs="Arial" w:eastAsia="Arial" w:hAnsi="Arial"/>
                <w:sz w:val="10"/>
                <w:szCs w:val="10"/>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0"/>
                <w:szCs w:val="10"/>
                <w:b w:val="1"/>
                <w:bCs w:val="1"/>
                <w:color w:val="auto"/>
              </w:rPr>
              <w:t>(A)</w:t>
            </w:r>
          </w:p>
        </w:tc>
        <w:tc>
          <w:tcPr>
            <w:tcW w:w="520" w:type="dxa"/>
            <w:vAlign w:val="bottom"/>
          </w:tcPr>
          <w:p>
            <w:pPr>
              <w:ind w:left="120"/>
              <w:spacing w:after="0"/>
              <w:rPr>
                <w:sz w:val="20"/>
                <w:szCs w:val="20"/>
                <w:color w:val="auto"/>
              </w:rPr>
            </w:pPr>
            <w:r>
              <w:rPr>
                <w:rFonts w:ascii="Arial" w:cs="Arial" w:eastAsia="Arial" w:hAnsi="Arial"/>
                <w:sz w:val="10"/>
                <w:szCs w:val="10"/>
                <w:b w:val="1"/>
                <w:bCs w:val="1"/>
                <w:color w:val="auto"/>
              </w:rPr>
              <w:t>(D)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3" w:lineRule="exact"/>
        <w:rPr>
          <w:sz w:val="24"/>
          <w:szCs w:val="24"/>
          <w:color w:val="auto"/>
        </w:rPr>
      </w:pPr>
    </w:p>
    <w:p>
      <w:pPr>
        <w:ind w:left="20" w:right="360" w:firstLine="4"/>
        <w:spacing w:after="0" w:line="274"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Shares sold on January 17, 2025, pursuant to underwritten public secondary offering as detailed in prospectus supplement filed with the SEC, dated January 15, 2025, pursuant to Rule 424(b)(5) and Registration No. 333-283519 (the Secondary Offering).</w:t>
      </w:r>
    </w:p>
    <w:p>
      <w:pPr>
        <w:spacing w:after="0" w:line="5" w:lineRule="exact"/>
        <w:rPr>
          <w:rFonts w:ascii="Times New Roman" w:cs="Times New Roman" w:eastAsia="Times New Roman" w:hAnsi="Times New Roman"/>
          <w:sz w:val="11"/>
          <w:szCs w:val="11"/>
          <w:color w:val="008000"/>
        </w:rPr>
      </w:pPr>
    </w:p>
    <w:p>
      <w:pPr>
        <w:ind w:left="140" w:hanging="116"/>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This amount represents the $7.75 secondary public offering price per share of Common Stock of the Issuer, less the underwriting discount of $0.31 per share sold in the Secondary Offering.</w:t>
      </w:r>
    </w:p>
    <w:p>
      <w:pPr>
        <w:spacing w:after="0" w:line="43" w:lineRule="exact"/>
        <w:rPr>
          <w:rFonts w:ascii="Times New Roman" w:cs="Times New Roman" w:eastAsia="Times New Roman" w:hAnsi="Times New Roman"/>
          <w:sz w:val="11"/>
          <w:szCs w:val="11"/>
          <w:color w:val="008000"/>
        </w:rPr>
      </w:pPr>
    </w:p>
    <w:p>
      <w:pPr>
        <w:ind w:left="140" w:hanging="116"/>
        <w:spacing w:after="0"/>
        <w:tabs>
          <w:tab w:leader="none" w:pos="14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Shares sold on January 21, 2025, pursuant to the underwriters exercise of an option to purchase additional shares in the Secondary Offering.</w:t>
      </w:r>
    </w:p>
    <w:p>
      <w:pPr>
        <w:spacing w:after="0" w:line="43" w:lineRule="exact"/>
        <w:rPr>
          <w:rFonts w:ascii="Times New Roman" w:cs="Times New Roman" w:eastAsia="Times New Roman" w:hAnsi="Times New Roman"/>
          <w:sz w:val="11"/>
          <w:szCs w:val="11"/>
          <w:color w:val="008000"/>
        </w:rPr>
      </w:pPr>
    </w:p>
    <w:p>
      <w:pPr>
        <w:ind w:left="20" w:right="200" w:firstLine="4"/>
        <w:spacing w:after="0" w:line="255"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172"/>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0000FF"/>
                <w:w w:val="96"/>
              </w:rPr>
              <w:t>/s/ Bradley J. Miller (Attorney-In-</w:t>
            </w:r>
          </w:p>
        </w:tc>
        <w:tc>
          <w:tcPr>
            <w:tcW w:w="2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3"/>
              </w:rPr>
              <w:t>01/22/2025</w:t>
            </w:r>
          </w:p>
        </w:tc>
        <w:tc>
          <w:tcPr>
            <w:tcW w:w="0" w:type="dxa"/>
            <w:vAlign w:val="bottom"/>
          </w:tcPr>
          <w:p>
            <w:pPr>
              <w:spacing w:after="0"/>
              <w:rPr>
                <w:sz w:val="1"/>
                <w:szCs w:val="1"/>
                <w:color w:val="auto"/>
              </w:rPr>
            </w:pPr>
          </w:p>
        </w:tc>
      </w:tr>
      <w:tr>
        <w:trPr>
          <w:trHeight w:val="75"/>
        </w:trPr>
        <w:tc>
          <w:tcPr>
            <w:tcW w:w="300" w:type="dxa"/>
            <w:vAlign w:val="bottom"/>
            <w:vMerge w:val="restart"/>
          </w:tcPr>
          <w:p>
            <w:pPr>
              <w:spacing w:after="0" w:line="161" w:lineRule="exact"/>
              <w:rPr>
                <w:sz w:val="20"/>
                <w:szCs w:val="20"/>
                <w:color w:val="auto"/>
              </w:rPr>
            </w:pPr>
            <w:r>
              <w:rPr>
                <w:rFonts w:ascii="Times New Roman" w:cs="Times New Roman" w:eastAsia="Times New Roman" w:hAnsi="Times New Roman"/>
                <w:sz w:val="15"/>
                <w:szCs w:val="15"/>
                <w:color w:val="0000FF"/>
                <w:w w:val="90"/>
              </w:rPr>
              <w:t>Fact)</w:t>
            </w:r>
          </w:p>
        </w:tc>
        <w:tc>
          <w:tcPr>
            <w:tcW w:w="1900" w:type="dxa"/>
            <w:vAlign w:val="bottom"/>
            <w:gridSpan w:val="2"/>
            <w:vMerge w:val="restart"/>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00" w:type="dxa"/>
            <w:vAlign w:val="bottom"/>
            <w:tcBorders>
              <w:bottom w:val="single" w:sz="8" w:color="auto"/>
            </w:tcBorders>
            <w:vMerge w:val="continue"/>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200" w:type="dxa"/>
            <w:vAlign w:val="bottom"/>
            <w:gridSpan w:val="3"/>
          </w:tcPr>
          <w:p>
            <w:pPr>
              <w:spacing w:after="0"/>
              <w:rPr>
                <w:sz w:val="20"/>
                <w:szCs w:val="20"/>
                <w:color w:val="auto"/>
              </w:rPr>
            </w:pPr>
            <w:r>
              <w:rPr>
                <w:rFonts w:ascii="Arial" w:cs="Arial" w:eastAsia="Arial" w:hAnsi="Arial"/>
                <w:sz w:val="11"/>
                <w:szCs w:val="11"/>
                <w:color w:val="auto"/>
              </w:rPr>
              <w:t>** Signature of Reporting Person</w:t>
            </w:r>
          </w:p>
        </w:tc>
        <w:tc>
          <w:tcPr>
            <w:tcW w:w="660" w:type="dxa"/>
            <w:vAlign w:val="bottom"/>
          </w:tcPr>
          <w:p>
            <w:pPr>
              <w:spacing w:after="0"/>
              <w:rPr>
                <w:sz w:val="20"/>
                <w:szCs w:val="20"/>
                <w:color w:val="auto"/>
              </w:rPr>
            </w:pPr>
            <w:r>
              <w:rPr>
                <w:rFonts w:ascii="Arial" w:cs="Arial" w:eastAsia="Arial" w:hAnsi="Arial"/>
                <w:sz w:val="11"/>
                <w:szCs w:val="11"/>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3"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3" w:lineRule="exact"/>
        <w:rPr>
          <w:sz w:val="24"/>
          <w:szCs w:val="24"/>
          <w:color w:val="auto"/>
        </w:rPr>
      </w:pPr>
    </w:p>
    <w:p>
      <w:pPr>
        <w:jc w:val="both"/>
        <w:ind w:left="20" w:right="4440" w:firstLine="4"/>
        <w:spacing w:after="0" w:line="321" w:lineRule="auto"/>
        <w:tabs>
          <w:tab w:leader="none" w:pos="139"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07" w:right="4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318770</wp:posOffset>
            </wp:positionV>
            <wp:extent cx="6929755" cy="993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9755" cy="993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6475"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2025-01-22T13:25:58Z</dcterms:created>
  <dcterms:modified xsi:type="dcterms:W3CDTF">2025-01-22T13:25:58Z</dcterms:modified>
</cp:coreProperties>
</file>