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April 1, 2022</w:t>
      </w:r>
    </w:p>
    <w:p>
      <w:pPr>
        <w:spacing w:after="0" w:line="3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w:t>
      </w:r>
    </w:p>
    <w:tbl>
      <w:tblPr>
        <w:tblLayout w:type="fixed"/>
        <w:tblInd w:w="2160" w:type="dxa"/>
        <w:tblCellMar>
          <w:top w:w="0" w:type="dxa"/>
          <w:left w:w="0" w:type="dxa"/>
          <w:bottom w:w="0" w:type="dxa"/>
          <w:right w:w="0" w:type="dxa"/>
        </w:tblCellMar>
      </w:tblPr>
      <w:tr>
        <w:trPr>
          <w:trHeight w:val="113"/>
        </w:trPr>
        <w:tc>
          <w:tcPr>
            <w:tcW w:w="1460" w:type="dxa"/>
            <w:vAlign w:val="bottom"/>
          </w:tcPr>
          <w:p>
            <w:pPr>
              <w:spacing w:after="0"/>
              <w:rPr>
                <w:sz w:val="9"/>
                <w:szCs w:val="9"/>
                <w:color w:val="auto"/>
              </w:rPr>
            </w:pPr>
          </w:p>
        </w:tc>
        <w:tc>
          <w:tcPr>
            <w:tcW w:w="3960" w:type="dxa"/>
            <w:vAlign w:val="bottom"/>
          </w:tcPr>
          <w:p>
            <w:pPr>
              <w:jc w:val="center"/>
              <w:ind w:left="18"/>
              <w:spacing w:after="0" w:line="114" w:lineRule="exact"/>
              <w:rPr>
                <w:sz w:val="20"/>
                <w:szCs w:val="20"/>
                <w:color w:val="auto"/>
              </w:rPr>
            </w:pPr>
            <w:r>
              <w:rPr>
                <w:rFonts w:ascii="Times New Roman" w:cs="Times New Roman" w:eastAsia="Times New Roman" w:hAnsi="Times New Roman"/>
                <w:sz w:val="13"/>
                <w:szCs w:val="13"/>
                <w:b w:val="1"/>
                <w:bCs w:val="1"/>
                <w:color w:val="auto"/>
                <w:w w:val="96"/>
              </w:rPr>
              <w:t>UNITED STATES</w:t>
            </w:r>
          </w:p>
        </w:tc>
      </w:tr>
      <w:tr>
        <w:trPr>
          <w:trHeight w:val="127"/>
        </w:trPr>
        <w:tc>
          <w:tcPr>
            <w:tcW w:w="1460" w:type="dxa"/>
            <w:vAlign w:val="bottom"/>
          </w:tcPr>
          <w:p>
            <w:pPr>
              <w:spacing w:after="0"/>
              <w:rPr>
                <w:sz w:val="11"/>
                <w:szCs w:val="11"/>
                <w:color w:val="auto"/>
              </w:rPr>
            </w:pPr>
          </w:p>
        </w:tc>
        <w:tc>
          <w:tcPr>
            <w:tcW w:w="3960" w:type="dxa"/>
            <w:vAlign w:val="bottom"/>
          </w:tcPr>
          <w:p>
            <w:pPr>
              <w:jc w:val="center"/>
              <w:ind w:left="38"/>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SECURITIES AND EXCHANGE COMMISSION</w:t>
            </w:r>
          </w:p>
        </w:tc>
      </w:tr>
      <w:tr>
        <w:trPr>
          <w:trHeight w:val="167"/>
        </w:trPr>
        <w:tc>
          <w:tcPr>
            <w:tcW w:w="1460" w:type="dxa"/>
            <w:vAlign w:val="bottom"/>
          </w:tcPr>
          <w:p>
            <w:pPr>
              <w:spacing w:after="0"/>
              <w:rPr>
                <w:sz w:val="14"/>
                <w:szCs w:val="14"/>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7"/>
              </w:rPr>
              <w:t>Washington, D.C. 20549</w:t>
            </w:r>
          </w:p>
        </w:tc>
      </w:tr>
      <w:tr>
        <w:trPr>
          <w:trHeight w:val="278"/>
        </w:trPr>
        <w:tc>
          <w:tcPr>
            <w:tcW w:w="1460" w:type="dxa"/>
            <w:vAlign w:val="bottom"/>
          </w:tcPr>
          <w:p>
            <w:pPr>
              <w:spacing w:after="0"/>
              <w:rPr>
                <w:sz w:val="24"/>
                <w:szCs w:val="24"/>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8"/>
              </w:rPr>
              <w:t>FORM S-8</w:t>
            </w:r>
          </w:p>
        </w:tc>
      </w:tr>
      <w:tr>
        <w:trPr>
          <w:trHeight w:val="127"/>
        </w:trPr>
        <w:tc>
          <w:tcPr>
            <w:tcW w:w="1460" w:type="dxa"/>
            <w:vAlign w:val="bottom"/>
          </w:tcPr>
          <w:p>
            <w:pPr>
              <w:spacing w:after="0"/>
              <w:rPr>
                <w:sz w:val="11"/>
                <w:szCs w:val="11"/>
                <w:color w:val="auto"/>
              </w:rPr>
            </w:pPr>
          </w:p>
        </w:tc>
        <w:tc>
          <w:tcPr>
            <w:tcW w:w="3960" w:type="dxa"/>
            <w:vAlign w:val="bottom"/>
          </w:tcPr>
          <w:p>
            <w:pPr>
              <w:jc w:val="center"/>
              <w:ind w:left="18"/>
              <w:spacing w:after="0" w:line="128" w:lineRule="exact"/>
              <w:rPr>
                <w:sz w:val="20"/>
                <w:szCs w:val="20"/>
                <w:color w:val="auto"/>
              </w:rPr>
            </w:pPr>
            <w:r>
              <w:rPr>
                <w:rFonts w:ascii="Times New Roman" w:cs="Times New Roman" w:eastAsia="Times New Roman" w:hAnsi="Times New Roman"/>
                <w:sz w:val="13"/>
                <w:szCs w:val="13"/>
                <w:color w:val="auto"/>
                <w:w w:val="95"/>
              </w:rPr>
              <w:t>REGISTRATION STATEMENT</w:t>
            </w:r>
          </w:p>
        </w:tc>
      </w:tr>
      <w:tr>
        <w:trPr>
          <w:trHeight w:val="165"/>
        </w:trPr>
        <w:tc>
          <w:tcPr>
            <w:tcW w:w="1460" w:type="dxa"/>
            <w:vAlign w:val="bottom"/>
          </w:tcPr>
          <w:p>
            <w:pPr>
              <w:spacing w:after="0"/>
              <w:rPr>
                <w:sz w:val="14"/>
                <w:szCs w:val="14"/>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auto"/>
                <w:w w:val="97"/>
              </w:rPr>
              <w:t>UNDER THE SECURITIES ACT OF 1933</w:t>
            </w:r>
          </w:p>
        </w:tc>
      </w:tr>
      <w:tr>
        <w:trPr>
          <w:trHeight w:val="365"/>
        </w:trPr>
        <w:tc>
          <w:tcPr>
            <w:tcW w:w="1460" w:type="dxa"/>
            <w:vAlign w:val="bottom"/>
          </w:tcPr>
          <w:p>
            <w:pPr>
              <w:spacing w:after="0"/>
              <w:rPr>
                <w:sz w:val="24"/>
                <w:szCs w:val="24"/>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7"/>
              </w:rPr>
              <w:t>Priority Technology Holdings, Inc.</w:t>
            </w:r>
          </w:p>
        </w:tc>
      </w:tr>
      <w:tr>
        <w:trPr>
          <w:trHeight w:val="147"/>
        </w:trPr>
        <w:tc>
          <w:tcPr>
            <w:tcW w:w="1460" w:type="dxa"/>
            <w:vAlign w:val="bottom"/>
          </w:tcPr>
          <w:p>
            <w:pPr>
              <w:spacing w:after="0"/>
              <w:rPr>
                <w:sz w:val="12"/>
                <w:szCs w:val="12"/>
                <w:color w:val="auto"/>
              </w:rPr>
            </w:pPr>
          </w:p>
        </w:tc>
        <w:tc>
          <w:tcPr>
            <w:tcW w:w="3960" w:type="dxa"/>
            <w:vAlign w:val="bottom"/>
          </w:tcPr>
          <w:p>
            <w:pPr>
              <w:jc w:val="center"/>
              <w:ind w:left="38"/>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345"/>
        </w:trPr>
        <w:tc>
          <w:tcPr>
            <w:tcW w:w="14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60" w:type="dxa"/>
            <w:vAlign w:val="bottom"/>
          </w:tcPr>
          <w:p>
            <w:pPr>
              <w:jc w:val="center"/>
              <w:ind w:left="1978"/>
              <w:spacing w:after="0"/>
              <w:rPr>
                <w:sz w:val="20"/>
                <w:szCs w:val="20"/>
                <w:color w:val="auto"/>
              </w:rPr>
            </w:pPr>
            <w:r>
              <w:rPr>
                <w:rFonts w:ascii="Times New Roman" w:cs="Times New Roman" w:eastAsia="Times New Roman" w:hAnsi="Times New Roman"/>
                <w:sz w:val="14"/>
                <w:szCs w:val="14"/>
                <w:b w:val="1"/>
                <w:bCs w:val="1"/>
                <w:color w:val="auto"/>
              </w:rPr>
              <w:t>47-4257046</w:t>
            </w:r>
          </w:p>
        </w:tc>
      </w:tr>
      <w:tr>
        <w:trPr>
          <w:trHeight w:val="113"/>
        </w:trPr>
        <w:tc>
          <w:tcPr>
            <w:tcW w:w="1460" w:type="dxa"/>
            <w:vAlign w:val="bottom"/>
          </w:tcPr>
          <w:p>
            <w:pPr>
              <w:jc w:val="center"/>
              <w:ind w:right="79"/>
              <w:spacing w:after="0" w:line="113"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3960" w:type="dxa"/>
            <w:vAlign w:val="bottom"/>
          </w:tcPr>
          <w:p>
            <w:pPr>
              <w:jc w:val="center"/>
              <w:ind w:left="1958"/>
              <w:spacing w:after="0" w:line="113"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1460" w:type="dxa"/>
            <w:vAlign w:val="bottom"/>
          </w:tcPr>
          <w:p>
            <w:pPr>
              <w:jc w:val="center"/>
              <w:ind w:right="39"/>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3960" w:type="dxa"/>
            <w:vAlign w:val="bottom"/>
          </w:tcPr>
          <w:p>
            <w:pPr>
              <w:jc w:val="center"/>
              <w:ind w:left="1978"/>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362"/>
        </w:trPr>
        <w:tc>
          <w:tcPr>
            <w:tcW w:w="1460" w:type="dxa"/>
            <w:vAlign w:val="bottom"/>
          </w:tcPr>
          <w:p>
            <w:pPr>
              <w:spacing w:after="0"/>
              <w:rPr>
                <w:sz w:val="24"/>
                <w:szCs w:val="24"/>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6"/>
              </w:rPr>
              <w:t>2001 Westside Parkway</w:t>
            </w:r>
          </w:p>
        </w:tc>
      </w:tr>
      <w:tr>
        <w:trPr>
          <w:trHeight w:val="127"/>
        </w:trPr>
        <w:tc>
          <w:tcPr>
            <w:tcW w:w="1460" w:type="dxa"/>
            <w:vAlign w:val="bottom"/>
          </w:tcPr>
          <w:p>
            <w:pPr>
              <w:spacing w:after="0"/>
              <w:rPr>
                <w:sz w:val="11"/>
                <w:szCs w:val="11"/>
                <w:color w:val="auto"/>
              </w:rPr>
            </w:pPr>
          </w:p>
        </w:tc>
        <w:tc>
          <w:tcPr>
            <w:tcW w:w="3960" w:type="dxa"/>
            <w:vAlign w:val="bottom"/>
          </w:tcPr>
          <w:p>
            <w:pPr>
              <w:jc w:val="center"/>
              <w:ind w:left="38"/>
              <w:spacing w:after="0" w:line="128" w:lineRule="exact"/>
              <w:rPr>
                <w:sz w:val="20"/>
                <w:szCs w:val="20"/>
                <w:color w:val="auto"/>
              </w:rPr>
            </w:pPr>
            <w:r>
              <w:rPr>
                <w:rFonts w:ascii="Times New Roman" w:cs="Times New Roman" w:eastAsia="Times New Roman" w:hAnsi="Times New Roman"/>
                <w:sz w:val="13"/>
                <w:szCs w:val="13"/>
                <w:b w:val="1"/>
                <w:bCs w:val="1"/>
                <w:color w:val="auto"/>
                <w:w w:val="98"/>
              </w:rPr>
              <w:t>Suite 155</w:t>
            </w:r>
          </w:p>
        </w:tc>
      </w:tr>
      <w:tr>
        <w:trPr>
          <w:trHeight w:val="127"/>
        </w:trPr>
        <w:tc>
          <w:tcPr>
            <w:tcW w:w="1460" w:type="dxa"/>
            <w:vAlign w:val="bottom"/>
          </w:tcPr>
          <w:p>
            <w:pPr>
              <w:spacing w:after="0"/>
              <w:rPr>
                <w:sz w:val="11"/>
                <w:szCs w:val="11"/>
                <w:color w:val="auto"/>
              </w:rPr>
            </w:pPr>
          </w:p>
        </w:tc>
        <w:tc>
          <w:tcPr>
            <w:tcW w:w="3960" w:type="dxa"/>
            <w:vAlign w:val="bottom"/>
          </w:tcPr>
          <w:p>
            <w:pPr>
              <w:jc w:val="center"/>
              <w:ind w:left="18"/>
              <w:spacing w:after="0" w:line="128" w:lineRule="exact"/>
              <w:rPr>
                <w:sz w:val="20"/>
                <w:szCs w:val="20"/>
                <w:color w:val="auto"/>
              </w:rPr>
            </w:pPr>
            <w:r>
              <w:rPr>
                <w:rFonts w:ascii="Times New Roman" w:cs="Times New Roman" w:eastAsia="Times New Roman" w:hAnsi="Times New Roman"/>
                <w:sz w:val="13"/>
                <w:szCs w:val="13"/>
                <w:b w:val="1"/>
                <w:bCs w:val="1"/>
                <w:color w:val="auto"/>
                <w:w w:val="97"/>
              </w:rPr>
              <w:t>Alpharetta, GA 30004</w:t>
            </w:r>
          </w:p>
        </w:tc>
      </w:tr>
      <w:tr>
        <w:trPr>
          <w:trHeight w:val="149"/>
        </w:trPr>
        <w:tc>
          <w:tcPr>
            <w:tcW w:w="1460" w:type="dxa"/>
            <w:vAlign w:val="bottom"/>
          </w:tcPr>
          <w:p>
            <w:pPr>
              <w:spacing w:after="0"/>
              <w:rPr>
                <w:sz w:val="12"/>
                <w:szCs w:val="12"/>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tc>
      </w:tr>
      <w:tr>
        <w:trPr>
          <w:trHeight w:val="276"/>
        </w:trPr>
        <w:tc>
          <w:tcPr>
            <w:tcW w:w="1460" w:type="dxa"/>
            <w:vAlign w:val="bottom"/>
          </w:tcPr>
          <w:p>
            <w:pPr>
              <w:spacing w:after="0"/>
              <w:rPr>
                <w:sz w:val="23"/>
                <w:szCs w:val="23"/>
                <w:color w:val="auto"/>
              </w:rPr>
            </w:pPr>
          </w:p>
        </w:tc>
        <w:tc>
          <w:tcPr>
            <w:tcW w:w="3960" w:type="dxa"/>
            <w:vAlign w:val="bottom"/>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7"/>
              </w:rPr>
              <w:t>Priority Technology Holdings, Inc. 2021 Employee Stock Purchase Plan</w:t>
            </w:r>
          </w:p>
        </w:tc>
      </w:tr>
      <w:tr>
        <w:trPr>
          <w:trHeight w:val="147"/>
        </w:trPr>
        <w:tc>
          <w:tcPr>
            <w:tcW w:w="1460" w:type="dxa"/>
            <w:vAlign w:val="bottom"/>
          </w:tcPr>
          <w:p>
            <w:pPr>
              <w:spacing w:after="0"/>
              <w:rPr>
                <w:sz w:val="12"/>
                <w:szCs w:val="12"/>
                <w:color w:val="auto"/>
              </w:rPr>
            </w:pPr>
          </w:p>
        </w:tc>
        <w:tc>
          <w:tcPr>
            <w:tcW w:w="3960" w:type="dxa"/>
            <w:vAlign w:val="bottom"/>
          </w:tcPr>
          <w:p>
            <w:pPr>
              <w:jc w:val="center"/>
              <w:ind w:left="38"/>
              <w:spacing w:after="0"/>
              <w:rPr>
                <w:sz w:val="20"/>
                <w:szCs w:val="20"/>
                <w:color w:val="auto"/>
              </w:rPr>
            </w:pPr>
            <w:r>
              <w:rPr>
                <w:rFonts w:ascii="Times New Roman" w:cs="Times New Roman" w:eastAsia="Times New Roman" w:hAnsi="Times New Roman"/>
                <w:sz w:val="11"/>
                <w:szCs w:val="11"/>
                <w:color w:val="auto"/>
              </w:rPr>
              <w:t>(Full title of the plan)</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Bradley Miller</w:t>
      </w:r>
    </w:p>
    <w:p>
      <w:pPr>
        <w:jc w:val="center"/>
        <w:spacing w:after="0" w:line="204" w:lineRule="auto"/>
        <w:rPr>
          <w:sz w:val="20"/>
          <w:szCs w:val="20"/>
          <w:color w:val="auto"/>
        </w:rPr>
      </w:pPr>
      <w:r>
        <w:rPr>
          <w:rFonts w:ascii="Times New Roman" w:cs="Times New Roman" w:eastAsia="Times New Roman" w:hAnsi="Times New Roman"/>
          <w:sz w:val="13"/>
          <w:szCs w:val="13"/>
          <w:b w:val="1"/>
          <w:bCs w:val="1"/>
          <w:color w:val="auto"/>
        </w:rPr>
        <w:t>General Counsel, Chief Risk Officer and Corporate Secretary</w:t>
      </w:r>
    </w:p>
    <w:p>
      <w:pPr>
        <w:jc w:val="center"/>
        <w:spacing w:after="0" w:line="204" w:lineRule="auto"/>
        <w:rPr>
          <w:sz w:val="20"/>
          <w:szCs w:val="20"/>
          <w:color w:val="auto"/>
        </w:rPr>
      </w:pPr>
      <w:r>
        <w:rPr>
          <w:rFonts w:ascii="Times New Roman" w:cs="Times New Roman" w:eastAsia="Times New Roman" w:hAnsi="Times New Roman"/>
          <w:sz w:val="13"/>
          <w:szCs w:val="13"/>
          <w:b w:val="1"/>
          <w:bCs w:val="1"/>
          <w:color w:val="auto"/>
        </w:rPr>
        <w:t>Priority Technology Holdings, Inc.</w:t>
      </w:r>
    </w:p>
    <w:p>
      <w:pPr>
        <w:jc w:val="center"/>
        <w:spacing w:after="0" w:line="205" w:lineRule="auto"/>
        <w:rPr>
          <w:sz w:val="20"/>
          <w:szCs w:val="20"/>
          <w:color w:val="auto"/>
        </w:rPr>
      </w:pPr>
      <w:r>
        <w:rPr>
          <w:rFonts w:ascii="Times New Roman" w:cs="Times New Roman" w:eastAsia="Times New Roman" w:hAnsi="Times New Roman"/>
          <w:sz w:val="13"/>
          <w:szCs w:val="13"/>
          <w:b w:val="1"/>
          <w:bCs w:val="1"/>
          <w:color w:val="auto"/>
        </w:rPr>
        <w:t>2001 Westside Parkway</w:t>
      </w:r>
    </w:p>
    <w:p>
      <w:pPr>
        <w:jc w:val="center"/>
        <w:spacing w:after="0" w:line="204" w:lineRule="auto"/>
        <w:rPr>
          <w:sz w:val="20"/>
          <w:szCs w:val="20"/>
          <w:color w:val="auto"/>
        </w:rPr>
      </w:pPr>
      <w:r>
        <w:rPr>
          <w:rFonts w:ascii="Times New Roman" w:cs="Times New Roman" w:eastAsia="Times New Roman" w:hAnsi="Times New Roman"/>
          <w:sz w:val="13"/>
          <w:szCs w:val="13"/>
          <w:b w:val="1"/>
          <w:bCs w:val="1"/>
          <w:color w:val="auto"/>
        </w:rPr>
        <w:t>Suite 155</w:t>
      </w:r>
    </w:p>
    <w:p>
      <w:pPr>
        <w:jc w:val="center"/>
        <w:spacing w:after="0" w:line="205" w:lineRule="auto"/>
        <w:rPr>
          <w:sz w:val="20"/>
          <w:szCs w:val="20"/>
          <w:color w:val="auto"/>
        </w:rPr>
      </w:pPr>
      <w:r>
        <w:rPr>
          <w:rFonts w:ascii="Times New Roman" w:cs="Times New Roman" w:eastAsia="Times New Roman" w:hAnsi="Times New Roman"/>
          <w:sz w:val="13"/>
          <w:szCs w:val="13"/>
          <w:b w:val="1"/>
          <w:bCs w:val="1"/>
          <w:color w:val="auto"/>
        </w:rPr>
        <w:t>Alpharetta, GA 30004</w:t>
      </w:r>
    </w:p>
    <w:p>
      <w:pPr>
        <w:jc w:val="center"/>
        <w:spacing w:after="0" w:line="190" w:lineRule="auto"/>
        <w:rPr>
          <w:sz w:val="20"/>
          <w:szCs w:val="20"/>
          <w:color w:val="auto"/>
        </w:rPr>
      </w:pPr>
      <w:r>
        <w:rPr>
          <w:rFonts w:ascii="Times New Roman" w:cs="Times New Roman" w:eastAsia="Times New Roman" w:hAnsi="Times New Roman"/>
          <w:sz w:val="13"/>
          <w:szCs w:val="13"/>
          <w:b w:val="1"/>
          <w:bCs w:val="1"/>
          <w:color w:val="auto"/>
        </w:rPr>
        <w:t>(800) 935-5961</w:t>
      </w:r>
    </w:p>
    <w:p>
      <w:pPr>
        <w:jc w:val="center"/>
        <w:spacing w:after="0"/>
        <w:rPr>
          <w:sz w:val="20"/>
          <w:szCs w:val="20"/>
          <w:color w:val="auto"/>
        </w:rPr>
      </w:pPr>
      <w:r>
        <w:rPr>
          <w:rFonts w:ascii="Times New Roman" w:cs="Times New Roman" w:eastAsia="Times New Roman" w:hAnsi="Times New Roman"/>
          <w:sz w:val="11"/>
          <w:szCs w:val="11"/>
          <w:b w:val="1"/>
          <w:bCs w:val="1"/>
          <w:color w:val="auto"/>
        </w:rPr>
        <w:t>(Name and address, including zip code, and telephone number, including area code, of agent for service)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Copy to</w:t>
      </w:r>
      <w:r>
        <w:rPr>
          <w:rFonts w:ascii="Times New Roman" w:cs="Times New Roman" w:eastAsia="Times New Roman" w:hAnsi="Times New Roman"/>
          <w:sz w:val="13"/>
          <w:szCs w:val="13"/>
          <w:b w:val="1"/>
          <w:bCs w:val="1"/>
          <w:color w:val="auto"/>
        </w:rPr>
        <w:t>:</w:t>
      </w:r>
    </w:p>
    <w:p>
      <w:pPr>
        <w:jc w:val="center"/>
        <w:spacing w:after="0" w:line="204" w:lineRule="auto"/>
        <w:rPr>
          <w:sz w:val="20"/>
          <w:szCs w:val="20"/>
          <w:color w:val="auto"/>
        </w:rPr>
      </w:pPr>
      <w:r>
        <w:rPr>
          <w:rFonts w:ascii="Times New Roman" w:cs="Times New Roman" w:eastAsia="Times New Roman" w:hAnsi="Times New Roman"/>
          <w:sz w:val="13"/>
          <w:szCs w:val="13"/>
          <w:b w:val="1"/>
          <w:bCs w:val="1"/>
          <w:color w:val="auto"/>
        </w:rPr>
        <w:t>James Stevens</w:t>
      </w:r>
    </w:p>
    <w:p>
      <w:pPr>
        <w:jc w:val="center"/>
        <w:spacing w:after="0" w:line="204" w:lineRule="auto"/>
        <w:rPr>
          <w:sz w:val="20"/>
          <w:szCs w:val="20"/>
          <w:color w:val="auto"/>
        </w:rPr>
      </w:pPr>
      <w:r>
        <w:rPr>
          <w:rFonts w:ascii="Times New Roman" w:cs="Times New Roman" w:eastAsia="Times New Roman" w:hAnsi="Times New Roman"/>
          <w:sz w:val="13"/>
          <w:szCs w:val="13"/>
          <w:b w:val="1"/>
          <w:bCs w:val="1"/>
          <w:color w:val="auto"/>
        </w:rPr>
        <w:t>Troutman Pepper Hamilton Sanders LLP</w:t>
      </w:r>
    </w:p>
    <w:p>
      <w:pPr>
        <w:jc w:val="center"/>
        <w:spacing w:after="0" w:line="205" w:lineRule="auto"/>
        <w:rPr>
          <w:sz w:val="20"/>
          <w:szCs w:val="20"/>
          <w:color w:val="auto"/>
        </w:rPr>
      </w:pPr>
      <w:r>
        <w:rPr>
          <w:rFonts w:ascii="Times New Roman" w:cs="Times New Roman" w:eastAsia="Times New Roman" w:hAnsi="Times New Roman"/>
          <w:sz w:val="13"/>
          <w:szCs w:val="13"/>
          <w:b w:val="1"/>
          <w:bCs w:val="1"/>
          <w:color w:val="auto"/>
        </w:rPr>
        <w:t>600 Peachtree Street, NE</w:t>
      </w:r>
    </w:p>
    <w:p>
      <w:pPr>
        <w:jc w:val="center"/>
        <w:spacing w:after="0" w:line="204" w:lineRule="auto"/>
        <w:rPr>
          <w:sz w:val="20"/>
          <w:szCs w:val="20"/>
          <w:color w:val="auto"/>
        </w:rPr>
      </w:pPr>
      <w:r>
        <w:rPr>
          <w:rFonts w:ascii="Times New Roman" w:cs="Times New Roman" w:eastAsia="Times New Roman" w:hAnsi="Times New Roman"/>
          <w:sz w:val="13"/>
          <w:szCs w:val="13"/>
          <w:b w:val="1"/>
          <w:bCs w:val="1"/>
          <w:color w:val="auto"/>
        </w:rPr>
        <w:t>Suite 3000</w:t>
      </w:r>
    </w:p>
    <w:p>
      <w:pPr>
        <w:jc w:val="center"/>
        <w:spacing w:after="0" w:line="205" w:lineRule="auto"/>
        <w:rPr>
          <w:sz w:val="20"/>
          <w:szCs w:val="20"/>
          <w:color w:val="auto"/>
        </w:rPr>
      </w:pPr>
      <w:r>
        <w:rPr>
          <w:rFonts w:ascii="Times New Roman" w:cs="Times New Roman" w:eastAsia="Times New Roman" w:hAnsi="Times New Roman"/>
          <w:sz w:val="13"/>
          <w:szCs w:val="13"/>
          <w:b w:val="1"/>
          <w:bCs w:val="1"/>
          <w:color w:val="auto"/>
        </w:rPr>
        <w:t>Atlanta, Georgia 30308</w:t>
      </w:r>
    </w:p>
    <w:p>
      <w:pPr>
        <w:jc w:val="center"/>
        <w:spacing w:after="0"/>
        <w:rPr>
          <w:sz w:val="20"/>
          <w:szCs w:val="20"/>
          <w:color w:val="auto"/>
        </w:rPr>
      </w:pPr>
      <w:r>
        <w:rPr>
          <w:rFonts w:ascii="Times New Roman" w:cs="Times New Roman" w:eastAsia="Times New Roman" w:hAnsi="Times New Roman"/>
          <w:sz w:val="13"/>
          <w:szCs w:val="13"/>
          <w:b w:val="1"/>
          <w:bCs w:val="1"/>
          <w:color w:val="auto"/>
        </w:rPr>
        <w:t>(404) 885-3000</w:t>
      </w:r>
    </w:p>
    <w:p>
      <w:pPr>
        <w:spacing w:after="0" w:line="187" w:lineRule="exact"/>
        <w:rPr>
          <w:sz w:val="24"/>
          <w:szCs w:val="24"/>
          <w:color w:val="auto"/>
        </w:rPr>
      </w:pPr>
    </w:p>
    <w:p>
      <w:pPr>
        <w:ind w:right="80"/>
        <w:spacing w:after="0" w:line="33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018" w:right="319" w:bottom="1440" w:gutter="0" w:footer="0" w:header="0"/>
        </w:sectPr>
      </w:pPr>
    </w:p>
    <w:p>
      <w:pPr>
        <w:spacing w:after="0" w:line="54" w:lineRule="exact"/>
        <w:rPr>
          <w:sz w:val="24"/>
          <w:szCs w:val="24"/>
          <w:color w:val="auto"/>
        </w:rPr>
      </w:pPr>
    </w:p>
    <w:p>
      <w:pPr>
        <w:ind w:left="17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62" w:lineRule="exact"/>
        <w:rPr>
          <w:sz w:val="24"/>
          <w:szCs w:val="24"/>
          <w:color w:val="auto"/>
        </w:rPr>
      </w:pPr>
    </w:p>
    <w:p>
      <w:pPr>
        <w:ind w:left="110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5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3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sectPr>
          <w:pgSz w:w="11900" w:h="16838" w:orient="portrait"/>
          <w:cols w:equalWidth="0" w:num="2">
            <w:col w:w="5400" w:space="720"/>
            <w:col w:w="5160"/>
          </w:cols>
          <w:pgMar w:left="300" w:top="1018" w:right="319" w:bottom="1440" w:gutter="0" w:footer="0" w:header="0"/>
          <w:type w:val="continuous"/>
        </w:sectPr>
      </w:pPr>
    </w:p>
    <w:p>
      <w:pPr>
        <w:ind w:right="24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80"/>
          </w:cols>
          <w:pgMar w:left="300" w:top="1018" w:right="319" w:bottom="1440" w:gutter="0" w:footer="0" w:header="0"/>
          <w:type w:val="continuous"/>
        </w:sectPr>
      </w:pPr>
    </w:p>
    <w:bookmarkStart w:id="1" w:name="page2"/>
    <w:bookmarkEnd w:id="1"/>
    <w:p>
      <w:pPr>
        <w:ind w:left="540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0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104" w:lineRule="exact"/>
        <w:rPr>
          <w:sz w:val="20"/>
          <w:szCs w:val="20"/>
          <w:color w:val="auto"/>
        </w:rPr>
      </w:pPr>
    </w:p>
    <w:p>
      <w:pPr>
        <w:jc w:val="both"/>
        <w:ind w:firstLine="255"/>
        <w:spacing w:after="0" w:line="217" w:lineRule="auto"/>
        <w:rPr>
          <w:sz w:val="20"/>
          <w:szCs w:val="20"/>
          <w:color w:val="auto"/>
        </w:rPr>
      </w:pPr>
      <w:r>
        <w:rPr>
          <w:rFonts w:ascii="Times New Roman" w:cs="Times New Roman" w:eastAsia="Times New Roman" w:hAnsi="Times New Roman"/>
          <w:sz w:val="16"/>
          <w:szCs w:val="16"/>
          <w:color w:val="auto"/>
        </w:rPr>
        <w:t>The information specified in Item 1 and Item 2 of Part I of the Registration Statement on Form S-8 (the “Registration Statement”) is omitted from this filing in accordance with the provisions of Rule 428 under the Securities Act of 1933, as amended (the “Securities Act”), and the introductory note to Part I of the Registration Statement. The documents containing the information specified in Part I will be delivered to the participants in the plan covered by this Registration Statement as required by Rule 428(b)(1).</w:t>
      </w:r>
    </w:p>
    <w:p>
      <w:pPr>
        <w:spacing w:after="0" w:line="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0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1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Incorporation of Documents by Reference.</w:t>
      </w:r>
    </w:p>
    <w:p>
      <w:pPr>
        <w:spacing w:after="0" w:line="115" w:lineRule="exact"/>
        <w:rPr>
          <w:sz w:val="20"/>
          <w:szCs w:val="20"/>
          <w:color w:val="auto"/>
        </w:rPr>
      </w:pPr>
    </w:p>
    <w:p>
      <w:pPr>
        <w:jc w:val="both"/>
        <w:ind w:firstLine="255"/>
        <w:spacing w:after="0" w:line="217" w:lineRule="auto"/>
        <w:rPr>
          <w:sz w:val="20"/>
          <w:szCs w:val="20"/>
          <w:color w:val="auto"/>
        </w:rPr>
      </w:pPr>
      <w:r>
        <w:rPr>
          <w:rFonts w:ascii="Times New Roman" w:cs="Times New Roman" w:eastAsia="Times New Roman" w:hAnsi="Times New Roman"/>
          <w:sz w:val="16"/>
          <w:szCs w:val="16"/>
          <w:color w:val="auto"/>
        </w:rPr>
        <w:t>The following documents filed with the Securities and Exchange Commission (the “Commission”) by Priority Technology Holdings, Inc. (the “Registrant” or “Company”) pursuant to the Securities Act and the Securities Exchange Act of 1934, as amended (the “Exchange Act”), are incorporated herein by reference, to the extent that such documents are considered filed with the Commission:</w:t>
      </w:r>
    </w:p>
    <w:p>
      <w:pPr>
        <w:spacing w:after="0" w:line="84" w:lineRule="exact"/>
        <w:rPr>
          <w:sz w:val="20"/>
          <w:szCs w:val="20"/>
          <w:color w:val="auto"/>
        </w:rPr>
      </w:pPr>
    </w:p>
    <w:p>
      <w:pPr>
        <w:ind w:left="600" w:hanging="340"/>
        <w:spacing w:after="0"/>
        <w:tabs>
          <w:tab w:leader="none" w:pos="6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Annual Report on Form 10-K for the fiscal year ended December 31, 2021, filed with the Commission on March 17, 2022 (File No. 001-37872).</w:t>
      </w:r>
    </w:p>
    <w:p>
      <w:pPr>
        <w:spacing w:after="0" w:line="102" w:lineRule="exact"/>
        <w:rPr>
          <w:rFonts w:ascii="Times New Roman" w:cs="Times New Roman" w:eastAsia="Times New Roman" w:hAnsi="Times New Roman"/>
          <w:sz w:val="16"/>
          <w:szCs w:val="16"/>
          <w:color w:val="auto"/>
        </w:rPr>
      </w:pPr>
    </w:p>
    <w:p>
      <w:pPr>
        <w:ind w:left="480" w:hanging="220"/>
        <w:spacing w:after="0"/>
        <w:tabs>
          <w:tab w:leader="none" w:pos="4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reports filed pursuant to Section 13(a) or 15(d) of the Exchange Act since December 31, 2021.</w:t>
      </w:r>
    </w:p>
    <w:p>
      <w:pPr>
        <w:spacing w:after="0" w:line="113" w:lineRule="exact"/>
        <w:rPr>
          <w:rFonts w:ascii="Times New Roman" w:cs="Times New Roman" w:eastAsia="Times New Roman" w:hAnsi="Times New Roman"/>
          <w:sz w:val="16"/>
          <w:szCs w:val="16"/>
          <w:color w:val="auto"/>
        </w:rPr>
      </w:pPr>
    </w:p>
    <w:p>
      <w:pPr>
        <w:ind w:firstLine="260"/>
        <w:spacing w:after="0" w:line="229" w:lineRule="auto"/>
        <w:tabs>
          <w:tab w:leader="none" w:pos="6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description of the Registrant’s common stock contained in the Registrant’s Registration Statement on Form 8-A (File No. 001-37872) filed with the Commission on September 12, 2016, pursuant to Section 12(b) of the Exchange Act, including any amendment or report filed for the purpose of updating such description.</w:t>
      </w:r>
    </w:p>
    <w:p>
      <w:pPr>
        <w:spacing w:after="0" w:line="84" w:lineRule="exact"/>
        <w:rPr>
          <w:sz w:val="20"/>
          <w:szCs w:val="20"/>
          <w:color w:val="auto"/>
        </w:rPr>
      </w:pPr>
    </w:p>
    <w:p>
      <w:pPr>
        <w:jc w:val="both"/>
        <w:ind w:firstLine="255"/>
        <w:spacing w:after="0" w:line="217" w:lineRule="auto"/>
        <w:rPr>
          <w:sz w:val="20"/>
          <w:szCs w:val="20"/>
          <w:color w:val="auto"/>
        </w:rPr>
      </w:pPr>
      <w:r>
        <w:rPr>
          <w:rFonts w:ascii="Times New Roman" w:cs="Times New Roman" w:eastAsia="Times New Roman" w:hAnsi="Times New Roman"/>
          <w:sz w:val="16"/>
          <w:szCs w:val="16"/>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Commission.</w:t>
      </w:r>
    </w:p>
    <w:p>
      <w:pPr>
        <w:spacing w:after="0" w:line="84" w:lineRule="exact"/>
        <w:rPr>
          <w:sz w:val="20"/>
          <w:szCs w:val="20"/>
          <w:color w:val="auto"/>
        </w:rPr>
      </w:pPr>
    </w:p>
    <w:p>
      <w:pPr>
        <w:jc w:val="both"/>
        <w:ind w:firstLine="255"/>
        <w:spacing w:after="0" w:line="211" w:lineRule="auto"/>
        <w:rPr>
          <w:sz w:val="20"/>
          <w:szCs w:val="20"/>
          <w:color w:val="auto"/>
        </w:rPr>
      </w:pPr>
      <w:r>
        <w:rPr>
          <w:rFonts w:ascii="Times New Roman" w:cs="Times New Roman" w:eastAsia="Times New Roman" w:hAnsi="Times New Roman"/>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96"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6"/>
          <w:szCs w:val="16"/>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Priority Technology Holdings, Inc.</w:t>
      </w:r>
    </w:p>
    <w:p>
      <w:pPr>
        <w:jc w:val="center"/>
        <w:ind w:right="-259"/>
        <w:spacing w:after="0" w:line="193" w:lineRule="auto"/>
        <w:rPr>
          <w:sz w:val="20"/>
          <w:szCs w:val="20"/>
          <w:color w:val="auto"/>
        </w:rPr>
      </w:pPr>
      <w:r>
        <w:rPr>
          <w:rFonts w:ascii="Times New Roman" w:cs="Times New Roman" w:eastAsia="Times New Roman" w:hAnsi="Times New Roman"/>
          <w:sz w:val="16"/>
          <w:szCs w:val="16"/>
          <w:color w:val="auto"/>
        </w:rPr>
        <w:t>2001 Westside Parkway</w:t>
      </w:r>
    </w:p>
    <w:p>
      <w:pPr>
        <w:jc w:val="center"/>
        <w:ind w:right="-259"/>
        <w:spacing w:after="0" w:line="194" w:lineRule="auto"/>
        <w:rPr>
          <w:sz w:val="20"/>
          <w:szCs w:val="20"/>
          <w:color w:val="auto"/>
        </w:rPr>
      </w:pPr>
      <w:r>
        <w:rPr>
          <w:rFonts w:ascii="Times New Roman" w:cs="Times New Roman" w:eastAsia="Times New Roman" w:hAnsi="Times New Roman"/>
          <w:sz w:val="16"/>
          <w:szCs w:val="16"/>
          <w:color w:val="auto"/>
        </w:rPr>
        <w:t>Suite 155</w:t>
      </w:r>
    </w:p>
    <w:p>
      <w:pPr>
        <w:jc w:val="center"/>
        <w:ind w:right="-259"/>
        <w:spacing w:after="0" w:line="194" w:lineRule="auto"/>
        <w:rPr>
          <w:sz w:val="20"/>
          <w:szCs w:val="20"/>
          <w:color w:val="auto"/>
        </w:rPr>
      </w:pPr>
      <w:r>
        <w:rPr>
          <w:rFonts w:ascii="Times New Roman" w:cs="Times New Roman" w:eastAsia="Times New Roman" w:hAnsi="Times New Roman"/>
          <w:sz w:val="16"/>
          <w:szCs w:val="16"/>
          <w:color w:val="auto"/>
        </w:rPr>
        <w:t>Alpharetta, GA 30004</w:t>
      </w:r>
    </w:p>
    <w:p>
      <w:pPr>
        <w:jc w:val="center"/>
        <w:ind w:right="-259"/>
        <w:spacing w:after="0"/>
        <w:rPr>
          <w:sz w:val="20"/>
          <w:szCs w:val="20"/>
          <w:color w:val="auto"/>
        </w:rPr>
      </w:pPr>
      <w:r>
        <w:rPr>
          <w:rFonts w:ascii="Times New Roman" w:cs="Times New Roman" w:eastAsia="Times New Roman" w:hAnsi="Times New Roman"/>
          <w:sz w:val="16"/>
          <w:szCs w:val="16"/>
          <w:color w:val="auto"/>
        </w:rPr>
        <w:t>(800) 935-5961</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Description of Securities.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Interests of Named Experts and Counsel.</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01" w:right="31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51" w:lineRule="exact"/>
        <w:rPr>
          <w:sz w:val="20"/>
          <w:szCs w:val="20"/>
          <w:color w:val="auto"/>
        </w:rPr>
      </w:pPr>
    </w:p>
    <w:p>
      <w:pPr>
        <w:jc w:val="both"/>
        <w:ind w:firstLine="255"/>
        <w:spacing w:after="0" w:line="229" w:lineRule="auto"/>
        <w:rPr>
          <w:sz w:val="20"/>
          <w:szCs w:val="20"/>
          <w:color w:val="auto"/>
        </w:rPr>
      </w:pPr>
      <w:r>
        <w:rPr>
          <w:rFonts w:ascii="Times New Roman" w:cs="Times New Roman" w:eastAsia="Times New Roman" w:hAnsi="Times New Roman"/>
          <w:sz w:val="16"/>
          <w:szCs w:val="16"/>
          <w:color w:val="auto"/>
        </w:rPr>
        <w:t>The following summary is qualified in its entirety by reference to the complete Delaware General Corporation Law (“DGCL”), the Registrant’s Second Amended and Restated Certificate of Incorporation, as amended (“Certificate of Incorporation”), and the Registrant’s Amended and Restated Bylaws (“Bylaws”).</w:t>
      </w:r>
    </w:p>
    <w:p>
      <w:pPr>
        <w:spacing w:after="0" w:line="31" w:lineRule="exact"/>
        <w:rPr>
          <w:sz w:val="20"/>
          <w:szCs w:val="20"/>
          <w:color w:val="auto"/>
        </w:rPr>
      </w:pPr>
    </w:p>
    <w:p>
      <w:pPr>
        <w:jc w:val="both"/>
        <w:ind w:firstLine="255"/>
        <w:spacing w:after="0" w:line="237" w:lineRule="auto"/>
        <w:rPr>
          <w:sz w:val="20"/>
          <w:szCs w:val="20"/>
          <w:color w:val="auto"/>
        </w:rPr>
      </w:pPr>
      <w:r>
        <w:rPr>
          <w:rFonts w:ascii="Times New Roman" w:cs="Times New Roman" w:eastAsia="Times New Roman" w:hAnsi="Times New Roman"/>
          <w:sz w:val="14"/>
          <w:szCs w:val="14"/>
          <w:color w:val="auto"/>
        </w:rPr>
        <w:t>Section 145 of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Certificate of Incorporation and Bylaws provide for indemnification by the registrant of its directors and officers to the fullest extent permitted by the DGCL.</w:t>
      </w:r>
    </w:p>
    <w:p>
      <w:pPr>
        <w:spacing w:after="0" w:line="33" w:lineRule="exact"/>
        <w:rPr>
          <w:sz w:val="20"/>
          <w:szCs w:val="20"/>
          <w:color w:val="auto"/>
        </w:rPr>
      </w:pPr>
    </w:p>
    <w:p>
      <w:pPr>
        <w:jc w:val="both"/>
        <w:ind w:firstLine="255"/>
        <w:spacing w:after="0" w:line="207" w:lineRule="auto"/>
        <w:rPr>
          <w:sz w:val="20"/>
          <w:szCs w:val="20"/>
          <w:color w:val="auto"/>
        </w:rPr>
      </w:pPr>
      <w:r>
        <w:rPr>
          <w:rFonts w:ascii="Times New Roman" w:cs="Times New Roman" w:eastAsia="Times New Roman" w:hAnsi="Times New Roman"/>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spacing w:after="0" w:line="34" w:lineRule="exact"/>
        <w:rPr>
          <w:sz w:val="20"/>
          <w:szCs w:val="20"/>
          <w:color w:val="auto"/>
        </w:rPr>
      </w:pPr>
    </w:p>
    <w:p>
      <w:pPr>
        <w:jc w:val="both"/>
        <w:ind w:firstLine="255"/>
        <w:spacing w:after="0" w:line="232" w:lineRule="auto"/>
        <w:rPr>
          <w:sz w:val="20"/>
          <w:szCs w:val="20"/>
          <w:color w:val="auto"/>
        </w:rPr>
      </w:pPr>
      <w:r>
        <w:rPr>
          <w:rFonts w:ascii="Times New Roman" w:cs="Times New Roman" w:eastAsia="Times New Roman" w:hAnsi="Times New Roman"/>
          <w:sz w:val="14"/>
          <w:szCs w:val="14"/>
          <w:color w:val="auto"/>
        </w:rPr>
        <w:t>The Registrant’s Certificate of Incorporation permits the Company to purchase and maintain insurance on behalf of any person who is or was a director, officer, employee or agent of the Company, or is serving at the request of the Company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law. In addition, the Registrant’s Certificate of Incorporation permits the Company to create a trust fund, grant a security interest and/or use other means (including, without limitation, letters of credit, surety bonds and/or other similar arrangements), as well as enter into contracts providing indemnification to the full extent authorized or permitted by the DGCL and including as part thereof provisions with respect to any or all of the foregoing to ensure the payment of such amounts as may become necessary to effect indemnification as provided therein, or elsewhere.</w:t>
      </w:r>
    </w:p>
    <w:p>
      <w:pPr>
        <w:spacing w:after="0" w:line="3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Exemption From Registration Claimed.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Not applicable.</w:t>
      </w:r>
    </w:p>
    <w:p>
      <w:pPr>
        <w:spacing w:after="0" w:line="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92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1"/>
        </w:trPr>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39"/>
        </w:trPr>
        <w:tc>
          <w:tcPr>
            <w:tcW w:w="1200" w:type="dxa"/>
            <w:vAlign w:val="bottom"/>
            <w:tcBorders>
              <w:top w:val="single" w:sz="8" w:color="auto"/>
            </w:tcBorders>
            <w:shd w:val="clear" w:color="auto" w:fill="CCEEFF"/>
          </w:tcPr>
          <w:p>
            <w:pPr>
              <w:ind w:left="60"/>
              <w:spacing w:after="0" w:line="139" w:lineRule="exact"/>
              <w:rPr>
                <w:rFonts w:ascii="Times New Roman" w:cs="Times New Roman" w:eastAsia="Times New Roman" w:hAnsi="Times New Roman"/>
                <w:sz w:val="16"/>
                <w:szCs w:val="16"/>
                <w:color w:val="0000FF"/>
              </w:rPr>
            </w:pPr>
            <w:hyperlink r:id="rId8">
              <w:r>
                <w:rPr>
                  <w:rFonts w:ascii="Times New Roman" w:cs="Times New Roman" w:eastAsia="Times New Roman" w:hAnsi="Times New Roman"/>
                  <w:sz w:val="16"/>
                  <w:szCs w:val="16"/>
                  <w:color w:val="0000FF"/>
                </w:rPr>
                <w:t>4.1</w:t>
              </w:r>
            </w:hyperlink>
          </w:p>
        </w:tc>
        <w:tc>
          <w:tcPr>
            <w:tcW w:w="100" w:type="dxa"/>
            <w:vAlign w:val="bottom"/>
            <w:tcBorders>
              <w:top w:val="single" w:sz="8" w:color="CCEEFF"/>
            </w:tcBorders>
            <w:shd w:val="clear" w:color="auto" w:fill="CCEEFF"/>
          </w:tcPr>
          <w:p>
            <w:pPr>
              <w:spacing w:after="0"/>
              <w:rPr>
                <w:sz w:val="12"/>
                <w:szCs w:val="12"/>
                <w:color w:val="auto"/>
              </w:rPr>
            </w:pPr>
          </w:p>
        </w:tc>
        <w:tc>
          <w:tcPr>
            <w:tcW w:w="9260" w:type="dxa"/>
            <w:vAlign w:val="bottom"/>
            <w:tcBorders>
              <w:top w:val="single" w:sz="8" w:color="auto"/>
            </w:tcBorders>
            <w:shd w:val="clear" w:color="auto" w:fill="CCEEFF"/>
          </w:tcPr>
          <w:p>
            <w:pPr>
              <w:ind w:left="60"/>
              <w:spacing w:after="0" w:line="139" w:lineRule="exact"/>
              <w:rPr>
                <w:rFonts w:ascii="Times New Roman" w:cs="Times New Roman" w:eastAsia="Times New Roman" w:hAnsi="Times New Roman"/>
                <w:sz w:val="16"/>
                <w:szCs w:val="16"/>
                <w:color w:val="0000FF"/>
                <w:w w:val="99"/>
              </w:rPr>
            </w:pPr>
            <w:hyperlink r:id="rId8">
              <w:r>
                <w:rPr>
                  <w:rFonts w:ascii="Times New Roman" w:cs="Times New Roman" w:eastAsia="Times New Roman" w:hAnsi="Times New Roman"/>
                  <w:sz w:val="16"/>
                  <w:szCs w:val="16"/>
                  <w:color w:val="0000FF"/>
                  <w:w w:val="99"/>
                </w:rPr>
                <w:t>Second Amended and Restated Certificate of Incorporation of the Company (incorporated by reference to Exhibit 3.1 to the Company’s Current</w:t>
              </w:r>
            </w:hyperlink>
          </w:p>
        </w:tc>
      </w:tr>
      <w:tr>
        <w:trPr>
          <w:trHeight w:val="191"/>
        </w:trPr>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60" w:type="dxa"/>
            <w:vAlign w:val="bottom"/>
            <w:shd w:val="clear" w:color="auto" w:fill="CCEEFF"/>
          </w:tcPr>
          <w:p>
            <w:pPr>
              <w:ind w:left="60"/>
              <w:spacing w:after="0"/>
              <w:rPr>
                <w:rFonts w:ascii="Times New Roman" w:cs="Times New Roman" w:eastAsia="Times New Roman" w:hAnsi="Times New Roman"/>
                <w:sz w:val="16"/>
                <w:szCs w:val="16"/>
                <w:color w:val="0000FF"/>
              </w:rPr>
            </w:pPr>
            <w:hyperlink r:id="rId8">
              <w:r>
                <w:rPr>
                  <w:rFonts w:ascii="Times New Roman" w:cs="Times New Roman" w:eastAsia="Times New Roman" w:hAnsi="Times New Roman"/>
                  <w:sz w:val="16"/>
                  <w:szCs w:val="16"/>
                  <w:color w:val="0000FF"/>
                </w:rPr>
                <w:t>Report on Form 8-K, filed July 31, 2018).</w:t>
              </w:r>
            </w:hyperlink>
          </w:p>
        </w:tc>
      </w:tr>
      <w:tr>
        <w:trPr>
          <w:trHeight w:val="149"/>
        </w:trPr>
        <w:tc>
          <w:tcPr>
            <w:tcW w:w="1200" w:type="dxa"/>
            <w:vAlign w:val="bottom"/>
          </w:tcPr>
          <w:p>
            <w:pPr>
              <w:ind w:left="60"/>
              <w:spacing w:after="0" w:line="148" w:lineRule="exact"/>
              <w:rPr>
                <w:rFonts w:ascii="Times New Roman" w:cs="Times New Roman" w:eastAsia="Times New Roman" w:hAnsi="Times New Roman"/>
                <w:sz w:val="16"/>
                <w:szCs w:val="16"/>
                <w:color w:val="0000FF"/>
              </w:rPr>
            </w:pPr>
            <w:hyperlink r:id="rId9">
              <w:r>
                <w:rPr>
                  <w:rFonts w:ascii="Times New Roman" w:cs="Times New Roman" w:eastAsia="Times New Roman" w:hAnsi="Times New Roman"/>
                  <w:sz w:val="16"/>
                  <w:szCs w:val="16"/>
                  <w:color w:val="0000FF"/>
                </w:rPr>
                <w:t>4.2</w:t>
              </w:r>
            </w:hyperlink>
          </w:p>
        </w:tc>
        <w:tc>
          <w:tcPr>
            <w:tcW w:w="100" w:type="dxa"/>
            <w:vAlign w:val="bottom"/>
          </w:tcPr>
          <w:p>
            <w:pPr>
              <w:spacing w:after="0"/>
              <w:rPr>
                <w:sz w:val="12"/>
                <w:szCs w:val="12"/>
                <w:color w:val="auto"/>
              </w:rPr>
            </w:pPr>
          </w:p>
        </w:tc>
        <w:tc>
          <w:tcPr>
            <w:tcW w:w="9260" w:type="dxa"/>
            <w:vAlign w:val="bottom"/>
          </w:tcPr>
          <w:p>
            <w:pPr>
              <w:ind w:left="60"/>
              <w:spacing w:after="0" w:line="148" w:lineRule="exact"/>
              <w:rPr>
                <w:rFonts w:ascii="Times New Roman" w:cs="Times New Roman" w:eastAsia="Times New Roman" w:hAnsi="Times New Roman"/>
                <w:sz w:val="16"/>
                <w:szCs w:val="16"/>
                <w:color w:val="0000FF"/>
                <w:w w:val="98"/>
              </w:rPr>
            </w:pPr>
            <w:hyperlink r:id="rId9">
              <w:r>
                <w:rPr>
                  <w:rFonts w:ascii="Times New Roman" w:cs="Times New Roman" w:eastAsia="Times New Roman" w:hAnsi="Times New Roman"/>
                  <w:sz w:val="16"/>
                  <w:szCs w:val="16"/>
                  <w:color w:val="0000FF"/>
                  <w:w w:val="98"/>
                </w:rPr>
                <w:t>Certificate of Amendment to the Certificate of Incorporation of the Company (incorporated by reference to Exhibit 2.3 to the Company’s Annual</w:t>
              </w:r>
            </w:hyperlink>
          </w:p>
        </w:tc>
      </w:tr>
      <w:tr>
        <w:trPr>
          <w:trHeight w:val="191"/>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60" w:type="dxa"/>
            <w:vAlign w:val="bottom"/>
          </w:tcPr>
          <w:p>
            <w:pPr>
              <w:ind w:left="60"/>
              <w:spacing w:after="0"/>
              <w:rPr>
                <w:rFonts w:ascii="Times New Roman" w:cs="Times New Roman" w:eastAsia="Times New Roman" w:hAnsi="Times New Roman"/>
                <w:sz w:val="16"/>
                <w:szCs w:val="16"/>
                <w:color w:val="0000FF"/>
              </w:rPr>
            </w:pPr>
            <w:hyperlink r:id="rId9">
              <w:r>
                <w:rPr>
                  <w:rFonts w:ascii="Times New Roman" w:cs="Times New Roman" w:eastAsia="Times New Roman" w:hAnsi="Times New Roman"/>
                  <w:sz w:val="16"/>
                  <w:szCs w:val="16"/>
                  <w:color w:val="0000FF"/>
                </w:rPr>
                <w:t>Report on Form 10-K, filed March 17, 2022).</w:t>
              </w:r>
            </w:hyperlink>
          </w:p>
        </w:tc>
      </w:tr>
      <w:tr>
        <w:trPr>
          <w:trHeight w:val="149"/>
        </w:trPr>
        <w:tc>
          <w:tcPr>
            <w:tcW w:w="1200" w:type="dxa"/>
            <w:vAlign w:val="bottom"/>
            <w:shd w:val="clear" w:color="auto" w:fill="CCEEFF"/>
          </w:tcPr>
          <w:p>
            <w:pPr>
              <w:ind w:left="60"/>
              <w:spacing w:after="0" w:line="148" w:lineRule="exact"/>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4.3</w:t>
              </w:r>
            </w:hyperlink>
          </w:p>
        </w:tc>
        <w:tc>
          <w:tcPr>
            <w:tcW w:w="100" w:type="dxa"/>
            <w:vAlign w:val="bottom"/>
            <w:shd w:val="clear" w:color="auto" w:fill="CCEEFF"/>
          </w:tcPr>
          <w:p>
            <w:pPr>
              <w:spacing w:after="0"/>
              <w:rPr>
                <w:sz w:val="12"/>
                <w:szCs w:val="12"/>
                <w:color w:val="auto"/>
              </w:rPr>
            </w:pPr>
          </w:p>
        </w:tc>
        <w:tc>
          <w:tcPr>
            <w:tcW w:w="9260" w:type="dxa"/>
            <w:vAlign w:val="bottom"/>
            <w:shd w:val="clear" w:color="auto" w:fill="CCEEFF"/>
          </w:tcPr>
          <w:p>
            <w:pPr>
              <w:ind w:left="60"/>
              <w:spacing w:after="0" w:line="148" w:lineRule="exact"/>
              <w:rPr>
                <w:rFonts w:ascii="Times New Roman" w:cs="Times New Roman" w:eastAsia="Times New Roman" w:hAnsi="Times New Roman"/>
                <w:sz w:val="16"/>
                <w:szCs w:val="16"/>
                <w:color w:val="0000FF"/>
                <w:w w:val="99"/>
              </w:rPr>
            </w:pPr>
            <w:hyperlink r:id="rId10">
              <w:r>
                <w:rPr>
                  <w:rFonts w:ascii="Times New Roman" w:cs="Times New Roman" w:eastAsia="Times New Roman" w:hAnsi="Times New Roman"/>
                  <w:sz w:val="16"/>
                  <w:szCs w:val="16"/>
                  <w:color w:val="0000FF"/>
                  <w:w w:val="99"/>
                </w:rPr>
                <w:t>Certificate of Designations of Senior Preferred Stock (incorporated by reference to Exhibit 3.3 to the Company’s Annual Report on Form 10-K,</w:t>
              </w:r>
            </w:hyperlink>
          </w:p>
        </w:tc>
      </w:tr>
      <w:tr>
        <w:trPr>
          <w:trHeight w:val="191"/>
        </w:trPr>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60" w:type="dxa"/>
            <w:vAlign w:val="bottom"/>
            <w:shd w:val="clear" w:color="auto" w:fill="CCEEFF"/>
          </w:tcPr>
          <w:p>
            <w:pPr>
              <w:ind w:left="60"/>
              <w:spacing w:after="0"/>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filed March 17, 2022).</w:t>
              </w:r>
            </w:hyperlink>
          </w:p>
        </w:tc>
      </w:tr>
      <w:tr>
        <w:trPr>
          <w:trHeight w:val="191"/>
        </w:trPr>
        <w:tc>
          <w:tcPr>
            <w:tcW w:w="1200" w:type="dxa"/>
            <w:vAlign w:val="bottom"/>
          </w:tcPr>
          <w:p>
            <w:pPr>
              <w:ind w:left="60"/>
              <w:spacing w:after="0"/>
              <w:rPr>
                <w:rFonts w:ascii="Times New Roman" w:cs="Times New Roman" w:eastAsia="Times New Roman" w:hAnsi="Times New Roman"/>
                <w:sz w:val="16"/>
                <w:szCs w:val="16"/>
                <w:color w:val="0000FF"/>
              </w:rPr>
            </w:pPr>
            <w:hyperlink r:id="rId11">
              <w:r>
                <w:rPr>
                  <w:rFonts w:ascii="Times New Roman" w:cs="Times New Roman" w:eastAsia="Times New Roman" w:hAnsi="Times New Roman"/>
                  <w:sz w:val="16"/>
                  <w:szCs w:val="16"/>
                  <w:color w:val="0000FF"/>
                </w:rPr>
                <w:t>4.4</w:t>
              </w:r>
            </w:hyperlink>
          </w:p>
        </w:tc>
        <w:tc>
          <w:tcPr>
            <w:tcW w:w="100" w:type="dxa"/>
            <w:vAlign w:val="bottom"/>
          </w:tcPr>
          <w:p>
            <w:pPr>
              <w:spacing w:after="0"/>
              <w:rPr>
                <w:sz w:val="16"/>
                <w:szCs w:val="16"/>
                <w:color w:val="auto"/>
              </w:rPr>
            </w:pPr>
          </w:p>
        </w:tc>
        <w:tc>
          <w:tcPr>
            <w:tcW w:w="9260" w:type="dxa"/>
            <w:vAlign w:val="bottom"/>
          </w:tcPr>
          <w:p>
            <w:pPr>
              <w:ind w:left="60"/>
              <w:spacing w:after="0"/>
              <w:rPr>
                <w:rFonts w:ascii="Times New Roman" w:cs="Times New Roman" w:eastAsia="Times New Roman" w:hAnsi="Times New Roman"/>
                <w:sz w:val="16"/>
                <w:szCs w:val="16"/>
                <w:color w:val="0000FF"/>
              </w:rPr>
            </w:pPr>
            <w:hyperlink r:id="rId11">
              <w:r>
                <w:rPr>
                  <w:rFonts w:ascii="Times New Roman" w:cs="Times New Roman" w:eastAsia="Times New Roman" w:hAnsi="Times New Roman"/>
                  <w:sz w:val="16"/>
                  <w:szCs w:val="16"/>
                  <w:color w:val="0000FF"/>
                </w:rPr>
                <w:t>Specimen Common Stock Certificate (incorporated by reference to Exhibit 4.2 to the Registration Statement on Form S-1, filed July 26, 2016).</w:t>
              </w:r>
            </w:hyperlink>
          </w:p>
        </w:tc>
      </w:tr>
      <w:tr>
        <w:trPr>
          <w:trHeight w:val="149"/>
        </w:trPr>
        <w:tc>
          <w:tcPr>
            <w:tcW w:w="1200" w:type="dxa"/>
            <w:vAlign w:val="bottom"/>
            <w:shd w:val="clear" w:color="auto" w:fill="CCEEFF"/>
          </w:tcPr>
          <w:p>
            <w:pPr>
              <w:ind w:left="60"/>
              <w:spacing w:after="0" w:line="148" w:lineRule="exact"/>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4.5</w:t>
              </w:r>
            </w:hyperlink>
          </w:p>
        </w:tc>
        <w:tc>
          <w:tcPr>
            <w:tcW w:w="100" w:type="dxa"/>
            <w:vAlign w:val="bottom"/>
            <w:shd w:val="clear" w:color="auto" w:fill="CCEEFF"/>
          </w:tcPr>
          <w:p>
            <w:pPr>
              <w:spacing w:after="0"/>
              <w:rPr>
                <w:sz w:val="12"/>
                <w:szCs w:val="12"/>
                <w:color w:val="auto"/>
              </w:rPr>
            </w:pPr>
          </w:p>
        </w:tc>
        <w:tc>
          <w:tcPr>
            <w:tcW w:w="9260" w:type="dxa"/>
            <w:vAlign w:val="bottom"/>
            <w:shd w:val="clear" w:color="auto" w:fill="CCEEFF"/>
          </w:tcPr>
          <w:p>
            <w:pPr>
              <w:ind w:left="60"/>
              <w:spacing w:after="0" w:line="148" w:lineRule="exact"/>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Amended and Restated Bylaws of the Company (incorporated by reference to Exhibit 3.2 to the Company’s Current Report on Form 8-K, filed</w:t>
              </w:r>
            </w:hyperlink>
          </w:p>
        </w:tc>
      </w:tr>
      <w:tr>
        <w:trPr>
          <w:trHeight w:val="191"/>
        </w:trPr>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60" w:type="dxa"/>
            <w:vAlign w:val="bottom"/>
            <w:shd w:val="clear" w:color="auto" w:fill="CCEEFF"/>
          </w:tcPr>
          <w:p>
            <w:pPr>
              <w:ind w:left="60"/>
              <w:spacing w:after="0"/>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July 31, 2018).</w:t>
              </w:r>
            </w:hyperlink>
          </w:p>
        </w:tc>
      </w:tr>
      <w:tr>
        <w:trPr>
          <w:trHeight w:val="191"/>
        </w:trPr>
        <w:tc>
          <w:tcPr>
            <w:tcW w:w="1200" w:type="dxa"/>
            <w:vAlign w:val="bottom"/>
          </w:tcPr>
          <w:p>
            <w:pPr>
              <w:ind w:left="60"/>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5.1</w:t>
              </w:r>
            </w:hyperlink>
            <w:r>
              <w:rPr>
                <w:rFonts w:ascii="Times New Roman" w:cs="Times New Roman" w:eastAsia="Times New Roman" w:hAnsi="Times New Roman"/>
                <w:sz w:val="16"/>
                <w:szCs w:val="16"/>
                <w:color w:val="000000"/>
              </w:rPr>
              <w:t>*</w:t>
            </w:r>
          </w:p>
        </w:tc>
        <w:tc>
          <w:tcPr>
            <w:tcW w:w="100" w:type="dxa"/>
            <w:vAlign w:val="bottom"/>
          </w:tcPr>
          <w:p>
            <w:pPr>
              <w:spacing w:after="0"/>
              <w:rPr>
                <w:sz w:val="16"/>
                <w:szCs w:val="16"/>
                <w:color w:val="auto"/>
              </w:rPr>
            </w:pPr>
          </w:p>
        </w:tc>
        <w:tc>
          <w:tcPr>
            <w:tcW w:w="9260" w:type="dxa"/>
            <w:vAlign w:val="bottom"/>
          </w:tcPr>
          <w:p>
            <w:pPr>
              <w:ind w:left="60"/>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Opinion of Troutman Pepper Hamilton Sanders LLP</w:t>
              </w:r>
            </w:hyperlink>
          </w:p>
        </w:tc>
      </w:tr>
      <w:tr>
        <w:trPr>
          <w:trHeight w:val="149"/>
        </w:trPr>
        <w:tc>
          <w:tcPr>
            <w:tcW w:w="1200" w:type="dxa"/>
            <w:vAlign w:val="bottom"/>
            <w:shd w:val="clear" w:color="auto" w:fill="CCEEFF"/>
          </w:tcPr>
          <w:p>
            <w:pPr>
              <w:ind w:left="60"/>
              <w:spacing w:after="0" w:line="148" w:lineRule="exact"/>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10.1</w:t>
              </w:r>
            </w:hyperlink>
          </w:p>
        </w:tc>
        <w:tc>
          <w:tcPr>
            <w:tcW w:w="100" w:type="dxa"/>
            <w:vAlign w:val="bottom"/>
            <w:shd w:val="clear" w:color="auto" w:fill="CCEEFF"/>
          </w:tcPr>
          <w:p>
            <w:pPr>
              <w:spacing w:after="0"/>
              <w:rPr>
                <w:sz w:val="12"/>
                <w:szCs w:val="12"/>
                <w:color w:val="auto"/>
              </w:rPr>
            </w:pPr>
          </w:p>
        </w:tc>
        <w:tc>
          <w:tcPr>
            <w:tcW w:w="9260" w:type="dxa"/>
            <w:vAlign w:val="bottom"/>
            <w:shd w:val="clear" w:color="auto" w:fill="CCEEFF"/>
          </w:tcPr>
          <w:p>
            <w:pPr>
              <w:ind w:left="60"/>
              <w:spacing w:after="0" w:line="148" w:lineRule="exact"/>
              <w:rPr>
                <w:rFonts w:ascii="Times New Roman" w:cs="Times New Roman" w:eastAsia="Times New Roman" w:hAnsi="Times New Roman"/>
                <w:sz w:val="16"/>
                <w:szCs w:val="16"/>
                <w:color w:val="0000FF"/>
                <w:w w:val="99"/>
              </w:rPr>
            </w:pPr>
            <w:hyperlink r:id="rId13">
              <w:r>
                <w:rPr>
                  <w:rFonts w:ascii="Times New Roman" w:cs="Times New Roman" w:eastAsia="Times New Roman" w:hAnsi="Times New Roman"/>
                  <w:sz w:val="16"/>
                  <w:szCs w:val="16"/>
                  <w:color w:val="0000FF"/>
                  <w:w w:val="99"/>
                </w:rPr>
                <w:t>Priority Technology Holdings, Inc. 2021 Employee Stock Purchase Plan (incorporated by reference to Exhibit 10.3.1 to the Company’s Annual</w:t>
              </w:r>
            </w:hyperlink>
          </w:p>
        </w:tc>
      </w:tr>
      <w:tr>
        <w:trPr>
          <w:trHeight w:val="191"/>
        </w:trPr>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60" w:type="dxa"/>
            <w:vAlign w:val="bottom"/>
            <w:shd w:val="clear" w:color="auto" w:fill="CCEEFF"/>
          </w:tcPr>
          <w:p>
            <w:pPr>
              <w:ind w:left="60"/>
              <w:spacing w:after="0"/>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Report on Form 10-K, filed March 17, 2022).</w:t>
              </w:r>
            </w:hyperlink>
          </w:p>
        </w:tc>
      </w:tr>
      <w:tr>
        <w:trPr>
          <w:trHeight w:val="191"/>
        </w:trPr>
        <w:tc>
          <w:tcPr>
            <w:tcW w:w="1200" w:type="dxa"/>
            <w:vAlign w:val="bottom"/>
          </w:tcPr>
          <w:p>
            <w:pPr>
              <w:ind w:left="60"/>
              <w:spacing w:after="0"/>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23.1</w:t>
              </w:r>
            </w:hyperlink>
            <w:r>
              <w:rPr>
                <w:rFonts w:ascii="Times New Roman" w:cs="Times New Roman" w:eastAsia="Times New Roman" w:hAnsi="Times New Roman"/>
                <w:sz w:val="16"/>
                <w:szCs w:val="16"/>
                <w:color w:val="000000"/>
              </w:rPr>
              <w:t>*</w:t>
            </w:r>
          </w:p>
        </w:tc>
        <w:tc>
          <w:tcPr>
            <w:tcW w:w="100" w:type="dxa"/>
            <w:vAlign w:val="bottom"/>
          </w:tcPr>
          <w:p>
            <w:pPr>
              <w:spacing w:after="0"/>
              <w:rPr>
                <w:sz w:val="16"/>
                <w:szCs w:val="16"/>
                <w:color w:val="auto"/>
              </w:rPr>
            </w:pPr>
          </w:p>
        </w:tc>
        <w:tc>
          <w:tcPr>
            <w:tcW w:w="9260" w:type="dxa"/>
            <w:vAlign w:val="bottom"/>
          </w:tcPr>
          <w:p>
            <w:pPr>
              <w:ind w:left="60"/>
              <w:spacing w:after="0"/>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Consent of Ernst &amp; Young LLP, Independent Registered Public Accounting Firm for the Company</w:t>
              </w:r>
            </w:hyperlink>
          </w:p>
        </w:tc>
      </w:tr>
      <w:tr>
        <w:trPr>
          <w:trHeight w:val="191"/>
        </w:trPr>
        <w:tc>
          <w:tcPr>
            <w:tcW w:w="1200" w:type="dxa"/>
            <w:vAlign w:val="bottom"/>
            <w:shd w:val="clear" w:color="auto" w:fill="CCEEFF"/>
          </w:tcPr>
          <w:p>
            <w:pPr>
              <w:ind w:left="60"/>
              <w:spacing w:after="0"/>
              <w:rPr>
                <w:rFonts w:ascii="Times New Roman" w:cs="Times New Roman" w:eastAsia="Times New Roman" w:hAnsi="Times New Roman"/>
                <w:sz w:val="16"/>
                <w:szCs w:val="16"/>
                <w:color w:val="0000FF"/>
              </w:rPr>
            </w:pPr>
            <w:hyperlink w:anchor="page13">
              <w:r>
                <w:rPr>
                  <w:rFonts w:ascii="Times New Roman" w:cs="Times New Roman" w:eastAsia="Times New Roman" w:hAnsi="Times New Roman"/>
                  <w:sz w:val="16"/>
                  <w:szCs w:val="16"/>
                  <w:color w:val="0000FF"/>
                </w:rPr>
                <w:t>23.2</w:t>
              </w:r>
            </w:hyperlink>
            <w:r>
              <w:rPr>
                <w:rFonts w:ascii="Times New Roman" w:cs="Times New Roman" w:eastAsia="Times New Roman" w:hAnsi="Times New Roman"/>
                <w:sz w:val="16"/>
                <w:szCs w:val="16"/>
                <w:color w:val="000000"/>
              </w:rPr>
              <w:t>*</w:t>
            </w:r>
          </w:p>
        </w:tc>
        <w:tc>
          <w:tcPr>
            <w:tcW w:w="100" w:type="dxa"/>
            <w:vAlign w:val="bottom"/>
            <w:shd w:val="clear" w:color="auto" w:fill="CCEEFF"/>
          </w:tcPr>
          <w:p>
            <w:pPr>
              <w:spacing w:after="0"/>
              <w:rPr>
                <w:sz w:val="16"/>
                <w:szCs w:val="16"/>
                <w:color w:val="auto"/>
              </w:rPr>
            </w:pPr>
          </w:p>
        </w:tc>
        <w:tc>
          <w:tcPr>
            <w:tcW w:w="9260" w:type="dxa"/>
            <w:vAlign w:val="bottom"/>
            <w:shd w:val="clear" w:color="auto" w:fill="CCEEFF"/>
          </w:tcPr>
          <w:p>
            <w:pPr>
              <w:ind w:left="60"/>
              <w:spacing w:after="0"/>
              <w:rPr>
                <w:rFonts w:ascii="Times New Roman" w:cs="Times New Roman" w:eastAsia="Times New Roman" w:hAnsi="Times New Roman"/>
                <w:sz w:val="16"/>
                <w:szCs w:val="16"/>
                <w:color w:val="0000FF"/>
              </w:rPr>
            </w:pPr>
            <w:hyperlink w:anchor="page13">
              <w:r>
                <w:rPr>
                  <w:rFonts w:ascii="Times New Roman" w:cs="Times New Roman" w:eastAsia="Times New Roman" w:hAnsi="Times New Roman"/>
                  <w:sz w:val="16"/>
                  <w:szCs w:val="16"/>
                  <w:color w:val="0000FF"/>
                </w:rPr>
                <w:t>Consent of RSM US LLP</w:t>
              </w:r>
            </w:hyperlink>
          </w:p>
        </w:tc>
      </w:tr>
      <w:tr>
        <w:trPr>
          <w:trHeight w:val="191"/>
        </w:trPr>
        <w:tc>
          <w:tcPr>
            <w:tcW w:w="1200" w:type="dxa"/>
            <w:vAlign w:val="bottom"/>
          </w:tcPr>
          <w:p>
            <w:pPr>
              <w:ind w:left="60"/>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23.3</w:t>
              </w:r>
            </w:hyperlink>
            <w:r>
              <w:rPr>
                <w:rFonts w:ascii="Times New Roman" w:cs="Times New Roman" w:eastAsia="Times New Roman" w:hAnsi="Times New Roman"/>
                <w:sz w:val="16"/>
                <w:szCs w:val="16"/>
                <w:color w:val="000000"/>
              </w:rPr>
              <w:t>*</w:t>
            </w:r>
          </w:p>
        </w:tc>
        <w:tc>
          <w:tcPr>
            <w:tcW w:w="100" w:type="dxa"/>
            <w:vAlign w:val="bottom"/>
          </w:tcPr>
          <w:p>
            <w:pPr>
              <w:spacing w:after="0"/>
              <w:rPr>
                <w:sz w:val="16"/>
                <w:szCs w:val="16"/>
                <w:color w:val="auto"/>
              </w:rPr>
            </w:pPr>
          </w:p>
        </w:tc>
        <w:tc>
          <w:tcPr>
            <w:tcW w:w="9260" w:type="dxa"/>
            <w:vAlign w:val="bottom"/>
          </w:tcPr>
          <w:p>
            <w:pPr>
              <w:ind w:left="60"/>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Consent of Troutman Pepper Hamilton Sanders LLP (included in Exhibit 5.1)</w:t>
              </w:r>
            </w:hyperlink>
          </w:p>
        </w:tc>
      </w:tr>
      <w:tr>
        <w:trPr>
          <w:trHeight w:val="191"/>
        </w:trPr>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6"/>
                <w:szCs w:val="16"/>
                <w:color w:val="auto"/>
              </w:rPr>
            </w:pPr>
          </w:p>
        </w:tc>
        <w:tc>
          <w:tcPr>
            <w:tcW w:w="9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Power of Attorney (contained on the signature page hereto)</w:t>
            </w:r>
          </w:p>
        </w:tc>
      </w:tr>
      <w:tr>
        <w:trPr>
          <w:trHeight w:val="203"/>
        </w:trPr>
        <w:tc>
          <w:tcPr>
            <w:tcW w:w="1200" w:type="dxa"/>
            <w:vAlign w:val="bottom"/>
          </w:tcPr>
          <w:p>
            <w:pPr>
              <w:ind w:left="60"/>
              <w:spacing w:after="0"/>
              <w:rPr>
                <w:rFonts w:ascii="Times New Roman" w:cs="Times New Roman" w:eastAsia="Times New Roman" w:hAnsi="Times New Roman"/>
                <w:sz w:val="16"/>
                <w:szCs w:val="16"/>
                <w:color w:val="0000FF"/>
              </w:rPr>
            </w:pPr>
            <w:hyperlink w:anchor="page14">
              <w:r>
                <w:rPr>
                  <w:rFonts w:ascii="Times New Roman" w:cs="Times New Roman" w:eastAsia="Times New Roman" w:hAnsi="Times New Roman"/>
                  <w:sz w:val="16"/>
                  <w:szCs w:val="16"/>
                  <w:color w:val="0000FF"/>
                </w:rPr>
                <w:t>107</w:t>
              </w:r>
            </w:hyperlink>
            <w:r>
              <w:rPr>
                <w:rFonts w:ascii="Times New Roman" w:cs="Times New Roman" w:eastAsia="Times New Roman" w:hAnsi="Times New Roman"/>
                <w:sz w:val="16"/>
                <w:szCs w:val="16"/>
                <w:color w:val="000000"/>
              </w:rPr>
              <w:t>*</w:t>
            </w:r>
          </w:p>
        </w:tc>
        <w:tc>
          <w:tcPr>
            <w:tcW w:w="100" w:type="dxa"/>
            <w:vAlign w:val="bottom"/>
          </w:tcPr>
          <w:p>
            <w:pPr>
              <w:spacing w:after="0"/>
              <w:rPr>
                <w:sz w:val="17"/>
                <w:szCs w:val="17"/>
                <w:color w:val="auto"/>
              </w:rPr>
            </w:pPr>
          </w:p>
        </w:tc>
        <w:tc>
          <w:tcPr>
            <w:tcW w:w="9260" w:type="dxa"/>
            <w:vAlign w:val="bottom"/>
          </w:tcPr>
          <w:p>
            <w:pPr>
              <w:ind w:left="60"/>
              <w:spacing w:after="0"/>
              <w:rPr>
                <w:rFonts w:ascii="Times New Roman" w:cs="Times New Roman" w:eastAsia="Times New Roman" w:hAnsi="Times New Roman"/>
                <w:sz w:val="16"/>
                <w:szCs w:val="16"/>
                <w:color w:val="0000FF"/>
              </w:rPr>
            </w:pPr>
            <w:hyperlink w:anchor="page14">
              <w:r>
                <w:rPr>
                  <w:rFonts w:ascii="Times New Roman" w:cs="Times New Roman" w:eastAsia="Times New Roman" w:hAnsi="Times New Roman"/>
                  <w:sz w:val="16"/>
                  <w:szCs w:val="16"/>
                  <w:color w:val="0000FF"/>
                </w:rPr>
                <w:t>Filing Fee Table</w:t>
              </w:r>
            </w:hyperlink>
          </w:p>
        </w:tc>
      </w:tr>
    </w:tbl>
    <w:p>
      <w:pPr>
        <w:spacing w:after="0" w:line="2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51" w:lineRule="exact"/>
        <w:rPr>
          <w:sz w:val="20"/>
          <w:szCs w:val="20"/>
          <w:color w:val="auto"/>
        </w:rPr>
      </w:pPr>
    </w:p>
    <w:p>
      <w:pPr>
        <w:ind w:left="580" w:hanging="320"/>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49" w:lineRule="exact"/>
        <w:rPr>
          <w:rFonts w:ascii="Times New Roman" w:cs="Times New Roman" w:eastAsia="Times New Roman" w:hAnsi="Times New Roman"/>
          <w:sz w:val="16"/>
          <w:szCs w:val="16"/>
          <w:color w:val="auto"/>
        </w:rPr>
      </w:pPr>
    </w:p>
    <w:p>
      <w:pPr>
        <w:ind w:left="840" w:hanging="326"/>
        <w:spacing w:after="0"/>
        <w:tabs>
          <w:tab w:leader="none" w:pos="8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49" w:lineRule="exact"/>
        <w:rPr>
          <w:rFonts w:ascii="Times New Roman" w:cs="Times New Roman" w:eastAsia="Times New Roman" w:hAnsi="Times New Roman"/>
          <w:sz w:val="16"/>
          <w:szCs w:val="16"/>
          <w:color w:val="auto"/>
        </w:rPr>
      </w:pPr>
    </w:p>
    <w:p>
      <w:pPr>
        <w:ind w:left="1060" w:hanging="291"/>
        <w:spacing w:after="0"/>
        <w:tabs>
          <w:tab w:leader="none" w:pos="1060"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and</w:t>
      </w:r>
    </w:p>
    <w:p>
      <w:pPr>
        <w:spacing w:after="0" w:line="49" w:lineRule="exact"/>
        <w:rPr>
          <w:rFonts w:ascii="Times New Roman" w:cs="Times New Roman" w:eastAsia="Times New Roman" w:hAnsi="Times New Roman"/>
          <w:sz w:val="16"/>
          <w:szCs w:val="16"/>
          <w:color w:val="auto"/>
        </w:rPr>
      </w:pPr>
    </w:p>
    <w:p>
      <w:pPr>
        <w:jc w:val="both"/>
        <w:ind w:left="520" w:firstLine="249"/>
        <w:spacing w:after="0" w:line="205" w:lineRule="auto"/>
        <w:tabs>
          <w:tab w:leader="none" w:pos="1141"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31" w:lineRule="exact"/>
        <w:rPr>
          <w:sz w:val="20"/>
          <w:szCs w:val="20"/>
          <w:color w:val="auto"/>
        </w:rPr>
      </w:pPr>
    </w:p>
    <w:p>
      <w:pPr>
        <w:jc w:val="both"/>
        <w:ind w:left="260"/>
        <w:spacing w:after="0" w:line="218"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paragraphs (a)(1)(i) and (a)(1)(ii) do not apply if the information required to be included in a post-effective amendment by those paragraphs is contained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reports filed with or furnished to the Commission by the Registrant pursuant to Section 13 or 15(d) of the Exchange Act that are incorporated by reference in this registration statement.</w:t>
      </w:r>
    </w:p>
    <w:p>
      <w:pPr>
        <w:spacing w:after="0" w:line="31" w:lineRule="exact"/>
        <w:rPr>
          <w:sz w:val="20"/>
          <w:szCs w:val="20"/>
          <w:color w:val="auto"/>
        </w:rPr>
      </w:pPr>
    </w:p>
    <w:p>
      <w:pPr>
        <w:ind w:left="260" w:right="340" w:firstLine="254"/>
        <w:spacing w:after="0" w:line="229" w:lineRule="auto"/>
        <w:tabs>
          <w:tab w:leader="none" w:pos="849"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30" w:lineRule="exact"/>
        <w:rPr>
          <w:rFonts w:ascii="Times New Roman" w:cs="Times New Roman" w:eastAsia="Times New Roman" w:hAnsi="Times New Roman"/>
          <w:sz w:val="16"/>
          <w:szCs w:val="16"/>
          <w:color w:val="auto"/>
        </w:rPr>
      </w:pPr>
    </w:p>
    <w:p>
      <w:pPr>
        <w:ind w:left="840" w:hanging="326"/>
        <w:spacing w:after="0"/>
        <w:tabs>
          <w:tab w:leader="none" w:pos="8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6"/>
          <w:szCs w:val="16"/>
          <w:color w:val="auto"/>
        </w:rPr>
      </w:pPr>
    </w:p>
    <w:p>
      <w:pPr>
        <w:ind w:firstLine="260"/>
        <w:spacing w:after="0" w:line="229" w:lineRule="auto"/>
        <w:tabs>
          <w:tab w:leader="none" w:pos="59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each filing of the Registrant’s annual report pursuant to Section 13(a) or Section 15(d) of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968" w:right="319" w:bottom="1440" w:gutter="0" w:footer="0" w:header="0"/>
        </w:sectPr>
      </w:pPr>
    </w:p>
    <w:bookmarkStart w:id="4" w:name="page5"/>
    <w:bookmarkEnd w:id="4"/>
    <w:p>
      <w:pPr>
        <w:jc w:val="both"/>
        <w:spacing w:after="0" w:line="217" w:lineRule="auto"/>
        <w:rPr>
          <w:sz w:val="20"/>
          <w:szCs w:val="20"/>
          <w:color w:val="auto"/>
        </w:rPr>
      </w:pPr>
      <w:r>
        <w:rPr>
          <w:rFonts w:ascii="Times New Roman" w:cs="Times New Roman" w:eastAsia="Times New Roman" w:hAnsi="Times New Roman"/>
          <w:sz w:val="16"/>
          <w:szCs w:val="16"/>
          <w:color w:val="auto"/>
        </w:rPr>
        <w:t xml:space="preserve">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31" w:lineRule="exact"/>
        <w:rPr>
          <w:sz w:val="20"/>
          <w:szCs w:val="20"/>
          <w:color w:val="auto"/>
        </w:rPr>
      </w:pPr>
    </w:p>
    <w:p>
      <w:pPr>
        <w:jc w:val="both"/>
        <w:ind w:firstLine="260"/>
        <w:spacing w:after="0" w:line="203" w:lineRule="auto"/>
        <w:tabs>
          <w:tab w:leader="none" w:pos="62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92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4" w:lineRule="exact"/>
        <w:rPr>
          <w:sz w:val="20"/>
          <w:szCs w:val="20"/>
          <w:color w:val="auto"/>
        </w:rPr>
      </w:pPr>
    </w:p>
    <w:p>
      <w:pPr>
        <w:jc w:val="both"/>
        <w:ind w:firstLine="255"/>
        <w:spacing w:after="0" w:line="217"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April 1, 2022.</w:t>
      </w:r>
    </w:p>
    <w:p>
      <w:pPr>
        <w:spacing w:after="0" w:line="27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PRIORITY TECHNOLOGY HOLDINGS, INC.</w:t>
      </w:r>
    </w:p>
    <w:p>
      <w:pPr>
        <w:spacing w:after="0" w:line="21" w:lineRule="exact"/>
        <w:rPr>
          <w:sz w:val="20"/>
          <w:szCs w:val="20"/>
          <w:color w:val="auto"/>
        </w:rPr>
      </w:pPr>
    </w:p>
    <w:tbl>
      <w:tblPr>
        <w:tblLayout w:type="fixed"/>
        <w:tblInd w:w="2940" w:type="dxa"/>
        <w:tblCellMar>
          <w:top w:w="0" w:type="dxa"/>
          <w:left w:w="0" w:type="dxa"/>
          <w:bottom w:w="0" w:type="dxa"/>
          <w:right w:w="0" w:type="dxa"/>
        </w:tblCellMar>
      </w:tblPr>
      <w:tr>
        <w:trPr>
          <w:trHeight w:val="187"/>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Michael Vollkommer</w:t>
            </w:r>
          </w:p>
        </w:tc>
      </w:tr>
      <w:tr>
        <w:trPr>
          <w:trHeight w:val="174"/>
        </w:trPr>
        <w:tc>
          <w:tcPr>
            <w:tcW w:w="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3960" w:type="dxa"/>
            <w:vAlign w:val="bottom"/>
          </w:tcPr>
          <w:p>
            <w:pPr>
              <w:ind w:left="60"/>
              <w:spacing w:after="0" w:line="174" w:lineRule="exact"/>
              <w:rPr>
                <w:sz w:val="20"/>
                <w:szCs w:val="20"/>
                <w:color w:val="auto"/>
              </w:rPr>
            </w:pPr>
            <w:r>
              <w:rPr>
                <w:rFonts w:ascii="Times New Roman" w:cs="Times New Roman" w:eastAsia="Times New Roman" w:hAnsi="Times New Roman"/>
                <w:sz w:val="16"/>
                <w:szCs w:val="16"/>
                <w:color w:val="auto"/>
              </w:rPr>
              <w:t>Michael Vollkommer</w:t>
            </w: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92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POWERS OF ATTORNEY</w:t>
      </w:r>
    </w:p>
    <w:p>
      <w:pPr>
        <w:spacing w:after="0" w:line="104" w:lineRule="exact"/>
        <w:rPr>
          <w:sz w:val="20"/>
          <w:szCs w:val="20"/>
          <w:color w:val="auto"/>
        </w:rPr>
      </w:pPr>
    </w:p>
    <w:p>
      <w:pPr>
        <w:jc w:val="both"/>
        <w:ind w:firstLine="255"/>
        <w:spacing w:after="0" w:line="203"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Michael Vollkommer and Bradley Miller or any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to this Registration Statement, registration statements filed pursuant to Rule 429 under the Securities Act, and any related registration statements necessary to register additional securities, and to file the same, with all exhibits thereto, and other documents in connection therewith with the 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or she might or would do in person, hereby ratifying and confirming all that said attorneys-in-fact and agents or any of them, or their or his substitute or substitutes, may lawfully do or cause to be done by virtue hereof.</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80"/>
          </w:cols>
          <w:pgMar w:left="300" w:top="1127"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3040" w:type="dxa"/>
            <w:vAlign w:val="bottom"/>
            <w:gridSpan w:val="2"/>
          </w:tcPr>
          <w:p>
            <w:pPr>
              <w:jc w:val="center"/>
              <w:ind w:right="2400"/>
              <w:spacing w:after="0"/>
              <w:rPr>
                <w:sz w:val="20"/>
                <w:szCs w:val="20"/>
                <w:color w:val="auto"/>
              </w:rPr>
            </w:pPr>
            <w:r>
              <w:rPr>
                <w:rFonts w:ascii="Times New Roman" w:cs="Times New Roman" w:eastAsia="Times New Roman" w:hAnsi="Times New Roman"/>
                <w:sz w:val="16"/>
                <w:szCs w:val="16"/>
                <w:b w:val="1"/>
                <w:bCs w:val="1"/>
                <w:color w:val="auto"/>
                <w:w w:val="95"/>
              </w:rPr>
              <w:t>Signature</w:t>
            </w:r>
          </w:p>
        </w:tc>
        <w:tc>
          <w:tcPr>
            <w:tcW w:w="1800" w:type="dxa"/>
            <w:vAlign w:val="bottom"/>
          </w:tcPr>
          <w:p>
            <w:pPr>
              <w:spacing w:after="0"/>
              <w:rPr>
                <w:sz w:val="16"/>
                <w:szCs w:val="16"/>
                <w:color w:val="auto"/>
              </w:rPr>
            </w:pPr>
          </w:p>
        </w:tc>
        <w:tc>
          <w:tcPr>
            <w:tcW w:w="2280" w:type="dxa"/>
            <w:vAlign w:val="bottom"/>
            <w:gridSpan w:val="2"/>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w w:val="93"/>
              </w:rPr>
              <w:t>Title</w:t>
            </w:r>
          </w:p>
        </w:tc>
        <w:tc>
          <w:tcPr>
            <w:tcW w:w="64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80" w:type="dxa"/>
            <w:vAlign w:val="bottom"/>
            <w:gridSpan w:val="3"/>
          </w:tcPr>
          <w:p>
            <w:pPr>
              <w:jc w:val="center"/>
              <w:ind w:right="180"/>
              <w:spacing w:after="0" w:line="161" w:lineRule="exact"/>
              <w:rPr>
                <w:sz w:val="20"/>
                <w:szCs w:val="20"/>
                <w:color w:val="auto"/>
              </w:rPr>
            </w:pPr>
            <w:r>
              <w:rPr>
                <w:rFonts w:ascii="Times New Roman" w:cs="Times New Roman" w:eastAsia="Times New Roman" w:hAnsi="Times New Roman"/>
                <w:sz w:val="16"/>
                <w:szCs w:val="16"/>
                <w:color w:val="auto"/>
                <w:w w:val="96"/>
              </w:rPr>
              <w:t>President, Chief Executive Officer and Chairman</w:t>
            </w:r>
          </w:p>
        </w:tc>
        <w:tc>
          <w:tcPr>
            <w:tcW w:w="1200" w:type="dxa"/>
            <w:vAlign w:val="bottom"/>
            <w:gridSpan w:val="3"/>
            <w:vMerge w:val="restart"/>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1"/>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Thomas C. Priore</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1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Thomas C. Priore</w:t>
            </w:r>
          </w:p>
        </w:tc>
        <w:tc>
          <w:tcPr>
            <w:tcW w:w="4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80" w:type="dxa"/>
            <w:vAlign w:val="bottom"/>
            <w:gridSpan w:val="3"/>
            <w:vMerge w:val="continue"/>
          </w:tcPr>
          <w:p>
            <w:pPr>
              <w:spacing w:after="0"/>
              <w:rPr>
                <w:sz w:val="11"/>
                <w:szCs w:val="11"/>
                <w:color w:val="auto"/>
              </w:rPr>
            </w:pPr>
          </w:p>
        </w:tc>
        <w:tc>
          <w:tcPr>
            <w:tcW w:w="1200" w:type="dxa"/>
            <w:vAlign w:val="bottom"/>
            <w:gridSpan w:val="3"/>
            <w:vMerge w:val="restart"/>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1"/>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Michael Vollkommer</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(Principal Financial Officer)</w:t>
            </w:r>
          </w:p>
        </w:tc>
        <w:tc>
          <w:tcPr>
            <w:tcW w:w="1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Michael Vollkommer</w:t>
            </w:r>
          </w:p>
        </w:tc>
        <w:tc>
          <w:tcPr>
            <w:tcW w:w="4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7"/>
              </w:rPr>
              <w:t>Senior Vice President and</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80" w:type="dxa"/>
            <w:vAlign w:val="bottom"/>
            <w:gridSpan w:val="3"/>
            <w:vMerge w:val="continue"/>
          </w:tcPr>
          <w:p>
            <w:pPr>
              <w:spacing w:after="0"/>
              <w:rPr>
                <w:sz w:val="11"/>
                <w:szCs w:val="11"/>
                <w:color w:val="auto"/>
              </w:rPr>
            </w:pPr>
          </w:p>
        </w:tc>
        <w:tc>
          <w:tcPr>
            <w:tcW w:w="1200" w:type="dxa"/>
            <w:vAlign w:val="bottom"/>
            <w:gridSpan w:val="3"/>
            <w:vMerge w:val="restart"/>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1"/>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Rajiv Kumar</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6"/>
              </w:rPr>
              <w:t>Chief Accounting Officer (Principal Accounting Officer)</w:t>
            </w:r>
          </w:p>
        </w:tc>
        <w:tc>
          <w:tcPr>
            <w:tcW w:w="1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Rajiv Kumar</w:t>
            </w: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John Priore</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John Priore</w:t>
            </w: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Michael Passilla</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6"/>
              </w:rPr>
              <w:t>Michael Passilla</w:t>
            </w: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Marietta C. Davis</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6"/>
              </w:rPr>
              <w:t>Marietta C. Davis</w:t>
            </w: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Christina M. Favilla</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Christina M. Favilla</w:t>
            </w: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Stephen W. Hipp</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302"/>
              <w:spacing w:after="0"/>
              <w:rPr>
                <w:sz w:val="20"/>
                <w:szCs w:val="20"/>
                <w:color w:val="auto"/>
              </w:rPr>
            </w:pPr>
            <w:r>
              <w:rPr>
                <w:rFonts w:ascii="Times New Roman" w:cs="Times New Roman" w:eastAsia="Times New Roman" w:hAnsi="Times New Roman"/>
                <w:sz w:val="16"/>
                <w:szCs w:val="16"/>
                <w:color w:val="auto"/>
                <w:w w:val="95"/>
              </w:rPr>
              <w:t>April 1, 2022</w:t>
            </w:r>
          </w:p>
        </w:tc>
        <w:tc>
          <w:tcPr>
            <w:tcW w:w="0" w:type="dxa"/>
            <w:vAlign w:val="bottom"/>
          </w:tcPr>
          <w:p>
            <w:pPr>
              <w:spacing w:after="0"/>
              <w:rPr>
                <w:sz w:val="1"/>
                <w:szCs w:val="1"/>
                <w:color w:val="auto"/>
              </w:rPr>
            </w:pPr>
          </w:p>
        </w:tc>
      </w:tr>
      <w:tr>
        <w:trPr>
          <w:trHeight w:val="193"/>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Stephen W. Hipp</w:t>
            </w: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00" w:top="1154" w:right="87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333333"/>
        </w:rPr>
        <w:t>Consent of Independent Registered Public Accounting Firm</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6"/>
          <w:szCs w:val="16"/>
          <w:color w:val="333333"/>
        </w:rPr>
        <w:t>We consent to the incorporation by reference in the Registration Statement (Form S-8) pertaining to the Employees' Savings Plan of Priority Technology Holdings, Inc. of our report dated March 17, 2022, with respect to the consolidated financial statements of Priority Technology Holdings, Inc. included in its Annual Report (Form 10-K) for the year ended December 31, 2021, filed with the Securities and Exchange Commission.</w:t>
      </w:r>
    </w:p>
    <w:p>
      <w:pPr>
        <w:spacing w:after="0" w:line="1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rPr>
          <w:sz w:val="20"/>
          <w:szCs w:val="20"/>
          <w:color w:val="auto"/>
        </w:rPr>
      </w:pPr>
      <w:r>
        <w:rPr>
          <w:rFonts w:ascii="Times New Roman" w:cs="Times New Roman" w:eastAsia="Times New Roman" w:hAnsi="Times New Roman"/>
          <w:sz w:val="16"/>
          <w:szCs w:val="16"/>
          <w:color w:val="auto"/>
        </w:rPr>
        <w:t>April 1, 2022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04"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consent to the incorporation by reference in this Registration Statement on Form S-8 of Priority Technology Holdings, Inc. of our report dated March 30, 2020, except for the change in reportable segments described in Note 20 as to which the date is March 17, 2022, relating to the consolidated financial statements of Priority Technology Holdings, Inc., appearing in the Annual Report on Form 10-K of Priority Technology Holdings, Inc. for the year ended December 31, 2021.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 2022</w:t>
      </w:r>
    </w:p>
    <w:p>
      <w:pPr>
        <w:sectPr>
          <w:pgSz w:w="11900" w:h="16838" w:orient="portrait"/>
          <w:cols w:equalWidth="0" w:num="1">
            <w:col w:w="11280"/>
          </w:cols>
          <w:pgMar w:left="300" w:top="1137"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S-8</w:t>
      </w:r>
    </w:p>
    <w:p>
      <w:pPr>
        <w:jc w:val="center"/>
        <w:spacing w:after="0"/>
        <w:rPr>
          <w:sz w:val="20"/>
          <w:szCs w:val="20"/>
          <w:color w:val="auto"/>
        </w:rPr>
      </w:pPr>
      <w:r>
        <w:rPr>
          <w:rFonts w:ascii="Times New Roman" w:cs="Times New Roman" w:eastAsia="Times New Roman" w:hAnsi="Times New Roman"/>
          <w:sz w:val="14"/>
          <w:szCs w:val="14"/>
          <w:color w:val="auto"/>
        </w:rPr>
        <w:t>(Form Type)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Priority Technology Holdings, Inc.</w:t>
      </w: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1: Newly Registered Securities</w:t>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2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50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38"/>
        </w:trPr>
        <w:tc>
          <w:tcPr>
            <w:tcW w:w="192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8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5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46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3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4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0"/>
        </w:trPr>
        <w:tc>
          <w:tcPr>
            <w:tcW w:w="19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2"/>
                <w:szCs w:val="12"/>
                <w:b w:val="1"/>
                <w:bCs w:val="1"/>
                <w:color w:val="auto"/>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2"/>
                <w:szCs w:val="12"/>
                <w:b w:val="1"/>
                <w:bCs w:val="1"/>
                <w:color w:val="auto"/>
              </w:rPr>
              <w:t>(2)</w:t>
            </w:r>
          </w:p>
        </w:tc>
        <w:tc>
          <w:tcPr>
            <w:tcW w:w="1260" w:type="dxa"/>
            <w:vAlign w:val="bottom"/>
            <w:tcBorders>
              <w:bottom w:val="single" w:sz="8" w:color="auto"/>
              <w:right w:val="single" w:sz="8" w:color="auto"/>
            </w:tcBorders>
            <w:vMerge w:val="continue"/>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Fee</w:t>
            </w:r>
            <w:r>
              <w:rPr>
                <w:rFonts w:ascii="Times New Roman" w:cs="Times New Roman" w:eastAsia="Times New Roman" w:hAnsi="Times New Roman"/>
                <w:sz w:val="12"/>
                <w:szCs w:val="12"/>
                <w:b w:val="1"/>
                <w:bCs w:val="1"/>
                <w:color w:val="auto"/>
                <w:w w:val="97"/>
              </w:rPr>
              <w:t>(2)</w:t>
            </w:r>
          </w:p>
        </w:tc>
        <w:tc>
          <w:tcPr>
            <w:tcW w:w="0" w:type="dxa"/>
            <w:vAlign w:val="bottom"/>
          </w:tcPr>
          <w:p>
            <w:pPr>
              <w:spacing w:after="0"/>
              <w:rPr>
                <w:sz w:val="1"/>
                <w:szCs w:val="1"/>
                <w:color w:val="auto"/>
              </w:rPr>
            </w:pPr>
          </w:p>
        </w:tc>
      </w:tr>
      <w:tr>
        <w:trPr>
          <w:trHeight w:val="129"/>
        </w:trPr>
        <w:tc>
          <w:tcPr>
            <w:tcW w:w="1920" w:type="dxa"/>
            <w:vAlign w:val="bottom"/>
            <w:tcBorders>
              <w:left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4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Common stock, $0.001</w:t>
            </w:r>
          </w:p>
        </w:tc>
        <w:tc>
          <w:tcPr>
            <w:tcW w:w="12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457(c) and 457(h)</w:t>
            </w:r>
          </w:p>
        </w:tc>
        <w:tc>
          <w:tcPr>
            <w:tcW w:w="13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20,000</w:t>
            </w:r>
          </w:p>
        </w:tc>
        <w:tc>
          <w:tcPr>
            <w:tcW w:w="11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$5.59</w:t>
            </w:r>
          </w:p>
        </w:tc>
        <w:tc>
          <w:tcPr>
            <w:tcW w:w="15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$111,800.00</w:t>
            </w:r>
          </w:p>
        </w:tc>
        <w:tc>
          <w:tcPr>
            <w:tcW w:w="1260" w:type="dxa"/>
            <w:vAlign w:val="bottom"/>
            <w:tcBorders>
              <w:right w:val="single" w:sz="8" w:color="auto"/>
            </w:tcBorders>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0.0000927</w:t>
            </w:r>
          </w:p>
        </w:tc>
        <w:tc>
          <w:tcPr>
            <w:tcW w:w="14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$10.36</w:t>
            </w:r>
          </w:p>
        </w:tc>
        <w:tc>
          <w:tcPr>
            <w:tcW w:w="0" w:type="dxa"/>
            <w:vAlign w:val="bottom"/>
          </w:tcPr>
          <w:p>
            <w:pPr>
              <w:spacing w:after="0"/>
              <w:rPr>
                <w:sz w:val="1"/>
                <w:szCs w:val="1"/>
                <w:color w:val="auto"/>
              </w:rPr>
            </w:pPr>
          </w:p>
        </w:tc>
      </w:tr>
      <w:tr>
        <w:trPr>
          <w:trHeight w:val="180"/>
        </w:trPr>
        <w:tc>
          <w:tcPr>
            <w:tcW w:w="1920" w:type="dxa"/>
            <w:vAlign w:val="bottom"/>
            <w:tcBorders>
              <w:left w:val="single" w:sz="8" w:color="auto"/>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 value per share</w:t>
            </w:r>
          </w:p>
        </w:tc>
        <w:tc>
          <w:tcPr>
            <w:tcW w:w="12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5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$111,800.00</w:t>
            </w:r>
          </w:p>
        </w:tc>
        <w:tc>
          <w:tcPr>
            <w:tcW w:w="12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71"/>
        </w:trPr>
        <w:tc>
          <w:tcPr>
            <w:tcW w:w="192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92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5"/>
        <w:spacing w:after="0" w:line="228" w:lineRule="auto"/>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promulgated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this Registration Statement shall also cover any additional shares of common stock, par value $0.001 per share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of Priority Technology Holdings,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that become issuable under the Priority Technology Holdings, Inc. 2021 Employee Stock Purchase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by reason of any future stock dividend, stock split, recapitalization or other similar transaction.</w:t>
      </w:r>
    </w:p>
    <w:p>
      <w:pPr>
        <w:spacing w:after="0" w:line="145" w:lineRule="exact"/>
        <w:rPr>
          <w:rFonts w:ascii="Times New Roman" w:cs="Times New Roman" w:eastAsia="Times New Roman" w:hAnsi="Times New Roman"/>
          <w:sz w:val="14"/>
          <w:szCs w:val="14"/>
          <w:color w:val="auto"/>
        </w:rPr>
      </w:pPr>
    </w:p>
    <w:p>
      <w:pPr>
        <w:ind w:right="380" w:firstLine="5"/>
        <w:spacing w:after="0" w:line="239" w:lineRule="auto"/>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and Rule 457(h) of the Securities Act. The price shown is based upon the average of the high and low prices reported for the common stock on the Nasdaq Global Market on March 28, 2022.</w:t>
      </w:r>
    </w:p>
    <w:sectPr>
      <w:pgSz w:w="11900" w:h="16838" w:orient="portrait"/>
      <w:cols w:equalWidth="0" w:num="1">
        <w:col w:w="11280"/>
      </w:cols>
      <w:pgMar w:left="300" w:top="6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15" Type="http://schemas.openxmlformats.org/officeDocument/2006/relationships/image" Target="media/image2.png"/><Relationship Id="rId8" Type="http://schemas.openxmlformats.org/officeDocument/2006/relationships/hyperlink" Target="https://www.sec.gov/Archives/edgar/data/1652362/000110465918021312/a18-9134_1ex3d1.htm" TargetMode="External"/><Relationship Id="rId9" Type="http://schemas.openxmlformats.org/officeDocument/2006/relationships/hyperlink" Target="https://www.sec.gov/Archives/edgar/data/1653558/000165355821000060/annex1certificateofamendme.htm" TargetMode="External"/><Relationship Id="rId10" Type="http://schemas.openxmlformats.org/officeDocument/2006/relationships/hyperlink" Target="https://www.sec.gov/Archives/edgar/data/0001653558/000165355821000065/exhibit31-priorityxcertifi.htm" TargetMode="External"/><Relationship Id="rId11" Type="http://schemas.openxmlformats.org/officeDocument/2006/relationships/hyperlink" Target="https://www.sec.gov/Archives/edgar/data/0001653558/000161577416006436/s103712_s1.htm" TargetMode="External"/><Relationship Id="rId12" Type="http://schemas.openxmlformats.org/officeDocument/2006/relationships/hyperlink" Target="https://www.sec.gov/Archives/edgar/data/1652362/000110465918021312/a18-9134_1ex3d2.htm" TargetMode="External"/><Relationship Id="rId13" Type="http://schemas.openxmlformats.org/officeDocument/2006/relationships/hyperlink" Target="https://www.sec.gov/Archives/edgar/data/1653558/000165355822000028/prioritytechnology-ex1031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2022-04-01T14:36:29Z</dcterms:created>
  <dcterms:modified xsi:type="dcterms:W3CDTF">2022-04-01T14:36:29Z</dcterms:modified>
</cp:coreProperties>
</file>