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240" w:right="900" w:hanging="3339"/>
        <w:spacing w:after="0" w:line="484" w:lineRule="auto"/>
        <w:tabs>
          <w:tab w:leader="none" w:pos="1375"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 ended March 31, 2018</w:t>
      </w:r>
    </w:p>
    <w:p>
      <w:pPr>
        <w:spacing w:after="0" w:line="29" w:lineRule="exact"/>
        <w:rPr>
          <w:rFonts w:ascii="MS PGothic" w:cs="MS PGothic" w:eastAsia="MS PGothic" w:hAnsi="MS PGothic"/>
          <w:sz w:val="18"/>
          <w:szCs w:val="18"/>
          <w:color w:val="auto"/>
        </w:rPr>
      </w:pPr>
    </w:p>
    <w:p>
      <w:pPr>
        <w:ind w:left="1380" w:hanging="485"/>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4"/>
          </w:tcPr>
          <w:p>
            <w:pPr>
              <w:ind w:left="3620"/>
              <w:spacing w:after="0"/>
              <w:rPr>
                <w:sz w:val="20"/>
                <w:szCs w:val="20"/>
                <w:color w:val="auto"/>
              </w:rPr>
            </w:pPr>
            <w:r>
              <w:rPr>
                <w:rFonts w:ascii="Arial" w:cs="Arial" w:eastAsia="Arial" w:hAnsi="Arial"/>
                <w:sz w:val="18"/>
                <w:szCs w:val="18"/>
                <w:b w:val="1"/>
                <w:bCs w:val="1"/>
                <w:color w:val="auto"/>
              </w:rPr>
              <w:t>For the transition period from</w:t>
            </w:r>
          </w:p>
        </w:tc>
        <w:tc>
          <w:tcPr>
            <w:tcW w:w="4620" w:type="dxa"/>
            <w:vAlign w:val="bottom"/>
            <w:gridSpan w:val="2"/>
          </w:tcPr>
          <w:p>
            <w:pPr>
              <w:ind w:left="40"/>
              <w:spacing w:after="0"/>
              <w:rPr>
                <w:sz w:val="20"/>
                <w:szCs w:val="20"/>
                <w:color w:val="auto"/>
              </w:rPr>
            </w:pPr>
            <w:r>
              <w:rPr>
                <w:rFonts w:ascii="Arial" w:cs="Arial" w:eastAsia="Arial" w:hAnsi="Arial"/>
                <w:sz w:val="18"/>
                <w:szCs w:val="18"/>
                <w:b w:val="1"/>
                <w:bCs w:val="1"/>
                <w:color w:val="auto"/>
              </w:rPr>
              <w:t>to</w:t>
            </w:r>
          </w:p>
        </w:tc>
      </w:tr>
      <w:tr>
        <w:trPr>
          <w:trHeight w:val="392"/>
        </w:trPr>
        <w:tc>
          <w:tcPr>
            <w:tcW w:w="11420" w:type="dxa"/>
            <w:vAlign w:val="bottom"/>
            <w:gridSpan w:val="6"/>
          </w:tcPr>
          <w:p>
            <w:pPr>
              <w:ind w:left="4320"/>
              <w:spacing w:after="0"/>
              <w:rPr>
                <w:sz w:val="20"/>
                <w:szCs w:val="20"/>
                <w:color w:val="auto"/>
              </w:rPr>
            </w:pPr>
            <w:r>
              <w:rPr>
                <w:rFonts w:ascii="Arial" w:cs="Arial" w:eastAsia="Arial" w:hAnsi="Arial"/>
                <w:sz w:val="18"/>
                <w:szCs w:val="18"/>
                <w:b w:val="1"/>
                <w:bCs w:val="1"/>
                <w:color w:val="auto"/>
              </w:rPr>
              <w:t>Commission file number: 001-37872</w:t>
            </w:r>
          </w:p>
        </w:tc>
      </w:tr>
      <w:tr>
        <w:trPr>
          <w:trHeight w:val="20"/>
        </w:trPr>
        <w:tc>
          <w:tcPr>
            <w:tcW w:w="632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438"/>
        </w:trPr>
        <w:tc>
          <w:tcPr>
            <w:tcW w:w="6800" w:type="dxa"/>
            <w:vAlign w:val="bottom"/>
            <w:gridSpan w:val="4"/>
          </w:tcPr>
          <w:p>
            <w:pPr>
              <w:jc w:val="center"/>
              <w:ind w:left="4490"/>
              <w:spacing w:after="0"/>
              <w:rPr>
                <w:sz w:val="20"/>
                <w:szCs w:val="20"/>
                <w:color w:val="auto"/>
              </w:rPr>
            </w:pPr>
            <w:r>
              <w:rPr>
                <w:rFonts w:ascii="Arial" w:cs="Arial" w:eastAsia="Arial" w:hAnsi="Arial"/>
                <w:sz w:val="18"/>
                <w:szCs w:val="18"/>
                <w:b w:val="1"/>
                <w:bCs w:val="1"/>
                <w:color w:val="auto"/>
              </w:rPr>
              <w:t>M I ACQUISITIONS, INC.</w:t>
            </w:r>
          </w:p>
        </w:tc>
        <w:tc>
          <w:tcPr>
            <w:tcW w:w="3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30"/>
        </w:trPr>
        <w:tc>
          <w:tcPr>
            <w:tcW w:w="11420" w:type="dxa"/>
            <w:vAlign w:val="bottom"/>
            <w:gridSpan w:val="6"/>
          </w:tcPr>
          <w:p>
            <w:pPr>
              <w:jc w:val="center"/>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432"/>
        </w:trPr>
        <w:tc>
          <w:tcPr>
            <w:tcW w:w="6800" w:type="dxa"/>
            <w:vAlign w:val="bottom"/>
            <w:gridSpan w:val="4"/>
          </w:tcPr>
          <w:p>
            <w:pPr>
              <w:jc w:val="center"/>
              <w:ind w:right="1080"/>
              <w:spacing w:after="0"/>
              <w:rPr>
                <w:sz w:val="20"/>
                <w:szCs w:val="20"/>
                <w:color w:val="auto"/>
              </w:rPr>
            </w:pPr>
            <w:r>
              <w:rPr>
                <w:rFonts w:ascii="Arial" w:cs="Arial" w:eastAsia="Arial" w:hAnsi="Arial"/>
                <w:sz w:val="18"/>
                <w:szCs w:val="18"/>
                <w:b w:val="1"/>
                <w:bCs w:val="1"/>
                <w:color w:val="auto"/>
                <w:w w:val="91"/>
              </w:rPr>
              <w:t>Delaware</w:t>
            </w:r>
          </w:p>
        </w:tc>
        <w:tc>
          <w:tcPr>
            <w:tcW w:w="4620" w:type="dxa"/>
            <w:vAlign w:val="bottom"/>
            <w:gridSpan w:val="2"/>
          </w:tcPr>
          <w:p>
            <w:pPr>
              <w:jc w:val="center"/>
              <w:ind w:right="770"/>
              <w:spacing w:after="0"/>
              <w:rPr>
                <w:sz w:val="20"/>
                <w:szCs w:val="20"/>
                <w:color w:val="auto"/>
              </w:rPr>
            </w:pPr>
            <w:r>
              <w:rPr>
                <w:rFonts w:ascii="Arial" w:cs="Arial" w:eastAsia="Arial" w:hAnsi="Arial"/>
                <w:sz w:val="18"/>
                <w:szCs w:val="18"/>
                <w:b w:val="1"/>
                <w:bCs w:val="1"/>
                <w:color w:val="auto"/>
                <w:w w:val="91"/>
              </w:rPr>
              <w:t>47-4257046</w:t>
            </w:r>
          </w:p>
        </w:tc>
      </w:tr>
      <w:tr>
        <w:trPr>
          <w:trHeight w:val="195"/>
        </w:trPr>
        <w:tc>
          <w:tcPr>
            <w:tcW w:w="5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320" w:type="dxa"/>
            <w:vAlign w:val="bottom"/>
            <w:tcBorders>
              <w:top w:val="single" w:sz="8" w:color="auto"/>
            </w:tcBorders>
          </w:tcPr>
          <w:p>
            <w:pPr>
              <w:jc w:val="center"/>
              <w:ind w:right="107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6800" w:type="dxa"/>
            <w:vAlign w:val="bottom"/>
            <w:gridSpan w:val="4"/>
          </w:tcPr>
          <w:p>
            <w:pPr>
              <w:jc w:val="center"/>
              <w:ind w:right="1080"/>
              <w:spacing w:after="0"/>
              <w:rPr>
                <w:sz w:val="20"/>
                <w:szCs w:val="20"/>
                <w:color w:val="auto"/>
              </w:rPr>
            </w:pPr>
            <w:r>
              <w:rPr>
                <w:rFonts w:ascii="Arial" w:cs="Arial" w:eastAsia="Arial" w:hAnsi="Arial"/>
                <w:sz w:val="18"/>
                <w:szCs w:val="18"/>
                <w:color w:val="auto"/>
                <w:w w:val="92"/>
              </w:rPr>
              <w:t>incorporation or organization)</w:t>
            </w:r>
          </w:p>
        </w:tc>
        <w:tc>
          <w:tcPr>
            <w:tcW w:w="300" w:type="dxa"/>
            <w:vAlign w:val="bottom"/>
          </w:tcPr>
          <w:p>
            <w:pPr>
              <w:spacing w:after="0"/>
              <w:rPr>
                <w:sz w:val="20"/>
                <w:szCs w:val="20"/>
                <w:color w:val="auto"/>
              </w:rPr>
            </w:pPr>
          </w:p>
        </w:tc>
        <w:tc>
          <w:tcPr>
            <w:tcW w:w="4320" w:type="dxa"/>
            <w:vAlign w:val="bottom"/>
          </w:tcPr>
          <w:p>
            <w:pPr>
              <w:jc w:val="center"/>
              <w:ind w:right="109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Magna Management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 Wall Street, 58th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ind w:left="5580" w:hanging="428"/>
        <w:spacing w:after="0"/>
        <w:tabs>
          <w:tab w:leader="none" w:pos="5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491-4240</w:t>
      </w:r>
    </w:p>
    <w:p>
      <w:pPr>
        <w:spacing w:after="0" w:line="27" w:lineRule="exact"/>
        <w:rPr>
          <w:rFonts w:ascii="Arial" w:cs="Arial" w:eastAsia="Arial" w:hAnsi="Arial"/>
          <w:sz w:val="18"/>
          <w:szCs w:val="18"/>
          <w:b w:val="1"/>
          <w:bCs w:val="1"/>
          <w:color w:val="auto"/>
        </w:rPr>
      </w:pPr>
    </w:p>
    <w:p>
      <w:pPr>
        <w:ind w:left="4700"/>
        <w:spacing w:after="0"/>
        <w:rPr>
          <w:rFonts w:ascii="Arial" w:cs="Arial" w:eastAsia="Arial" w:hAnsi="Arial"/>
          <w:sz w:val="18"/>
          <w:szCs w:val="18"/>
          <w:b w:val="1"/>
          <w:bCs w:val="1"/>
          <w:color w:val="auto"/>
        </w:rPr>
      </w:pPr>
      <w:r>
        <w:rPr>
          <w:rFonts w:ascii="Arial" w:cs="Arial" w:eastAsia="Arial" w:hAnsi="Arial"/>
          <w:sz w:val="18"/>
          <w:szCs w:val="18"/>
          <w:color w:val="auto"/>
        </w:rPr>
        <w:t>(Issuer’s telephone number)</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Check whether the issuer (1)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7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11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Non-accelerated filer</w:t>
            </w:r>
          </w:p>
        </w:tc>
        <w:tc>
          <w:tcPr>
            <w:tcW w:w="17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11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98"/>
        </w:trPr>
        <w:tc>
          <w:tcPr>
            <w:tcW w:w="2840" w:type="dxa"/>
            <w:vAlign w:val="bottom"/>
          </w:tcPr>
          <w:p>
            <w:pPr>
              <w:spacing w:after="0"/>
              <w:rPr>
                <w:sz w:val="20"/>
                <w:szCs w:val="20"/>
                <w:color w:val="auto"/>
              </w:rPr>
            </w:pPr>
            <w:r>
              <w:rPr>
                <w:rFonts w:ascii="Arial" w:cs="Arial" w:eastAsia="Arial" w:hAnsi="Arial"/>
                <w:sz w:val="18"/>
                <w:szCs w:val="18"/>
                <w:color w:val="auto"/>
              </w:rPr>
              <w:t>(Do not check if smaller reporting</w:t>
            </w:r>
          </w:p>
        </w:tc>
        <w:tc>
          <w:tcPr>
            <w:tcW w:w="1700" w:type="dxa"/>
            <w:vAlign w:val="bottom"/>
          </w:tcPr>
          <w:p>
            <w:pPr>
              <w:spacing w:after="0"/>
              <w:rPr>
                <w:sz w:val="24"/>
                <w:szCs w:val="24"/>
                <w:color w:val="auto"/>
              </w:rPr>
            </w:pPr>
          </w:p>
        </w:tc>
        <w:tc>
          <w:tcPr>
            <w:tcW w:w="3660" w:type="dxa"/>
            <w:vAlign w:val="bottom"/>
            <w:vMerge w:val="restart"/>
          </w:tcPr>
          <w:p>
            <w:pPr>
              <w:ind w:left="1220"/>
              <w:spacing w:after="0"/>
              <w:rPr>
                <w:sz w:val="20"/>
                <w:szCs w:val="20"/>
                <w:color w:val="auto"/>
              </w:rPr>
            </w:pPr>
            <w:r>
              <w:rPr>
                <w:rFonts w:ascii="Arial" w:cs="Arial" w:eastAsia="Arial" w:hAnsi="Arial"/>
                <w:sz w:val="18"/>
                <w:szCs w:val="18"/>
                <w:color w:val="auto"/>
              </w:rPr>
              <w:t>Emerging Growth Company</w:t>
            </w:r>
          </w:p>
        </w:tc>
        <w:tc>
          <w:tcPr>
            <w:tcW w:w="540" w:type="dxa"/>
            <w:vAlign w:val="bottom"/>
            <w:vMerge w:val="restart"/>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2"/>
        </w:trPr>
        <w:tc>
          <w:tcPr>
            <w:tcW w:w="2840" w:type="dxa"/>
            <w:vAlign w:val="bottom"/>
            <w:vMerge w:val="restart"/>
          </w:tcPr>
          <w:p>
            <w:pPr>
              <w:spacing w:after="0"/>
              <w:rPr>
                <w:sz w:val="20"/>
                <w:szCs w:val="20"/>
                <w:color w:val="auto"/>
              </w:rPr>
            </w:pPr>
            <w:r>
              <w:rPr>
                <w:rFonts w:ascii="Arial" w:cs="Arial" w:eastAsia="Arial" w:hAnsi="Arial"/>
                <w:sz w:val="18"/>
                <w:szCs w:val="18"/>
                <w:color w:val="auto"/>
              </w:rPr>
              <w:t>company)</w:t>
            </w:r>
          </w:p>
        </w:tc>
        <w:tc>
          <w:tcPr>
            <w:tcW w:w="1700" w:type="dxa"/>
            <w:vAlign w:val="bottom"/>
          </w:tcPr>
          <w:p>
            <w:pPr>
              <w:spacing w:after="0"/>
              <w:rPr>
                <w:sz w:val="12"/>
                <w:szCs w:val="12"/>
                <w:color w:val="auto"/>
              </w:rPr>
            </w:pPr>
          </w:p>
        </w:tc>
        <w:tc>
          <w:tcPr>
            <w:tcW w:w="366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84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14, 2018, 7,058,743 shares of common stock, par value $0.001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40" w:type="dxa"/>
            <w:vAlign w:val="bottom"/>
            <w:gridSpan w:val="5"/>
          </w:tcPr>
          <w:p>
            <w:pPr>
              <w:jc w:val="center"/>
              <w:ind w:right="3680"/>
              <w:spacing w:after="0"/>
              <w:rPr>
                <w:sz w:val="20"/>
                <w:szCs w:val="20"/>
                <w:color w:val="auto"/>
              </w:rPr>
            </w:pPr>
            <w:r>
              <w:rPr>
                <w:rFonts w:ascii="Arial" w:cs="Arial" w:eastAsia="Arial" w:hAnsi="Arial"/>
                <w:sz w:val="18"/>
                <w:szCs w:val="18"/>
                <w:b w:val="1"/>
                <w:bCs w:val="1"/>
                <w:color w:val="auto"/>
              </w:rPr>
              <w:t>M I ACQUISITIONS, INC.</w:t>
            </w:r>
          </w:p>
        </w:tc>
        <w:tc>
          <w:tcPr>
            <w:tcW w:w="44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20" w:type="dxa"/>
            <w:vAlign w:val="bottom"/>
            <w:gridSpan w:val="9"/>
          </w:tcPr>
          <w:p>
            <w:pPr>
              <w:jc w:val="center"/>
              <w:ind w:right="2820"/>
              <w:spacing w:after="0"/>
              <w:rPr>
                <w:sz w:val="20"/>
                <w:szCs w:val="20"/>
                <w:color w:val="auto"/>
              </w:rPr>
            </w:pPr>
            <w:r>
              <w:rPr>
                <w:rFonts w:ascii="Arial" w:cs="Arial" w:eastAsia="Arial" w:hAnsi="Arial"/>
                <w:sz w:val="18"/>
                <w:szCs w:val="18"/>
                <w:b w:val="1"/>
                <w:bCs w:val="1"/>
                <w:color w:val="auto"/>
                <w:w w:val="98"/>
              </w:rPr>
              <w:t>FORM 10-Q FOR THE QUARTER ENDED MARCH 31, 2018</w:t>
            </w:r>
          </w:p>
        </w:tc>
        <w:tc>
          <w:tcPr>
            <w:tcW w:w="44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40" w:type="dxa"/>
            <w:vAlign w:val="bottom"/>
            <w:gridSpan w:val="5"/>
          </w:tcPr>
          <w:p>
            <w:pPr>
              <w:jc w:val="center"/>
              <w:ind w:right="368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4"/>
                <w:szCs w:val="24"/>
                <w:color w:val="auto"/>
              </w:rPr>
            </w:pPr>
          </w:p>
        </w:tc>
      </w:tr>
      <w:tr>
        <w:trPr>
          <w:trHeight w:val="439"/>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0"/>
              </w:rPr>
              <w:t>Page</w:t>
            </w:r>
          </w:p>
        </w:tc>
      </w:tr>
      <w:tr>
        <w:trPr>
          <w:trHeight w:val="392"/>
        </w:trPr>
        <w:tc>
          <w:tcPr>
            <w:tcW w:w="11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98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44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 (Unaudited)</w:t>
              </w:r>
            </w:hyperlink>
          </w:p>
        </w:tc>
        <w:tc>
          <w:tcPr>
            <w:tcW w:w="6840" w:type="dxa"/>
            <w:vAlign w:val="bottom"/>
            <w:gridSpan w:val="5"/>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Balance Sheets</w:t>
              </w:r>
            </w:hyperlink>
          </w:p>
        </w:tc>
        <w:tc>
          <w:tcPr>
            <w:tcW w:w="7720" w:type="dxa"/>
            <w:vAlign w:val="bottom"/>
            <w:gridSpan w:val="9"/>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6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Statements of Operations</w:t>
              </w:r>
            </w:hyperlink>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Statements of Cash Flows</w:t>
              </w:r>
            </w:hyperlink>
          </w:p>
        </w:tc>
        <w:tc>
          <w:tcPr>
            <w:tcW w:w="6940" w:type="dxa"/>
            <w:vAlign w:val="bottom"/>
            <w:gridSpan w:val="6"/>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Financial Statements</w:t>
              </w:r>
            </w:hyperlink>
          </w:p>
        </w:tc>
        <w:tc>
          <w:tcPr>
            <w:tcW w:w="6020" w:type="dxa"/>
            <w:vAlign w:val="bottom"/>
            <w:gridSpan w:val="4"/>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20" w:type="dxa"/>
            <w:vAlign w:val="bottom"/>
            <w:gridSpan w:val="1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89"/>
              </w:rPr>
              <w:t>13</w:t>
            </w: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3.</w:t>
              </w:r>
            </w:hyperlink>
          </w:p>
        </w:tc>
        <w:tc>
          <w:tcPr>
            <w:tcW w:w="6480" w:type="dxa"/>
            <w:vAlign w:val="bottom"/>
            <w:tcBorders>
              <w:top w:val="single" w:sz="8" w:color="0000EE"/>
            </w:tcBorders>
            <w:gridSpan w:val="12"/>
          </w:tcPr>
          <w:p>
            <w:pPr>
              <w:ind w:left="4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Regarding Market Risk</w:t>
              </w:r>
            </w:hyperlink>
          </w:p>
        </w:tc>
        <w:tc>
          <w:tcPr>
            <w:tcW w:w="282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4.</w:t>
              </w:r>
            </w:hyperlink>
          </w:p>
        </w:tc>
        <w:tc>
          <w:tcPr>
            <w:tcW w:w="4680" w:type="dxa"/>
            <w:vAlign w:val="bottom"/>
            <w:tcBorders>
              <w:top w:val="single" w:sz="8" w:color="0000EE"/>
            </w:tcBorders>
            <w:gridSpan w:val="11"/>
          </w:tcPr>
          <w:p>
            <w:pPr>
              <w:ind w:left="4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4620" w:type="dxa"/>
            <w:vAlign w:val="bottom"/>
            <w:gridSpan w:val="2"/>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r>
      <w:tr>
        <w:trPr>
          <w:trHeight w:val="196"/>
        </w:trPr>
        <w:tc>
          <w:tcPr>
            <w:tcW w:w="1160" w:type="dxa"/>
            <w:vAlign w:val="bottom"/>
            <w:gridSpan w:val="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Part II.</w:t>
              </w:r>
            </w:hyperlink>
          </w:p>
        </w:tc>
        <w:tc>
          <w:tcPr>
            <w:tcW w:w="23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7500" w:type="dxa"/>
            <w:vAlign w:val="bottom"/>
            <w:gridSpan w:val="8"/>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89"/>
              </w:rPr>
              <w:t>17</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80" w:type="dxa"/>
            <w:vAlign w:val="bottom"/>
            <w:gridSpan w:val="8"/>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4380" w:type="dxa"/>
            <w:vAlign w:val="bottom"/>
            <w:tcBorders>
              <w:bottom w:val="single" w:sz="8" w:color="0000EE"/>
            </w:tcBorders>
            <w:gridSpan w:val="10"/>
          </w:tcPr>
          <w:p>
            <w:pPr>
              <w:ind w:left="40"/>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Unregistered Sales of Equity Securities and Use of Proceeds</w:t>
              </w:r>
            </w:hyperlink>
          </w:p>
        </w:tc>
        <w:tc>
          <w:tcPr>
            <w:tcW w:w="4920" w:type="dxa"/>
            <w:vAlign w:val="bottom"/>
            <w:gridSpan w:val="3"/>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89"/>
              </w:rPr>
              <w:t>17</w:t>
            </w: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6.</w:t>
              </w:r>
            </w:hyperlink>
          </w:p>
        </w:tc>
        <w:tc>
          <w:tcPr>
            <w:tcW w:w="9300" w:type="dxa"/>
            <w:vAlign w:val="bottom"/>
            <w:gridSpan w:val="13"/>
          </w:tcPr>
          <w:p>
            <w:pPr>
              <w:ind w:left="4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89"/>
              </w:rPr>
              <w:t>17</w:t>
            </w:r>
          </w:p>
        </w:tc>
      </w:tr>
      <w:tr>
        <w:trPr>
          <w:trHeight w:val="196"/>
        </w:trPr>
        <w:tc>
          <w:tcPr>
            <w:tcW w:w="116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r>
      <w:tr>
        <w:trPr>
          <w:trHeight w:val="608"/>
        </w:trPr>
        <w:tc>
          <w:tcPr>
            <w:tcW w:w="4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rPr>
              <w:t>PART I – FINANCIAL STATEMENTS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40" w:type="dxa"/>
            <w:vAlign w:val="bottom"/>
            <w:gridSpan w:val="6"/>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2"/>
              </w:rPr>
              <w:t>M I Acquisitions, Inc.</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86"/>
              </w:rPr>
              <w:t>Condensed Balance Sheets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2018</w:t>
            </w:r>
          </w:p>
        </w:tc>
        <w:tc>
          <w:tcPr>
            <w:tcW w:w="2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Borders>
              <w:top w:val="single" w:sz="8" w:color="auto"/>
            </w:tcBorders>
          </w:tcPr>
          <w:p>
            <w:pPr>
              <w:spacing w:after="0"/>
              <w:rPr>
                <w:sz w:val="18"/>
                <w:szCs w:val="18"/>
                <w:color w:val="auto"/>
              </w:rPr>
            </w:pPr>
          </w:p>
        </w:tc>
        <w:tc>
          <w:tcPr>
            <w:tcW w:w="380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39,114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172,196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5"/>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41,489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9,936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5"/>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Cash and cash equivalents held in trust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55,383,870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55,081,899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20" w:type="dxa"/>
            <w:vAlign w:val="bottom"/>
            <w:tcBorders>
              <w:bottom w:val="single" w:sz="8" w:color="CCEEFF"/>
            </w:tcBorders>
            <w:gridSpan w:val="5"/>
          </w:tcPr>
          <w:p>
            <w:pPr>
              <w:ind w:left="32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55,464,473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55,264,031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20" w:type="dxa"/>
            <w:vAlign w:val="bottom"/>
            <w:gridSpan w:val="5"/>
          </w:tcPr>
          <w:p>
            <w:pPr>
              <w:ind w:left="2660"/>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563,731</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ind w:left="160"/>
              <w:spacing w:after="0"/>
              <w:rPr>
                <w:sz w:val="20"/>
                <w:szCs w:val="20"/>
                <w:color w:val="auto"/>
              </w:rPr>
            </w:pPr>
            <w:r>
              <w:rPr>
                <w:rFonts w:ascii="Arial" w:cs="Arial" w:eastAsia="Arial" w:hAnsi="Arial"/>
                <w:sz w:val="18"/>
                <w:szCs w:val="18"/>
                <w:color w:val="auto"/>
              </w:rPr>
              <w:t>Offering costs payable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11,616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11,616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Note payable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5"/>
          </w:tcPr>
          <w:p>
            <w:pPr>
              <w:ind w:left="160"/>
              <w:spacing w:after="0"/>
              <w:rPr>
                <w:sz w:val="20"/>
                <w:szCs w:val="20"/>
                <w:color w:val="auto"/>
              </w:rPr>
            </w:pPr>
            <w:r>
              <w:rPr>
                <w:rFonts w:ascii="Arial" w:cs="Arial" w:eastAsia="Arial" w:hAnsi="Arial"/>
                <w:sz w:val="18"/>
                <w:szCs w:val="18"/>
                <w:color w:val="auto"/>
              </w:rPr>
              <w:t>Note payable – related parties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132,753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5"/>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Deferred underwriting fee payable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1,062,022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1,062,022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1,797,622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1,450,430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20" w:type="dxa"/>
            <w:vAlign w:val="bottom"/>
            <w:gridSpan w:val="5"/>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9"/>
              </w:rPr>
              <w:t>Common stock subject to possible conversion (4,672,795 and 4,705,821 shares at conversion value as of</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20" w:type="dxa"/>
            <w:vAlign w:val="bottom"/>
            <w:gridSpan w:val="5"/>
            <w:shd w:val="clear" w:color="auto" w:fill="CCEEFF"/>
          </w:tcPr>
          <w:p>
            <w:pPr>
              <w:ind w:left="140"/>
              <w:spacing w:after="0"/>
              <w:rPr>
                <w:sz w:val="20"/>
                <w:szCs w:val="20"/>
                <w:color w:val="auto"/>
              </w:rPr>
            </w:pPr>
            <w:r>
              <w:rPr>
                <w:rFonts w:ascii="Arial" w:cs="Arial" w:eastAsia="Arial" w:hAnsi="Arial"/>
                <w:sz w:val="18"/>
                <w:szCs w:val="18"/>
                <w:b w:val="1"/>
                <w:bCs w:val="1"/>
                <w:color w:val="auto"/>
              </w:rPr>
              <w:t>March 31, 2018 and December 31, 2017, respectively)</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48,666,845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48,813,595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ind w:left="16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5"/>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$0.001 par value; 30,000,000 shares authorized; 2,385,948 and 2,352,922 shares issued and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w w:val="90"/>
              </w:rPr>
              <w:t>outstanding (excluding 4,672,795 and 4,705,821 shares subject to possible conversion) at March 31, 2018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and December 31, 2017, respectively</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ind w:left="160"/>
              <w:spacing w:after="0"/>
              <w:rPr>
                <w:sz w:val="20"/>
                <w:szCs w:val="20"/>
                <w:color w:val="auto"/>
              </w:rPr>
            </w:pPr>
            <w:r>
              <w:rPr>
                <w:rFonts w:ascii="Arial" w:cs="Arial" w:eastAsia="Arial" w:hAnsi="Arial"/>
                <w:sz w:val="18"/>
                <w:szCs w:val="18"/>
                <w:color w:val="auto"/>
              </w:rPr>
              <w:t>Additional paid in 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5,387,445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5,240,728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(389,825)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(243,075)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gridSpan w:val="5"/>
          </w:tcPr>
          <w:p>
            <w:pPr>
              <w:ind w:left="320"/>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2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55,464,473</w:t>
            </w:r>
          </w:p>
        </w:tc>
        <w:tc>
          <w:tcPr>
            <w:tcW w:w="100" w:type="dxa"/>
            <w:vAlign w:val="bottom"/>
          </w:tcPr>
          <w:p>
            <w:pPr>
              <w:spacing w:after="0"/>
              <w:rPr>
                <w:sz w:val="21"/>
                <w:szCs w:val="21"/>
                <w:color w:val="auto"/>
              </w:rPr>
            </w:pPr>
          </w:p>
        </w:tc>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55,264,031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For the Three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For the 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 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March 31, 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EXPENSES</w:t>
            </w:r>
          </w:p>
        </w:tc>
        <w:tc>
          <w:tcPr>
            <w:tcW w:w="5480" w:type="dxa"/>
            <w:vAlign w:val="bottom"/>
            <w:tcBorders>
              <w:bottom w:val="single" w:sz="8" w:color="CCEEFF"/>
            </w:tcBorders>
            <w:gridSpan w:val="4"/>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5"/>
          </w:tcPr>
          <w:p>
            <w:pPr>
              <w:spacing w:after="0"/>
              <w:rPr>
                <w:sz w:val="20"/>
                <w:szCs w:val="20"/>
                <w:color w:val="auto"/>
              </w:rPr>
            </w:pPr>
            <w:r>
              <w:rPr>
                <w:rFonts w:ascii="Arial" w:cs="Arial" w:eastAsia="Arial" w:hAnsi="Arial"/>
                <w:sz w:val="18"/>
                <w:szCs w:val="18"/>
                <w:color w:val="auto"/>
              </w:rPr>
              <w:t>Administration fee - related party</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30,000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291,228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6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color w:val="auto"/>
              </w:rPr>
              <w:t>TOTAL EXPENSES</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8"/>
                <w:szCs w:val="18"/>
                <w:color w:val="auto"/>
              </w:rPr>
              <w:t>321,228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245,466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3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OTHER INCOME</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4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w w:val="94"/>
              </w:rPr>
              <w:t>Interest income</w:t>
            </w:r>
          </w:p>
        </w:tc>
        <w:tc>
          <w:tcPr>
            <w:tcW w:w="5020" w:type="dxa"/>
            <w:vAlign w:val="bottom"/>
            <w:tcBorders>
              <w:top w:val="single" w:sz="8" w:color="CCEEFF"/>
            </w:tcBorders>
            <w:gridSpan w:val="3"/>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174,478</w:t>
            </w: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56,621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gridSpan w:val="5"/>
            <w:shd w:val="clear" w:color="auto" w:fill="CCEEFF"/>
          </w:tcPr>
          <w:p>
            <w:pPr>
              <w:spacing w:after="0" w:line="136" w:lineRule="exact"/>
              <w:rPr>
                <w:sz w:val="20"/>
                <w:szCs w:val="20"/>
                <w:color w:val="auto"/>
              </w:rPr>
            </w:pPr>
            <w:r>
              <w:rPr>
                <w:rFonts w:ascii="Arial" w:cs="Arial" w:eastAsia="Arial" w:hAnsi="Arial"/>
                <w:sz w:val="15"/>
                <w:szCs w:val="15"/>
                <w:color w:val="auto"/>
              </w:rPr>
              <w:t>TOTAL OTHER INCOME</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174,478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56,621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(146,750)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Net loss per share of common stock - basic and diluted</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8"/>
              </w:rPr>
              <w:t>Weighted average shares of common stock outstanding - basic and diluted</w:t>
            </w: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2,352,922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gridSpan w:val="2"/>
          </w:tcPr>
          <w:p>
            <w:pPr>
              <w:spacing w:after="0" w:line="20" w:lineRule="exact"/>
              <w:rPr>
                <w:sz w:val="1"/>
                <w:szCs w:val="1"/>
                <w:color w:val="auto"/>
              </w:rPr>
            </w:pPr>
          </w:p>
        </w:tc>
        <w:tc>
          <w:tcPr>
            <w:tcW w:w="20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20" w:type="dxa"/>
            <w:vAlign w:val="bottom"/>
            <w:gridSpan w:val="5"/>
          </w:tcPr>
          <w:p>
            <w:pPr>
              <w:jc w:val="center"/>
              <w:ind w:left="150"/>
              <w:spacing w:after="0"/>
              <w:rPr>
                <w:sz w:val="20"/>
                <w:szCs w:val="20"/>
                <w:color w:val="auto"/>
              </w:rPr>
            </w:pPr>
            <w:r>
              <w:rPr>
                <w:rFonts w:ascii="Arial" w:cs="Arial" w:eastAsia="Arial" w:hAnsi="Arial"/>
                <w:sz w:val="18"/>
                <w:szCs w:val="18"/>
                <w:color w:val="auto"/>
                <w:w w:val="89"/>
              </w:rPr>
              <w:t>The accompanying notes are an integral part of these condensed financial statements.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636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8"/>
                <w:szCs w:val="18"/>
                <w:color w:val="auto"/>
              </w:rPr>
              <w:t>2</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For the Three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For the 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March 31, 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March 31, 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(146,750)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(188,845)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Interest earned on cash and securities held in Trust Account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(174,478)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(56,621)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214,439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4,264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Cash Used In Operating Activities</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(138,342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(306,166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deposited into Trust Account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released from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b w:val="1"/>
          <w:bCs w:val="1"/>
          <w:color w:val="auto"/>
        </w:rPr>
        <w:t>Net Cash (Used In) Provided By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(132,753)</w:t>
      </w:r>
    </w:p>
    <w:p>
      <w:pPr>
        <w:spacing w:after="0" w:line="23" w:lineRule="exact"/>
        <w:rPr>
          <w:sz w:val="20"/>
          <w:szCs w:val="20"/>
          <w:color w:val="auto"/>
        </w:rPr>
      </w:pPr>
    </w:p>
    <w:p>
      <w:pPr>
        <w:ind w:left="240"/>
        <w:spacing w:after="0"/>
        <w:tabs>
          <w:tab w:leader="none" w:pos="2380" w:val="left"/>
        </w:tabs>
        <w:rPr>
          <w:sz w:val="20"/>
          <w:szCs w:val="20"/>
          <w:color w:val="auto"/>
        </w:rPr>
      </w:pPr>
      <w:r>
        <w:rPr>
          <w:rFonts w:ascii="Arial" w:cs="Arial" w:eastAsia="Arial" w:hAnsi="Arial"/>
          <w:sz w:val="16"/>
          <w:szCs w:val="16"/>
          <w:color w:val="auto"/>
        </w:rPr>
        <w:t>5,260</w:t>
      </w:r>
      <w:r>
        <w:rPr>
          <w:sz w:val="20"/>
          <w:szCs w:val="20"/>
          <w:color w:val="auto"/>
        </w:rPr>
        <w:tab/>
      </w:r>
      <w:r>
        <w:rPr>
          <w:rFonts w:ascii="Arial" w:cs="Arial" w:eastAsia="Arial" w:hAnsi="Arial"/>
          <w:sz w:val="16"/>
          <w:szCs w:val="16"/>
          <w:color w:val="auto"/>
        </w:rPr>
        <w:t>71,702</w:t>
      </w:r>
    </w:p>
    <w:p>
      <w:pPr>
        <w:spacing w:after="0" w:line="46"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(127,493)</w:t>
      </w:r>
      <w:r>
        <w:rPr>
          <w:sz w:val="20"/>
          <w:szCs w:val="20"/>
          <w:color w:val="auto"/>
        </w:rPr>
        <w:tab/>
      </w:r>
      <w:r>
        <w:rPr>
          <w:rFonts w:ascii="Arial" w:cs="Arial" w:eastAsia="Arial" w:hAnsi="Arial"/>
          <w:sz w:val="16"/>
          <w:szCs w:val="16"/>
          <w:color w:val="auto"/>
        </w:rPr>
        <w:t>71,702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-130810</wp:posOffset>
            </wp:positionV>
            <wp:extent cx="274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7700" w:space="720"/>
            <w:col w:w="300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related party note</w:t>
            </w:r>
          </w:p>
        </w:tc>
        <w:tc>
          <w:tcPr>
            <w:tcW w:w="1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132,753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3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132,753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(133,082)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(234,464)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172,196</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362,535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0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39,114</w:t>
            </w:r>
          </w:p>
        </w:tc>
        <w:tc>
          <w:tcPr>
            <w:tcW w:w="8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128,071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6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Supplemental disclosure of non-cash financing activities:</w:t>
            </w:r>
          </w:p>
        </w:tc>
        <w:tc>
          <w:tcPr>
            <w:tcW w:w="1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 in common stock subject to possible conversion</w:t>
            </w:r>
          </w:p>
        </w:tc>
        <w:tc>
          <w:tcPr>
            <w:tcW w:w="2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146,750</w:t>
            </w:r>
          </w:p>
        </w:tc>
        <w:tc>
          <w:tcPr>
            <w:tcW w:w="8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intends to focus its search on target businesses operating in the technology, media and telecommunications industries.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2018, the Company had not yet commenced any operations. For the three months ended March 31, 2018, the Company’s activity has been limited to the evaluation of business combination candidates, and the Company will not be generating any operating revenues until the closing and completion of an initial business combination.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13, 2016. The Company consummated a public offering of 5,000,000 units (“Units”) on September 19, 2016 (the “Offering”), generating gross proceeds of $50,000,000 and net proceeds of $47,981,581 after deducting $2,018,419 of transaction costs. In addition, the Company generated gross proceeds of $4,025,000 from the private placement of 402,500 units (the “Private Placement”) to certain initial stockholders (“Initial Stockholders”) of the Company. The Units sold pursuant to the Offering and the Private Placement were sold at an offering price of $10.00 per Unit. The Company also incurred additional issuance costs totaling $1,169,032, of which the deferred underwriting fee of $1,062,022 was unpaid as of March 31, 2018.</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 On October 14, 2016, simultaneously with the sale of the over-allotment Units, the Company consummated the private sale of an additional 18,607 private Units to one of the initial stockholders, generating gross proceeds of $186,070.</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Offering and Private Placement, although substantially all of the net proceeds are intended to be generally applied toward consummating a Business Combination. The Company’s Units, common stock and warrants are listed on the Nasdaq Capital Market (“NASDAQ”). Pursuant to the NASDAQ listing rules, the Company’s initial Business Combination must be with a target business or businesses whose collective fair market value is at least equal to 80% of the balance in the trust account at the time of the execution of a definitive agreement for such Business Combination, although this may entail simultaneous acquisitions of several target businesses. There is no assurance that the Company will be able to effect a Business Combination successfully.</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Following the closing of the Offering and the Private Placement (including the partial exercise of the over-allotment option) an amount of $54,694,127 (or $10.30 per share sold to the public in the Offering included in the Units (“Public Shares”)) from the sale of the Units and Private Units is being held in a trust account (“Trust Account”) at J.P. Morgan Chase Bank maintained by American Stock Transfer &amp; Trust Company, acting as trustee, and may be invested in money market funds meeting the applicable conditions of Rule 2a-7 promulgated under the Investment Company Act of 1940, as amended, and that invest solely in U.S. treasuries or United States bonds, treasuries or notes having a maturity of 180 days or less. The funds in the Trust Account may not be released until the earlier of (i) the consummation of the Company’s initial Business Combination and (ii) the Company’s failure to consummate a Business Combination within the prescribed time. The remaining net proceeds (not held in the Trust Account) may be used to pay for business, legal and accounting due diligence on prospective acquisitions and continuing general and administrative expenses. However, the interest earned on the Trust Account balance may be released to the Company to pay the Company’s tax obligations.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With these exceptions, expenses incurred by the Company may be paid prior to a Business Combination only from the net proceeds of the Proposed Public Offering not held in the Trust Account;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 obligations then due but not yet paid, or provide stockholders with the opportunity to sell their shares to the Company by means of a tender offer for an amount equal to their pro rata share of the aggregate amount then on deposit in the Trust Account, less any tax obligations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Offering. Accordingly, all shares purchased by a holder in excess of 20% of the shares sold in the Offering will not be converted to cash.</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896" w:gutter="0" w:footer="0" w:header="0"/>
        </w:sectPr>
      </w:pPr>
    </w:p>
    <w:bookmarkStart w:id="6" w:name="page7"/>
    <w:bookmarkEnd w:id="6"/>
    <w:p>
      <w:pPr>
        <w:jc w:val="both"/>
        <w:ind w:right="20"/>
        <w:spacing w:after="0" w:line="276" w:lineRule="auto"/>
        <w:rPr>
          <w:sz w:val="20"/>
          <w:szCs w:val="20"/>
          <w:color w:val="auto"/>
        </w:rPr>
      </w:pPr>
      <w:r>
        <w:rPr>
          <w:rFonts w:ascii="Arial" w:cs="Arial" w:eastAsia="Arial" w:hAnsi="Arial"/>
          <w:sz w:val="17"/>
          <w:szCs w:val="17"/>
          <w:color w:val="auto"/>
        </w:rPr>
        <w:t>In connection with any stockholder vote required to approve any Business Combination, the Initial Stockholders agreed (i) to vote any of their respective shares, including the common shares sold to the Initial Stockholders in connection with the organization of the Company (the “Initial Shares”), common shares included in the Private Units sold in the Private Placement, and any common shares which were initially issued in connection with the Offering, whether acquired in or after the effective date of the Offering, in favor of the initial Business Combination and (ii) not to convert such respective shares into a pro rata portion of the Trust Account or seek to sell their shares in connection with any tender offer the Company engages in.</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Company’s amended and restated Certificate of Incorporation if the Company is unable to complete its initial Business Combination by May 19, 2018,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has extended the time to complete an initial business combination to May 19, 2018 by depositing $265,504 into its trust account. However, if the Company anticipates that it may not be able to consummate its initial business combination by May 19, 2018 (as seems likely), it may extend the period of time to consummate a business combination up to one additional time by an additional one month (for a total of up to 21 months to complete a business combination). Pursuant to the terms of the Company’s amended and restated articles of incorporation and the trust agreement entered into between it and American Stock Transfer &amp; Trust Company, LLC on the date of the IPO, in order to extend the time available for it to consummate its initial business combination, the Company’s insiders or their affiliates or designees, upon five days advance notice prior to the applicable deadline, must deposit into the trust account $132,753 ($0.025 per unit in either case), up to an aggregate of $398,258, or $0.075 per unit (if its life is extended three times), on or prior to the date of the applicable deadline, for each one month extension (the Company has already deposited an aggregate of $265,504 for the first and second extension). The insiders received for the first deposit and they or their designees will receive for any subsequent deposits a non-interest bearing, unsecured promissory note equal to the amount of any such deposit that will not be repaid in the event that the Company is unable to close a business combination unless there are funds available outside the trust account to do so.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$398,259. If the Company is unable to consummate an initial Business Combination and is forced to redeem 100% of the outstanding public shares for a pro rata portion of the funds held in the Trust Account, each holder will receive a pro rata portion of the amount then in the Trust Account less tax obligations.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the Company is unable to consummate a business combination, the Company will pay the costs of liquidation from the remaining assets outside of the trust account. If such funds are insufficient, the insiders have agreed to pay the funds necessary to complete such liquidation (currently anticipated to be no more than $15,000) and have agreed not to seek repayment of such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which contemplates, among other things, the realization of assets and satisfaction of liabilities in the normal course of business. As of March 31, 2018, the Company had $39,114 in cash and cash equivalents held outside Trust Account, $573,644 in interest income available from the Company’s investments in the Trust Account to pay its tax obligations, and a working capital deficit of $654,997. Further, the Company has incurred and expects to continue to incur significant costs in pursuit of its financing and acquisition plans. The Company’s plans to raise capital or to consummate the initial Business Combination may not be successful. These matters, among others, raise substantial doubt about the Company’s ability to continue as a going concern.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foregoing, the Company may have insufficient funds available to operate its business through the earlier of consummation of a Business Combination or June 19, 2018 (if an extension is completed). Following the initial Business Combination, if cash on hand is insufficient, the Company may need to obtain additional financing in order to meet its obligations. The Company cannot be certain that additional funding will be available on acceptable terms, or at all.</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The accompanying financial statements do not include any adjustments that might be necessary if the Company is unable to continue as a going concern.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financial statements are presented in conformity with accounting principles generally accepted in the United States of America (“U.S. GAAP”) and pursuant to the rules and regulations of the Securities and Exchange Commission (“SEC”) for interim financial information and the instructions to Form 10-Q. Accordingly, they do not include all of the information and footnotes required by U.S. GAAP. In the opinion of management, all adjustments (consisting of normal accruals) considered for a fair presentation have been included. The Company has evaluated subsequent events through the issuance of this Form 10-Q. Operating results for the quarter ended March 31, 2018 are not necessarily indicative of the results that may be expected for the year ended December 31, 2018 or any future interim period. The accompanying unaudited condensed financial statements should be read in conjunction with the Company’s financial statements and notes thereto included in the Company’s Form 10-K filed with the Securities and Exchange Commission on March 27,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amounts held in the Trust Account represent substantially all of the proceeds of the Initial Public Offering, in addition to aggregate proceeds of $265,504 received to date to extend the time to complete an initial business combination, and are classified as restricted assets since such amounts can only be used by the Company in connection with the consummation of a Business Combination. Except with respect to interest earned on the funds held in the Trust Account that may be released to pay income or other tax obligations, the proceeds will not be released from the Trust Account until the earlier of the completion of a Business Combination or the redemption of 100% of the outstanding public shares if we have not completed a Business Combination in the required time period. As of March 31, 2018, marketable securities held in the Trust Account consisted of $55,383,870 in United States Treasury Bills with an original maturity of six months or less. During the three months ended March 31, 2018, the Company withdrew interest income totaling $5,260 to be utilized for payment of tax obligations.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approximates the carrying amounts represented in the balance sheet, primarily due to their short-term nature.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complies with accounting and disclosure requirements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Net income (loss) per common share is computed by dividing net income (loss) applicable to common stockholders by the weighted average number of common shares outstanding during the period, plus, to the extent dilutive, the incremental number of shares of common stock to settle warrants, as calculated using the treasury stock method. An aggregate of 4,672,795 and 4,731,015 shares of common stock subject to possible conversion at March 31, 2018 and 2017, respectively, have been excluded from the calculation of basic loss per ordinary share since such shares, if redeemed, only participate in their pro rata share of the trust earnings. At March 31, 2018 and 2017, the Company did not have any dilutive securities and other contracts that could, potentially, be exercised or converted into common stock and then share in the earnings of the Company under the treasury stock method. As a result, diluted loss per common share is the same as basic loss per common share for the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loss per common share</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Company’s net loss is adjusted for the portion of income that is attributable to common stock subject to conversion, as these shares only participate in the income of the Trust Account and not the losses of the Company. Accordingly, basic and diluted loss per common share is calculated as follows:</w:t>
      </w:r>
    </w:p>
    <w:p>
      <w:pPr>
        <w:spacing w:after="0" w:line="120"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March 31, 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(188,845)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Less: Income attributable to common shares subject to conversion</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(153,292)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(25,164)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(300,042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(214,009</w:t>
            </w:r>
          </w:p>
        </w:tc>
        <w:tc>
          <w:tcPr>
            <w:tcW w:w="12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2,352,922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2,310,710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conversion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its common stock subject to possible conversion in accordance with the guidance enumerated in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Equity</w:t>
      </w:r>
      <w:r>
        <w:rPr>
          <w:rFonts w:ascii="Arial" w:cs="Arial" w:eastAsia="Arial" w:hAnsi="Arial"/>
          <w:sz w:val="17"/>
          <w:szCs w:val="17"/>
          <w:color w:val="auto"/>
        </w:rPr>
        <w:t>”. Common stock subject to mandatory conversion is classified as a liability instrument and is measured at fair value. Conditionally</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common stock (including common shares that feature conversion rights that are either within the control of the holder or subject to conversion upon the occurrence of uncertain events not solely within the Company’s control) is classified as temporary equity. At all other times, common stock is classified as stockholders’ equity. The Company’s common stock features certain conversion rights that are considered by the Company to be outside of the Company’s control and subject to the occurrence of uncertain future events. Accordingly, the common stock subject to possible conversion is presented as temporary equity, outside of the stockholders’ equity section of the Company’s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income taxes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2016 and 2017 tax years. The Company believes that its income tax positions and deductions would be sustained on audit and does not anticipate any adjustments that would result in a material change to its financial position.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7"/>
          <w:szCs w:val="17"/>
          <w:color w:val="auto"/>
        </w:rPr>
        <w:t>The Company’s policy for recording interest and penalties associated with audits is to record such expense as a component of income tax expense. There were no amounts accrued for penalties or interest as of or during the period from January 1, 2018 through March 31, 2018. Management is currently unaware of any issues under review that could result in significant payments, accruals or material deviations from its position.</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22, 2017, the Tax Cuts and Jobs Act (“Tax Act”) was signed into law. Under ASC 740, the enactment of the Tax Act also requires companies, to recognize the effects of changes in tax laws and rates on deferred tax assets and liabilities and the retroactive effects of changes in tax laws in the period in which the new legislation is enacted. There is no further change to its assertion on maintaining a full valuation allowance against its U.S. deferred tax assets. The Company’s gross deferred tax assets were revalued from 35% to 21% with a corresponding offset to the valuation allowance. The Company will continue to analyze the Tax Act to assess the full effects on its financial results, including disclosures, for our fiscal year ending December 31,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follows subtopic ASC 850-10 for the identification of related parties and disclosure of related party transactions.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Section 850-10-20, the related parties include: (a.) affiliates of the Company (“Affiliate” means, with respect to any specified Person, any other Person that, directly or indirectly through one or more intermediaries, controls, is controlled by or is under common control with such Person, as such terms are used in and construed under Rule 405 under the Securities Act);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profit-sharing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financial statements shall include disclosures of material related party transactions, other than compensation arrangements, expense allowances, and other similar items in the ordinary course of business. However, disclosure of transactions that are eliminated in the preparation of consolidated or combined financial statements is not required in those statements. The disclosures shall include: (a.) the nature of the relationship(s) involved; (b.) a description of the transactions, including transactions to which no amounts or nominal amounts were ascribed, for each of the periods for which income statements are presented, and such other information deemed necessary to an understanding of the effects of the transactions on the financial statements; (c.) the dollar amounts of transactions for each of the periods for which income statements are presented and the effects of any change in the method of establishing the terms from that used in the preceding period; and (d.) amounts due from or to related parties as of the date of each balance sheet presented and, if not otherwise apparent, the terms and manner of settlement.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reviewed all material events that have occurred after the balance sheet date through the date which these financial statements were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19, 2016, the Company sold 5,000,000 Units at a price of $10.00 per Unit generating gross proceeds of $50,000,000 and net proceeds of $47,981,581 after deducting $2,018,419 of transaction costs. In addition, the Company granted the Underwriter the option to purchase an additional 750,000 Units solely to cover over allotments, if any, pursuant to a 45-day over-allotment option granted to the Underwriter. 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464"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 Private Units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Simultaneously with the Offering, the Initial Shareholders of the Company purchased an aggregate of 421,107 Private Units at $10.00 per Private Unit (for an aggregate purchase price of $4,211,070) from the Company. All of the proceeds received from these purchases were placed in the Trust Account.</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Notes Payable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2015, the Company issued a $55,000 principal amount unsecured promissory note. The note was non-interest bearing and was payable on the consummation of the Offering. On September 26, 2016, the Company amended the agreement with lender and outstanding balance was amended to $27,500. The note is now due upon completion of an initial business combination. Due to the short-term nature of the note, the fair value of the note approximates the carrying amount.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Notes Payable – Related Parties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March 13, 2018, the Company issued promissory notes in the aggregate principal amount of </w:t>
      </w:r>
      <w:r>
        <w:rPr>
          <w:rFonts w:ascii="Arial" w:cs="Arial" w:eastAsia="Arial" w:hAnsi="Arial"/>
          <w:sz w:val="18"/>
          <w:szCs w:val="18"/>
          <w:color w:val="auto"/>
          <w:highlight w:val="white"/>
        </w:rPr>
        <w:t>$132,753 to its sponsors (M SPAC LLC, M SPAC Holdings I,</w:t>
      </w:r>
      <w:r>
        <w:rPr>
          <w:rFonts w:ascii="Arial" w:cs="Arial" w:eastAsia="Arial" w:hAnsi="Arial"/>
          <w:sz w:val="18"/>
          <w:szCs w:val="18"/>
          <w:color w:val="auto"/>
        </w:rPr>
        <w:t xml:space="preserve"> </w:t>
      </w:r>
      <w:r>
        <w:rPr>
          <w:rFonts w:ascii="Arial" w:cs="Arial" w:eastAsia="Arial" w:hAnsi="Arial"/>
          <w:sz w:val="18"/>
          <w:szCs w:val="18"/>
          <w:color w:val="auto"/>
          <w:highlight w:val="white"/>
        </w:rPr>
        <w:t>LLC and M SPAC Holdings II, LLC)</w:t>
      </w:r>
      <w:r>
        <w:rPr>
          <w:rFonts w:ascii="Arial" w:cs="Arial" w:eastAsia="Arial" w:hAnsi="Arial"/>
          <w:sz w:val="18"/>
          <w:szCs w:val="18"/>
          <w:color w:val="auto"/>
        </w:rPr>
        <w:t>. The $132,753 received by the Company upon issuance of the notes was deposited into the Company’s trust account for</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the benefit of its public stockholders in order to extend the </w:t>
      </w:r>
      <w:r>
        <w:rPr>
          <w:rFonts w:ascii="Arial" w:cs="Arial" w:eastAsia="Arial" w:hAnsi="Arial"/>
          <w:sz w:val="18"/>
          <w:szCs w:val="18"/>
          <w:color w:val="auto"/>
          <w:highlight w:val="white"/>
        </w:rPr>
        <w:t>period of time the Company has to complete a business combination for an additional one month,</w:t>
      </w:r>
      <w:r>
        <w:rPr>
          <w:rFonts w:ascii="Arial" w:cs="Arial" w:eastAsia="Arial" w:hAnsi="Arial"/>
          <w:sz w:val="18"/>
          <w:szCs w:val="18"/>
          <w:color w:val="auto"/>
        </w:rPr>
        <w:t xml:space="preserve"> </w:t>
      </w:r>
      <w:r>
        <w:rPr>
          <w:rFonts w:ascii="Arial" w:cs="Arial" w:eastAsia="Arial" w:hAnsi="Arial"/>
          <w:sz w:val="18"/>
          <w:szCs w:val="18"/>
          <w:color w:val="auto"/>
          <w:highlight w:val="white"/>
        </w:rPr>
        <w:t>from March 19, 2018 to April 19, 2018. The notes do not bear interest and are payable five business days after the date the Company completes a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entered into an agreement with the underwriters of the Offering (“Underwriting Agreement”). The Underwriting Agreement required the Company to pay an underwriting discount of 3.0% of the gross proceeds of the Offering as an underwriting discount and incur a deferred underwriting discount of up to 2.0% for an aggregate underwriting discount of 5.0% of the gross proceeds of the Offering, in each case as set forth in the Underwriting Agreement. The Company will pay the deferred underwriting fee at the closing of the Business Combination. The underwriters also purchased an interest in M SPAC Holdings I LLC, an entity controlled by the Company’s insiders, which entitles it to a beneficial interest in 63,184 insider shares.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Underwriting Agreement granted Chardan Capital Markets, LLC a right of first refusal, for a period of thirty-six months from the closing of the Offering, to act as lead investment banker, lead book-runner, and/or lead placement agent with 33% of the economics or 25% if three investment banks are involved in the transaction, for any public or private equity and debt offerings during such period.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Underwriting Agreement will provide that the Company will pay Chardan Capital Markets, LLC a warrant solicitation fee of five percent (5%) of the exercise price of each public warrant exercised during the period commencing on the later of 12 months from the closing of the Proposed Public Offering or 30 days after the completion of the Company’s initial business combination including warrants acquired by security holders in the open market. The warrant solicitation fee will be payable in cash. There is no limitation on the maximum warrant solicitation fee payable to Chardan Capital Markets, LLC except to the extent it is limited by the number of warrants outstanding.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are entitled to registration rights with respect to their initial shares and the purchasers of the Private Units will be entitled to registration rights with respect to the Private Units (and underlying securities), pursuant to an agreement signed on September 13, 2016.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commencing on September 13, 2016, has agreed to pay an affiliate of the Company’s executive officers a monthly fee of $10,000 for general and administrative services due on the first of each month. During the three months ended March 31, 2018 and 2017, the Company incurred administrative fees of $30,000 and $30,000,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26, 2018, the Company entered into a Contribution Agreement with Priority Investment Holdings, LLC and Priority Incentive Equity Holdings, LLC (collectively, the “Interest Holders”) to acquire all of the outstanding equity interests of Priority Holdings, LLC (“Priority”), a leading provider of B2C and B2B payment processing solutions. On March 26, 2018, the Company entered into an Amended and Restated Contribution Agreement with the Interest Holders (as amended and restated, the “Purchase Agreement”).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Upon the closing of the transactions contemplated by the Purchase Agreement, the Company will acquire 100% of the issued and outstanding equity securities of Priority (the “Business Combination”), which will result in Priority becoming a wholly-owned subsidiary of the Company. In connection with the Business Combination, we will change our name to Priority Technology Holdings, Inc. The consideration to be paid by us to the Interest Holders in the business combination is a number of shares of the Company’s common stock equal to Priority’s equity value (which the Purchase Agreement defines as of the signing date as the $947.8 million enterprise value of Priority, less the net debt of Priority, subject to certain adjustments as described in the Purchase Agreement) divided by $10.30.If Priority acquires any businesses prior to the closing of the Business Combination that increase Priority’s Earnout Adjusted EBITDA in aggregate by more than $9.0 million, Priority’s enterprise value will increase by multiplying the incremental increase in Earnout Adjusted EBITDA of such acquisition by 12.5, provided that estimated synergies related to any such acquisitions included in the Earnout Adjusted EBITDA calculation of Priority shall be capped at 20% of the Earnout Adjusted EBITDA of the applicable acquisition with respect to the 12-month period immediately preceding the consummation of such acquisition. In addition, any cash that Priority spends to acquire any technology assets, up to $5.0 million, to purchase securities from the Founders pursuant to the Founders Share Agreement described below or to extend the time we have to complete a business combination, will be included in the calculation of net debt as cash and cash equivalents (which would reduce the amount of net debt, effectively increasing the assumed equity value of Priority and increasing the number of shares that would be issued to the Interest Holders).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 additional 9.8 million shares of M I Acquisitions common stock may be issued as earn-out consideration to the Interest Holders or at their election, to members of Priority’s management or other service providers post-business combination pursuant to the Earnout Incentive Plan—4.9 million shares for the first earn-out and 4.9 million shares for the second earn-out. For the first earn-out, Earnout Adjusted EBITDA of M I Acquisitions must be no less than $82.5 million for the year ended December 31, 2018 and the M I Acquisitions stock price must have traded in excess of $12.00 for any 20 trading days within any consecutive 30-day trading period at any time on or before December 31, 2019. For the second earn-out,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Concurrently with the Purchase Agreement, the Company’s founding stockholders (the “Founders”) and Priority entered into a purchase agreement (the “Founders Share Agreement”) pursuant to which Priority agreed to purchase 421,107 of the units issued to the Founders in a private placement immediately prior to the Company’s initial public offering, and 453,210 shares of common stock of the Company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earn-outs described above (and relating to the Purchase Agreement consideration) is achieved.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Founders and Thomas C. Priore, the Executive Chairman of Priority (“TCP”), entered into a letter agreement (the “Letter Agreement”) pursuant to which the Founders granted TCP (i) the right to purchase at any time all or some of the Founders’ remaining shares of the Company’s common stock at the prevailing market price subject to certain conditions including a floor of $10.30 per share and (ii) a right of first refusal on any proposed transfer of shares by the Founders.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Notification Letter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3, 2018, the Company received a letter (the “Notification Letter”) from the staff of the Listing Qualifications Department of The Nasdaq Stock Market (“Nasdaq”) notifying the Company that the Company no longer complies with Nasdaq Listing Rule 5620(a) for continued listing due to its failure to hold an annual meeting of stockholders within twelve months of the end of the Company’s fiscal year ended December 31, 2016. On February 20, 2018, the Company submitted its plan to regain compliance pursuant to the procedures set forth in the Nasdaq listing rules. On February 20, 2018, Nasdaq granted the Company an extension until June 19, 2018 to regain compliance. In the event we do not satisfy the terms of the extension, Nasdaq will notify the Company that its securities will be delisted. At that time, the Company will have the opportunity to appeal the determination to a Hearings Panel. If the Company timely appeals, its securities would remain listed pending such decision. There can be no assurance that, if the Company does appeal, such appeal would be successful.</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464"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authorized to issue 1,000,000 preferred shares with a par value of $0.001 per share with such designation, rights and preferences as may be determined from time to time by the Company’s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there are no preferred shares issued or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30,000,000 shares of common stock with a par value of $0.001 per share.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23, 2015, 1,437,500 shares of the Company’s common stock were sold to the Initial Stockholders at a price of approximately $0.02 per share for an aggregate of $25,000. This number included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 On November 11, 2016, 109,973 Founders’ shares were forfeited and cancelled.</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2018 and December 31, 2017, there were 2,385,948 and 2,352,922 common shares issued and outstanding, which excludes 4,672,795and 4,705,821 shares subject to possible conversion, respectively.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tax obligations,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sold to the underwriters, for $100, a unit purchase option to purchase up to a total of 300,000 units exercisable at $12.00 per unit (or an aggregate exercise price of $3,600,000) commencing on the later of the consummation of a Business Combination and six months from September 13, 2016. The unit purchase option expires five years from September 13, 2016. The units issuable upon exercise of this option are identical to the Units being offered in the Offering. The Company has agreed to grant to the holders of the unit purchase option, demand and “piggy back” registration rights for periods of five and seven years, respectively, from September 13, 2016, including securities directly and indirectly issuable upon exercise of the unit purchase option.</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accounts for the fair value of the unit purchase option, inclusive of the receipt of a $100 cash payment, as an expense of the Offering resulting in a charge directly to stockholders’ equity. The Company estimates that the fair value of this unit purchase option was approximately $2,695,000 (or $8.98 per unit) using a Black-Scholes option-pricing model. The fair value of the unit purchase option to be granted to the placement agent is estimated as of the date of grant using the following assumptions: (1) expected volatility of 149%, (2) risk-free interest rate of 1.22%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8 —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follows the guidance in Section 855-10-50 of the FASB Accounting Standards Codification for the disclosure of subsequent events. The Company evaluated subsequent events through the date when the financial statements were issued.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April 12, 2018, the Company issued a promissory note in the aggregate principal amount of </w:t>
      </w:r>
      <w:r>
        <w:rPr>
          <w:rFonts w:ascii="Arial" w:cs="Arial" w:eastAsia="Arial" w:hAnsi="Arial"/>
          <w:sz w:val="17"/>
          <w:szCs w:val="17"/>
          <w:color w:val="auto"/>
          <w:highlight w:val="white"/>
        </w:rPr>
        <w:t>$132,753 to Priority Holdings, LLC.</w:t>
      </w:r>
      <w:r>
        <w:rPr>
          <w:rFonts w:ascii="Arial" w:cs="Arial" w:eastAsia="Arial" w:hAnsi="Arial"/>
          <w:sz w:val="17"/>
          <w:szCs w:val="17"/>
          <w:color w:val="auto"/>
        </w:rPr>
        <w:t xml:space="preserve"> The $132,753 received by the Company upon issuance of the note was deposited into the Company’s trust account for the benefit of its public stockholders in order to extend the </w:t>
      </w:r>
      <w:r>
        <w:rPr>
          <w:rFonts w:ascii="Arial" w:cs="Arial" w:eastAsia="Arial" w:hAnsi="Arial"/>
          <w:sz w:val="17"/>
          <w:szCs w:val="17"/>
          <w:color w:val="auto"/>
          <w:highlight w:val="white"/>
        </w:rPr>
        <w:t>period of time the Company has to complete a business combination for an additional one month, from April 19, 2018 to May 19, 2018. The note does not bear interest and are payable five business days after the date the Company completes a business combination.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April 19, 2018, the Company issued a promissory note in the aggregate principal amount of </w:t>
      </w:r>
      <w:r>
        <w:rPr>
          <w:rFonts w:ascii="Arial" w:cs="Arial" w:eastAsia="Arial" w:hAnsi="Arial"/>
          <w:sz w:val="18"/>
          <w:szCs w:val="18"/>
          <w:color w:val="auto"/>
          <w:highlight w:val="white"/>
        </w:rPr>
        <w:t>$76,771 to Priority Holdings, LLC. The note does not bear</w:t>
      </w:r>
      <w:r>
        <w:rPr>
          <w:rFonts w:ascii="Arial" w:cs="Arial" w:eastAsia="Arial" w:hAnsi="Arial"/>
          <w:sz w:val="18"/>
          <w:szCs w:val="18"/>
          <w:color w:val="auto"/>
        </w:rPr>
        <w:t xml:space="preserve"> </w:t>
      </w:r>
      <w:r>
        <w:rPr>
          <w:rFonts w:ascii="Arial" w:cs="Arial" w:eastAsia="Arial" w:hAnsi="Arial"/>
          <w:sz w:val="18"/>
          <w:szCs w:val="18"/>
          <w:color w:val="auto"/>
          <w:highlight w:val="white"/>
        </w:rPr>
        <w:t>interest and are payable five business days after the date the Company completes a business combination.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or the Securities Act, and Section 21E of the Securities Exchange Act of 1934, or the Exchange Act. The statements contained in this report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Furthermore, statements regarding our initial business combination, including the anticipated initial enterprise value and post-closing equity value of the combined company, the benefits of the proposed initial business combination,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Purchase Agreement (as defined below), are forward-looking statements. The words “anticipates,”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report may include, for example, statements about our:</w:t>
      </w:r>
    </w:p>
    <w:p>
      <w:pPr>
        <w:spacing w:after="0" w:line="18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success in retaining or recruiting, or changes required in, our officers, key employees or directors following our initial business combination;</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pool of prospective target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 in control if we acquire one or more target businesses for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proceeds not held in the trust account or available to us from interest income on the trust account balance;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performance following our initial public offering.</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forward-looking statements contained in this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(i) risks related to the expected timing and likelihood of completion of the pending initial business combination,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the Company was not obtained; (ii) risks related to the ability of the Company and Priority (as defined below) to successfully integrate the businesses; (iii) the occurrence of any event, change or other circumstances that could give rise to the termination of the Purchase Agreement (including circumstances requiring a party to pay the other party a termination fee pursuant to the Purchase Agreement); (iv) the risk that there may be a material adverse change with respect to the financial position, performance, operations or prospects of Priority or the Company; (v) risks related to disruption of management time from ongoing business operations due to the proposed initial business combination; (vi) the risk that any announcements relating to the proposed transaction could have adverse effects on the market price of the Company’s Common Stock; (vii) the risk that the proposed initial business combination and its announcement could have an adverse effect on the ability of Priority and the Company to retain customers and retain and hire key personnel and maintain relationships with their suppliers and customers and on their operating results and businesses generally; (viii) risks related to successfully integrating the businesses of the Priority and the Company, which may result in the combined company not operating as effectively and efficiently as expected; (ix) the risk that the combined company may be unable to achieve cost-cutting synergies or it may take longer than expected to achieve those synergies; and (x) risks associated with the financing of the proposed transaction.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and/or if and when management knows or has a reasonable basis on which to conclude that previously disclosed projections are no longer reasonably attainable.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 w:name="page16"/>
    <w:bookmarkEnd w:id="15"/>
    <w:p>
      <w:pPr>
        <w:jc w:val="both"/>
        <w:ind w:right="20"/>
        <w:spacing w:after="0" w:line="308" w:lineRule="auto"/>
        <w:rPr>
          <w:sz w:val="20"/>
          <w:szCs w:val="20"/>
          <w:color w:val="auto"/>
        </w:rPr>
      </w:pPr>
      <w:r>
        <w:rPr>
          <w:rFonts w:ascii="Arial" w:cs="Arial" w:eastAsia="Arial" w:hAnsi="Arial"/>
          <w:sz w:val="17"/>
          <w:szCs w:val="17"/>
          <w:color w:val="auto"/>
        </w:rPr>
        <w:t>References to “M I Acquisitions”, “we”, “us”, “our” or the “Company” are to M I Acquisitions Inc., except where the context requires otherwise. The following discussion should be read in conjunction with our condensed financial statements and related notes thereto included elsewhere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were formed on April 23, 2015 for the purpose of entering into a merger, share exchange, asset acquisition, stock purchase, recapitalization, reorganization or other similar business combination with one or more target businesses. Our efforts to identify a prospective target business will not be limited to any particular industry or geographic region, although we intend to focus on target businesses operating in the technology, media and telecommunications industries. We intend to utilize cash derived from the proceeds of our public offering in effecting our initial business combination.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19, 2016, we consummated our initial public offering (the “Offering”) of 5,000,000 units (the “Units”). Each Unit consists of one share of common stock (“Common Stock”), and one warrant (“Public Warrant”) to purchase one share of Common Stock at an exercise price of $11.50 per share. The Units were sold at an offering price of $10.00 per Unit, generating gross proceeds of $50,000,000. We granted the underwriters a 45-day option to purchase up to 750,000 additional Units to cover over-allotments, if any. Simultaneously with the consummation of the Offering, we consummated the private placement (“Private Placement”) of 402,500 units (the “Private Units”) at a price of $10.00 per Private Unit, generating total proceeds of $4,025,000. 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 The remainder of the over-allotment option expired unexercised.</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presently have no revenue, have had losses since inception from incurring formation costs and have had no operations other than the active solicitation of a target business with which to complete a business combination. We have relied upon the sale of our securities and loans from our officers and directors to fund our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May 11</w:t>
      </w:r>
      <w:r>
        <w:rPr>
          <w:rFonts w:ascii="Arial" w:cs="Arial" w:eastAsia="Arial" w:hAnsi="Arial"/>
          <w:sz w:val="30"/>
          <w:szCs w:val="30"/>
          <w:color w:val="auto"/>
          <w:vertAlign w:val="superscript"/>
        </w:rPr>
        <w:t>th</w:t>
      </w:r>
      <w:r>
        <w:rPr>
          <w:rFonts w:ascii="Arial" w:cs="Arial" w:eastAsia="Arial" w:hAnsi="Arial"/>
          <w:sz w:val="18"/>
          <w:szCs w:val="18"/>
          <w:color w:val="auto"/>
        </w:rPr>
        <w:t>, 2018, a total of $55,585,400.56 was held in the trust account established for the benefit of the Company’s public shareholders.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management has broad discretion with respect to the specific application of the net proceeds of the initial public offering and the private placement, although substantially all of the net proceeds are intended to be applied generally towards consummating a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Business Combination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26, 2018, we entered into a Contribution Agreement with Priority Investment Holdings, LLC and Priority Incentive Equity Holdings, LLC (collectively, the “Interest Holders”) to acquire all of the outstanding equity interests of Priority Holdings, LLC (“Priority”), a leading provider of B2C and B2B payment processing solutions. On March 26, 2018, we entered into an Amended and Restated Contribution Agreement with the Interest Holders, and we entered into a Second Amended and Restated Contribution Agreement on April 17, 2018 (as amended and restated, the “Purchase Agreement”).</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closing of the transactions contemplated by the Purchase Agreement, we will acquire 100% of the issued and outstanding equity securities of Priority, which will result in Priority becoming a wholly-owned subsidiary of M I Acquisitions.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consideration to be paid by us to the Interest Holders in the business combination is a number of shares of M I Acquisitions’ common stock equal to Priority’s equity value (which the Purchase Agreement defines as of the signing date as the $947.8 million enterprise value of Priority, less the net debt of Priority, subject to certain adjustments as described in the Purchase Agreement) divided by $10.30. If Priority acquires or contracts to acquire any businesses prior to the closing of the Business Combination that increase Priority’s Earnout Adjusted EBITDA in aggregate by more than $9.0 million, Priority’s enterprise value will increase by multiplying the incremental increase in Earnout Adjusted EBITDA of such acquisition by 12.5, provided that estimated synergies related to any such acquisitions and proposed acquisitions included in the Earnout Adjusted EBITDA calculation of Priority shall be capped at 20% of the Earnout Adjusted EBITDA of the applicable acquisition with respect to the 12-month period immediately preceding the consummation of such acquisition. In order to be included in the above calculation, any agreements to acquire a business must be subject only to payment of cash and/or other consideration to the target and must close within 30 days following closing of the Business Combination. In addition, any cash that Priority spends to acquire any technology assets, up to $5.0 million, to purchase securities from the M I’s founders pursuant to the Founders Share Agreement described below or to extend the time we have to complete a business combination, will be included in the calculation of net debt as cash and cash equivalents (which would reduce the amount of net debt, effectively increasing the assumed equity value of Priority and increasing the number of shares that would be issued to the Interest Holders).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6" w:name="page17"/>
    <w:bookmarkEnd w:id="16"/>
    <w:p>
      <w:pPr>
        <w:jc w:val="both"/>
        <w:spacing w:after="0" w:line="271" w:lineRule="auto"/>
        <w:rPr>
          <w:sz w:val="20"/>
          <w:szCs w:val="20"/>
          <w:color w:val="auto"/>
        </w:rPr>
      </w:pPr>
      <w:r>
        <w:rPr>
          <w:rFonts w:ascii="Arial" w:cs="Arial" w:eastAsia="Arial" w:hAnsi="Arial"/>
          <w:sz w:val="17"/>
          <w:szCs w:val="17"/>
          <w:color w:val="auto"/>
        </w:rPr>
        <w:t>An additional 9.8 million shares of M I Acquisitions common stock may be issued as earn-out consideration to the Interest Holders, or at their election, to members of Priority’s management or other service providers post-business combination pursuant to the Earnout Incentive Plan—4.9 million shares for the first earn-out and 4.9 million shares for the second earn-out. For the first earn-out, the Earnout Adjusted EBITDA of M I Acquisitions must be no less than $82.5 million for the year ending December 31, 2018 and the M I Acquisitions stock price must have traded in excess of $12.00 for any 20 trading days within any consecutive 30-day trading period at any time on or before December 31, 2019. For the second earn-out, the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26, 2018, our founding stockholders (the “Founders”) and Priority entered into a purchase agreement (the “Founders Share Agreement”) pursuant to which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 outs described above (and relating to the Purchase Agreement consideration) is achieved.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Founders and Thomas C. Priore, the Executive Chairman of Priority (“TCP”), entered into a letter agreement (the “Letter Agreement”) pursuant to which the Founders granted TCP (i) the right to purchase at any time all or some of the Founders’ remaining shares of our common stock at the prevailing market price subject to certain conditions including a floor of $10.30 per share and (ii) a right of first refusal on any proposed transfer of shares by the Founders.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more detailed description of the Purchase Agreement and Priority and the related transactions can be found in our preliminary proxy statement filed with the SEC on April 19,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April 12, 2018, the Company issued promissory notes in the aggregate principal amount of </w:t>
      </w:r>
      <w:r>
        <w:rPr>
          <w:rFonts w:ascii="Arial" w:cs="Arial" w:eastAsia="Arial" w:hAnsi="Arial"/>
          <w:sz w:val="18"/>
          <w:szCs w:val="18"/>
          <w:color w:val="auto"/>
          <w:highlight w:val="white"/>
        </w:rPr>
        <w:t>$132,753 to Priority.</w:t>
      </w:r>
      <w:r>
        <w:rPr>
          <w:rFonts w:ascii="Arial" w:cs="Arial" w:eastAsia="Arial" w:hAnsi="Arial"/>
          <w:sz w:val="18"/>
          <w:szCs w:val="18"/>
          <w:color w:val="auto"/>
        </w:rPr>
        <w:t xml:space="preserve"> The $132,753 received by the Company upon issuance of the note was deposited into the Company’s trust account for the benefit of its public stockholders in order to extend the </w:t>
      </w:r>
      <w:r>
        <w:rPr>
          <w:rFonts w:ascii="Arial" w:cs="Arial" w:eastAsia="Arial" w:hAnsi="Arial"/>
          <w:sz w:val="18"/>
          <w:szCs w:val="18"/>
          <w:color w:val="auto"/>
          <w:highlight w:val="white"/>
        </w:rPr>
        <w:t>period of time the</w:t>
      </w:r>
      <w:r>
        <w:rPr>
          <w:rFonts w:ascii="Arial" w:cs="Arial" w:eastAsia="Arial" w:hAnsi="Arial"/>
          <w:sz w:val="18"/>
          <w:szCs w:val="18"/>
          <w:color w:val="auto"/>
        </w:rPr>
        <w:t xml:space="preserve"> </w:t>
      </w:r>
      <w:r>
        <w:rPr>
          <w:rFonts w:ascii="Arial" w:cs="Arial" w:eastAsia="Arial" w:hAnsi="Arial"/>
          <w:sz w:val="18"/>
          <w:szCs w:val="18"/>
          <w:color w:val="auto"/>
          <w:highlight w:val="white"/>
        </w:rPr>
        <w:t>Company has to complete a business combination for an additional one month, from April 19, 2018 to May 19, 2018. The note does not bear interest and are payable five business days after the date the Company completes a business combination.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April 19, 2018, the Company issued a promissory note in the aggregate principal amount of </w:t>
      </w:r>
      <w:r>
        <w:rPr>
          <w:rFonts w:ascii="Arial" w:cs="Arial" w:eastAsia="Arial" w:hAnsi="Arial"/>
          <w:sz w:val="18"/>
          <w:szCs w:val="18"/>
          <w:color w:val="auto"/>
          <w:highlight w:val="white"/>
        </w:rPr>
        <w:t>$76,771 to Priority Holdings, LLC. The note does not bear</w:t>
      </w:r>
      <w:r>
        <w:rPr>
          <w:rFonts w:ascii="Arial" w:cs="Arial" w:eastAsia="Arial" w:hAnsi="Arial"/>
          <w:sz w:val="18"/>
          <w:szCs w:val="18"/>
          <w:color w:val="auto"/>
        </w:rPr>
        <w:t xml:space="preserve"> </w:t>
      </w:r>
      <w:r>
        <w:rPr>
          <w:rFonts w:ascii="Arial" w:cs="Arial" w:eastAsia="Arial" w:hAnsi="Arial"/>
          <w:sz w:val="18"/>
          <w:szCs w:val="18"/>
          <w:color w:val="auto"/>
          <w:highlight w:val="white"/>
        </w:rPr>
        <w:t>interest and are payable five business days after the date the Company completes a business combination.</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highlight w:val="white"/>
        </w:rPr>
        <w:t>On April 26, 2018, the Company filed with the SEC a preliminary proxy statement for an annual meeting which includes proposals to extend the time required to close a Business Combination to September 17, 2018. The Company anticipates holding the annual meeting on or about June 15,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entire activity from inception up to September 19, 2016 was in preparation for the Offering. Since the Offering, our activity has been limited to the evaluation of business combination candidates, and we will not be generating any operating revenues until the closing and completion of our initial business combination. We expect to generate small amounts of non-operating income in the form of interest income on cash and cash equivalents. Interest income is not expected to be significant in view of current low interest rates on risk-free investments (treasury securities). We expect to incur increased expenses as a result of being a public company (for legal, financial reporting, accounting and auditing compliance), as well as for due diligence expenses. Our expenses have increased substantially since closing the Offering.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2018, we had a net loss of $146,750. During the three months ended March 31, 2018, we incurred $291,228 of general and administrative expenses and $30,000 of administrative fees paid to a related party. For the quarter ended March 31, 2018, these expenses were partially offset by other income totaling $174,478, which was comprised of interest income.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2017, we had a net loss of $188,845. During the three months ended March 31, 2017, we incurred $215,466 of general and administrative expenses and $30,000 of administrative fees paid to a related party. For the quarter ended March 31, 2017, these expenses were partially offset by other income totaling $56,621, which was comprised of interest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we had cash outside our trust account of $39,114.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Our liquidity needs have been satisfied to date through the Offering, the receipt of $25,000 from the sale of the insider shares and loans from insiders and a related party and an unrelated party in an aggregate amount of $318,692. During the three months ended Mach 31, 2018, we withdrew interest income totaling $5,260 to be utilized for payment of tax obligations.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intend to use substantially all of the net proceeds of the Offering, including the funds held in the trust account, in connection with our initial business combination and to pay our expenses relating thereto, including a deferred underwriting commission payable to Chardan Capital Markets, LLC in an amount equal to 2.0% of the total gross proceeds raised in the offering upon consummation of our initial business combination. To the extent that our capital stock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anticipate that the approximately $39,000 outside of our trust account will be insufficient to allow us to operate until June 19, 2018, or until we complete the Business Combination, if our stockholders authorize an extension of the deadline for us to do so. We may need to raise additional capital through loans or additional investments from our shareholders, officers, directors, or third parties to allow us to operate until June 19, 2018, or until we complete the Business Combination, if our stockholders authorize an extension of the deadline for us to do so. None of the shareholders, officers or directors are under any obligation to advance funds to, or to invest in, our company. Accordingly, we may not be able to obtain additional financing. If we are unable to raise additional capital, we may be required to take additional measures to conserve liquidity, which could include, but not necessarily be limited to, curtailing operations, suspending the pursuit of our business plan, and reducing overhead expenses. We cannot provide any assurance that new financing will be available to us on commercially acceptable terms, if at all. These matters, among others, raise substantial doubt about the Company’s ability to continue as a going concern.</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estimates of the costs of undertaking due diligence and negotiating our initial business combination are less than the actual amount necessary to do so, or the amount of interest available to us from the trust account is less than we expect as a result of the current interest rate environment, we may have insufficient funds available to operate our business prior to our initial business combination. Moreover, we may need to obtain additional financing either to consummate our initial business combination or because we become obligated to convert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2018, we were not subject to any market or interest rate risk. Following the consummation of the Offering, the net proceeds of the Offering, including amounts in the trust account, may only be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March 31, 2018, as such term is defined in Rules 13a-15(e) and 15d-15(e) under the Exchange Act. Based on this evaluation, our principal executive officer and principal financial and accounting officer have concluded that during the period covered by this report, our disclosure controls and procedures were effective.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quarter of 2018 covered by this Quarterly Report on Form 10-Q that has materially affected, or is reasonably likely to materially affect, our internal control over financial reporting.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 from Registered Securities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19, 2016, we consummated our initial public offering (the “Offering”) of 5,000,000 units (the “Units”). Each Unit consists of one share of common stock (“Common Stock”), and one warrant (“Public Warrant”) to purchase one share of Common Stock at an exercise price of $11.50 per share. The Units were sold at an offering price of $10.00 per Unit, generating gross proceeds of $50,000,000. We granted the underwriters a 45-day option to purchase up to 750,000 additional Units to cover over-allotments, if any. Simultaneously with the consummation of the Offering, we consummated the private placement (“Private Placement”) of 402,500 units (the “Private Units”) at a price of $10.00 per Private Unit, generating total proceeds of $4,025,000. 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 The remainder of the over-allotment option expired unexercised. As of October 14, 2016, a total of $54,694,127 of the net proceeds from the Offering and the Private Placement were in a trust account established for the benefit of the Company’s public shareholders.</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The holders of the Private Units have agreed (A) to vote their private shares and any public shares acquired by them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by March 13, 2018 (or June 13, 2018,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by March 13, 2018 (or June 13, 2018, as applicable)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We paid a total of $1,500,000 in underwriting discounts and commissions and $1,687,451 for other costs and expenses related to our formation and the IPO.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use of the proceeds generated in our initial public offering, see Part I, Item 2 of this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5"/>
          </w:tcPr>
          <w:p>
            <w:pPr>
              <w:spacing w:after="0"/>
              <w:rPr>
                <w:sz w:val="20"/>
                <w:szCs w:val="20"/>
                <w:color w:val="auto"/>
              </w:rPr>
            </w:pPr>
            <w:r>
              <w:rPr>
                <w:rFonts w:ascii="Arial" w:cs="Arial" w:eastAsia="Arial" w:hAnsi="Arial"/>
                <w:sz w:val="18"/>
                <w:szCs w:val="18"/>
                <w:color w:val="auto"/>
              </w:rPr>
              <w:t>Exhibit No.</w:t>
            </w:r>
          </w:p>
        </w:tc>
        <w:tc>
          <w:tcPr>
            <w:tcW w:w="10260" w:type="dxa"/>
            <w:vAlign w:val="bottom"/>
            <w:gridSpan w:val="15"/>
          </w:tcPr>
          <w:p>
            <w:pPr>
              <w:spacing w:after="0"/>
              <w:rPr>
                <w:sz w:val="20"/>
                <w:szCs w:val="20"/>
                <w:color w:val="auto"/>
              </w:rPr>
            </w:pPr>
            <w:r>
              <w:rPr>
                <w:rFonts w:ascii="Arial" w:cs="Arial" w:eastAsia="Arial" w:hAnsi="Arial"/>
                <w:sz w:val="18"/>
                <w:szCs w:val="18"/>
                <w:color w:val="auto"/>
              </w:rPr>
              <w:t>Description</w:t>
            </w:r>
          </w:p>
        </w:tc>
      </w:tr>
      <w:tr>
        <w:trPr>
          <w:trHeight w:val="169"/>
        </w:trPr>
        <w:tc>
          <w:tcPr>
            <w:tcW w:w="20" w:type="dxa"/>
            <w:vAlign w:val="bottom"/>
          </w:tcPr>
          <w:p>
            <w:pPr>
              <w:spacing w:after="0"/>
              <w:rPr>
                <w:sz w:val="14"/>
                <w:szCs w:val="14"/>
                <w:color w:val="auto"/>
              </w:rPr>
            </w:pPr>
          </w:p>
        </w:tc>
        <w:tc>
          <w:tcPr>
            <w:tcW w:w="2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79"/>
              </w:rPr>
            </w:pPr>
            <w:hyperlink r:id="rId30">
              <w:r>
                <w:rPr>
                  <w:rFonts w:ascii="Arial" w:cs="Arial" w:eastAsia="Arial" w:hAnsi="Arial"/>
                  <w:sz w:val="18"/>
                  <w:szCs w:val="18"/>
                  <w:color w:val="0000EE"/>
                  <w:w w:val="79"/>
                </w:rPr>
                <w:t>2.</w:t>
              </w:r>
              <w:r>
                <w:rPr>
                  <w:rFonts w:ascii="Arial" w:cs="Arial" w:eastAsia="Arial" w:hAnsi="Arial"/>
                  <w:sz w:val="18"/>
                  <w:szCs w:val="18"/>
                  <w:u w:val="single" w:color="auto"/>
                  <w:color w:val="0000EE"/>
                  <w:w w:val="79"/>
                </w:rPr>
                <w:t>1</w:t>
              </w:r>
            </w:hyperlink>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40" w:type="dxa"/>
            <w:vAlign w:val="bottom"/>
            <w:tcBorders>
              <w:top w:val="single" w:sz="8" w:color="auto"/>
              <w:bottom w:val="single" w:sz="8" w:color="0000EE"/>
            </w:tcBorders>
            <w:gridSpan w:val="7"/>
          </w:tcPr>
          <w:p>
            <w:pPr>
              <w:spacing w:after="0" w:line="170"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Amended and Restated Contribution Agreement dated March 26, 2018 by and among Priority Investment Holdings, LLC and Priority</w:t>
              </w:r>
            </w:hyperlink>
          </w:p>
        </w:tc>
        <w:tc>
          <w:tcPr>
            <w:tcW w:w="620" w:type="dxa"/>
            <w:vAlign w:val="bottom"/>
            <w:tcBorders>
              <w:top w:val="single" w:sz="8" w:color="auto"/>
            </w:tcBorders>
            <w:gridSpan w:val="8"/>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15"/>
          </w:tcPr>
          <w:p>
            <w:pPr>
              <w:spacing w:after="0" w:line="196" w:lineRule="exact"/>
              <w:rPr>
                <w:rFonts w:ascii="Arial" w:cs="Arial" w:eastAsia="Arial" w:hAnsi="Arial"/>
                <w:sz w:val="18"/>
                <w:szCs w:val="18"/>
                <w:color w:val="0000EE"/>
                <w:w w:val="97"/>
              </w:rPr>
            </w:pPr>
            <w:hyperlink r:id="rId30">
              <w:r>
                <w:rPr>
                  <w:rFonts w:ascii="Arial" w:cs="Arial" w:eastAsia="Arial" w:hAnsi="Arial"/>
                  <w:sz w:val="18"/>
                  <w:szCs w:val="18"/>
                  <w:color w:val="0000EE"/>
                  <w:w w:val="97"/>
                </w:rPr>
                <w:t>Incentive Equity Holdings, LLC (Incorporated by reference to Exhibit 2.1 to the Annual Report on Form 10-K filed by the Company on</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March 27, 2018)</w:t>
              </w:r>
            </w:hyperlink>
          </w:p>
        </w:tc>
        <w:tc>
          <w:tcPr>
            <w:tcW w:w="480" w:type="dxa"/>
            <w:vAlign w:val="bottom"/>
            <w:gridSpan w:val="6"/>
          </w:tcPr>
          <w:p>
            <w:pPr>
              <w:spacing w:after="0"/>
              <w:rPr>
                <w:sz w:val="17"/>
                <w:szCs w:val="17"/>
                <w:color w:val="auto"/>
              </w:rPr>
            </w:pPr>
          </w:p>
        </w:tc>
      </w:tr>
      <w:tr>
        <w:trPr>
          <w:trHeight w:val="20"/>
        </w:trPr>
        <w:tc>
          <w:tcPr>
            <w:tcW w:w="3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20" w:type="dxa"/>
            <w:vAlign w:val="bottom"/>
            <w:gridSpan w:val="3"/>
          </w:tcPr>
          <w:p>
            <w:pPr>
              <w:spacing w:after="0"/>
              <w:rPr>
                <w:rFonts w:ascii="Arial" w:cs="Arial" w:eastAsia="Arial" w:hAnsi="Arial"/>
                <w:sz w:val="18"/>
                <w:szCs w:val="18"/>
                <w:color w:val="0000EE"/>
              </w:rPr>
            </w:pPr>
            <w:hyperlink r:id="rId31">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15"/>
          </w:tcPr>
          <w:p>
            <w:pPr>
              <w:spacing w:after="0"/>
              <w:rPr>
                <w:rFonts w:ascii="Arial" w:cs="Arial" w:eastAsia="Arial" w:hAnsi="Arial"/>
                <w:sz w:val="18"/>
                <w:szCs w:val="18"/>
                <w:color w:val="0000EE"/>
                <w:w w:val="92"/>
              </w:rPr>
            </w:pPr>
            <w:hyperlink r:id="rId31">
              <w:r>
                <w:rPr>
                  <w:rFonts w:ascii="Arial" w:cs="Arial" w:eastAsia="Arial" w:hAnsi="Arial"/>
                  <w:sz w:val="18"/>
                  <w:szCs w:val="18"/>
                  <w:color w:val="0000EE"/>
                  <w:w w:val="92"/>
                </w:rPr>
                <w:t>Second Amended and Restated Contribution Agreement (Incorporated by reference to Annex A to the Preliminary Proxy Statement filed by</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M I on April 19, 2018)</w:t>
              </w:r>
            </w:hyperlink>
          </w:p>
        </w:tc>
        <w:tc>
          <w:tcPr>
            <w:tcW w:w="180" w:type="dxa"/>
            <w:vAlign w:val="bottom"/>
            <w:gridSpan w:val="4"/>
          </w:tcPr>
          <w:p>
            <w:pPr>
              <w:spacing w:after="0"/>
              <w:rPr>
                <w:sz w:val="17"/>
                <w:szCs w:val="17"/>
                <w:color w:val="auto"/>
              </w:rPr>
            </w:pPr>
          </w:p>
        </w:tc>
      </w:tr>
      <w:tr>
        <w:trPr>
          <w:trHeight w:val="20"/>
        </w:trPr>
        <w:tc>
          <w:tcPr>
            <w:tcW w:w="3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40" w:type="dxa"/>
            <w:vAlign w:val="bottom"/>
            <w:gridSpan w:val="4"/>
          </w:tcPr>
          <w:p>
            <w:pPr>
              <w:spacing w:after="0"/>
              <w:rPr>
                <w:rFonts w:ascii="Arial" w:cs="Arial" w:eastAsia="Arial" w:hAnsi="Arial"/>
                <w:sz w:val="18"/>
                <w:szCs w:val="18"/>
                <w:color w:val="0000EE"/>
              </w:rPr>
            </w:pPr>
            <w:hyperlink r:id="rId32">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10260" w:type="dxa"/>
            <w:vAlign w:val="bottom"/>
            <w:gridSpan w:val="15"/>
          </w:tcPr>
          <w:p>
            <w:pPr>
              <w:spacing w:after="0"/>
              <w:rPr>
                <w:rFonts w:ascii="Arial" w:cs="Arial" w:eastAsia="Arial" w:hAnsi="Arial"/>
                <w:sz w:val="18"/>
                <w:szCs w:val="18"/>
                <w:color w:val="0000EE"/>
                <w:w w:val="93"/>
              </w:rPr>
            </w:pPr>
            <w:hyperlink r:id="rId32">
              <w:r>
                <w:rPr>
                  <w:rFonts w:ascii="Arial" w:cs="Arial" w:eastAsia="Arial" w:hAnsi="Arial"/>
                  <w:sz w:val="18"/>
                  <w:szCs w:val="18"/>
                  <w:color w:val="0000EE"/>
                  <w:w w:val="93"/>
                </w:rPr>
                <w:t>Purchase Agreement dated February 26, 2018 (incorporated by reference to Exhibit 10.2 to the Current Report on Form 8-K filed with the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Securities &amp; Exchange Commission on March 2, 2018)</w:t>
              </w:r>
            </w:hyperlink>
          </w:p>
        </w:tc>
        <w:tc>
          <w:tcPr>
            <w:tcW w:w="320" w:type="dxa"/>
            <w:vAlign w:val="bottom"/>
            <w:gridSpan w:val="5"/>
          </w:tcPr>
          <w:p>
            <w:pPr>
              <w:spacing w:after="0"/>
              <w:rPr>
                <w:sz w:val="17"/>
                <w:szCs w:val="17"/>
                <w:color w:val="auto"/>
              </w:rPr>
            </w:pPr>
          </w:p>
        </w:tc>
      </w:tr>
      <w:tr>
        <w:trPr>
          <w:trHeight w:val="20"/>
        </w:trPr>
        <w:tc>
          <w:tcPr>
            <w:tcW w:w="10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20" w:type="dxa"/>
            <w:vAlign w:val="bottom"/>
          </w:tcPr>
          <w:p>
            <w:pPr>
              <w:spacing w:after="0"/>
              <w:rPr>
                <w:sz w:val="17"/>
                <w:szCs w:val="17"/>
                <w:color w:val="auto"/>
              </w:rPr>
            </w:pPr>
          </w:p>
        </w:tc>
        <w:tc>
          <w:tcPr>
            <w:tcW w:w="10260" w:type="dxa"/>
            <w:vAlign w:val="bottom"/>
            <w:gridSpan w:val="15"/>
          </w:tcPr>
          <w:p>
            <w:pPr>
              <w:spacing w:after="0" w:line="196" w:lineRule="exact"/>
              <w:rPr>
                <w:rFonts w:ascii="Arial" w:cs="Arial" w:eastAsia="Arial" w:hAnsi="Arial"/>
                <w:sz w:val="18"/>
                <w:szCs w:val="18"/>
                <w:color w:val="0000EE"/>
                <w:w w:val="96"/>
              </w:rPr>
            </w:pPr>
            <w:hyperlink r:id="rId33">
              <w:r>
                <w:rPr>
                  <w:rFonts w:ascii="Arial" w:cs="Arial" w:eastAsia="Arial" w:hAnsi="Arial"/>
                  <w:sz w:val="18"/>
                  <w:szCs w:val="18"/>
                  <w:color w:val="0000EE"/>
                  <w:w w:val="96"/>
                </w:rPr>
                <w:t>Letter Agreement dated February 26, 2018 (incorporated by reference to Exhibit 10.3 to the Current Report on Form 8-K filed with the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Securities &amp; Exchange Commission on March 2, 2018)</w:t>
              </w:r>
            </w:hyperlink>
          </w:p>
        </w:tc>
        <w:tc>
          <w:tcPr>
            <w:tcW w:w="540" w:type="dxa"/>
            <w:vAlign w:val="bottom"/>
            <w:gridSpan w:val="7"/>
          </w:tcPr>
          <w:p>
            <w:pPr>
              <w:spacing w:after="0"/>
              <w:rPr>
                <w:sz w:val="17"/>
                <w:szCs w:val="17"/>
                <w:color w:val="auto"/>
              </w:rPr>
            </w:pPr>
          </w:p>
        </w:tc>
      </w:tr>
      <w:tr>
        <w:trPr>
          <w:trHeight w:val="20"/>
        </w:trPr>
        <w:tc>
          <w:tcPr>
            <w:tcW w:w="10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40" w:type="dxa"/>
            <w:vAlign w:val="bottom"/>
            <w:gridSpan w:val="4"/>
          </w:tcPr>
          <w:p>
            <w:pPr>
              <w:spacing w:after="0"/>
              <w:rPr>
                <w:rFonts w:ascii="Arial" w:cs="Arial" w:eastAsia="Arial" w:hAnsi="Arial"/>
                <w:sz w:val="18"/>
                <w:szCs w:val="18"/>
                <w:color w:val="0000EE"/>
              </w:rPr>
            </w:pPr>
            <w:hyperlink r:id="rId34">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20" w:type="dxa"/>
            <w:vAlign w:val="bottom"/>
          </w:tcPr>
          <w:p>
            <w:pPr>
              <w:spacing w:after="0"/>
              <w:rPr>
                <w:sz w:val="24"/>
                <w:szCs w:val="24"/>
                <w:color w:val="auto"/>
              </w:rPr>
            </w:pPr>
          </w:p>
        </w:tc>
        <w:tc>
          <w:tcPr>
            <w:tcW w:w="10260" w:type="dxa"/>
            <w:vAlign w:val="bottom"/>
            <w:gridSpan w:val="15"/>
          </w:tcPr>
          <w:p>
            <w:pPr>
              <w:spacing w:after="0"/>
              <w:rPr>
                <w:rFonts w:ascii="Arial" w:cs="Arial" w:eastAsia="Arial" w:hAnsi="Arial"/>
                <w:sz w:val="18"/>
                <w:szCs w:val="18"/>
                <w:color w:val="0000EE"/>
                <w:w w:val="92"/>
              </w:rPr>
            </w:pPr>
            <w:hyperlink r:id="rId34">
              <w:r>
                <w:rPr>
                  <w:rFonts w:ascii="Arial" w:cs="Arial" w:eastAsia="Arial" w:hAnsi="Arial"/>
                  <w:sz w:val="18"/>
                  <w:szCs w:val="18"/>
                  <w:color w:val="0000EE"/>
                  <w:w w:val="92"/>
                </w:rPr>
                <w:t>Promissory Note issued to M SPAC LLC dated March 13, 2018. (incorporated by reference to Exhibit 10.1 to the Current Report on Form 8-</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34">
              <w:r>
                <w:rPr>
                  <w:rFonts w:ascii="Arial" w:cs="Arial" w:eastAsia="Arial" w:hAnsi="Arial"/>
                  <w:sz w:val="18"/>
                  <w:szCs w:val="18"/>
                  <w:color w:val="0000EE"/>
                  <w:w w:val="92"/>
                </w:rPr>
                <w:t>K filed with the Securities &amp; Exchange Commission on March 14, 2018)</w:t>
              </w:r>
            </w:hyperlink>
          </w:p>
        </w:tc>
        <w:tc>
          <w:tcPr>
            <w:tcW w:w="4900" w:type="dxa"/>
            <w:vAlign w:val="bottom"/>
            <w:tcBorders>
              <w:top w:val="single" w:sz="8" w:color="0000EE"/>
            </w:tcBorders>
            <w:gridSpan w:val="9"/>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40" w:type="dxa"/>
            <w:vAlign w:val="bottom"/>
            <w:gridSpan w:val="4"/>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20" w:type="dxa"/>
            <w:vAlign w:val="bottom"/>
          </w:tcPr>
          <w:p>
            <w:pPr>
              <w:spacing w:after="0"/>
              <w:rPr>
                <w:sz w:val="17"/>
                <w:szCs w:val="17"/>
                <w:color w:val="auto"/>
              </w:rPr>
            </w:pPr>
          </w:p>
        </w:tc>
        <w:tc>
          <w:tcPr>
            <w:tcW w:w="10260" w:type="dxa"/>
            <w:vAlign w:val="bottom"/>
            <w:gridSpan w:val="15"/>
          </w:tcPr>
          <w:p>
            <w:pPr>
              <w:spacing w:after="0" w:line="196" w:lineRule="exact"/>
              <w:rPr>
                <w:rFonts w:ascii="Arial" w:cs="Arial" w:eastAsia="Arial" w:hAnsi="Arial"/>
                <w:sz w:val="18"/>
                <w:szCs w:val="18"/>
                <w:color w:val="0000EE"/>
                <w:w w:val="92"/>
              </w:rPr>
            </w:pPr>
            <w:hyperlink r:id="rId35">
              <w:r>
                <w:rPr>
                  <w:rFonts w:ascii="Arial" w:cs="Arial" w:eastAsia="Arial" w:hAnsi="Arial"/>
                  <w:sz w:val="18"/>
                  <w:szCs w:val="18"/>
                  <w:color w:val="0000EE"/>
                  <w:w w:val="92"/>
                </w:rPr>
                <w:t>Promissory Note issued to M SPAC Holdings I LLC dated March 13, 2018. (incorporated by reference to Exhibit 10.2 to the Current Report</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on Form 8-K filed with the Securities &amp; Exchange Commission on March 14, 2018)</w:t>
              </w:r>
            </w:hyperlink>
          </w:p>
        </w:tc>
        <w:tc>
          <w:tcPr>
            <w:tcW w:w="160" w:type="dxa"/>
            <w:vAlign w:val="bottom"/>
            <w:gridSpan w:val="3"/>
          </w:tcPr>
          <w:p>
            <w:pPr>
              <w:spacing w:after="0"/>
              <w:rPr>
                <w:sz w:val="17"/>
                <w:szCs w:val="17"/>
                <w:color w:val="auto"/>
              </w:rPr>
            </w:pPr>
          </w:p>
        </w:tc>
      </w:tr>
      <w:tr>
        <w:trPr>
          <w:trHeight w:val="20"/>
        </w:trPr>
        <w:tc>
          <w:tcPr>
            <w:tcW w:w="10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20" w:type="dxa"/>
            <w:vAlign w:val="bottom"/>
          </w:tcPr>
          <w:p>
            <w:pPr>
              <w:spacing w:after="0"/>
              <w:rPr>
                <w:sz w:val="17"/>
                <w:szCs w:val="17"/>
                <w:color w:val="auto"/>
              </w:rPr>
            </w:pPr>
          </w:p>
        </w:tc>
        <w:tc>
          <w:tcPr>
            <w:tcW w:w="10260" w:type="dxa"/>
            <w:vAlign w:val="bottom"/>
            <w:gridSpan w:val="15"/>
          </w:tcPr>
          <w:p>
            <w:pPr>
              <w:spacing w:after="0" w:line="196" w:lineRule="exact"/>
              <w:rPr>
                <w:rFonts w:ascii="Arial" w:cs="Arial" w:eastAsia="Arial" w:hAnsi="Arial"/>
                <w:sz w:val="18"/>
                <w:szCs w:val="18"/>
                <w:color w:val="0000EE"/>
                <w:w w:val="93"/>
              </w:rPr>
            </w:pPr>
            <w:hyperlink r:id="rId36">
              <w:r>
                <w:rPr>
                  <w:rFonts w:ascii="Arial" w:cs="Arial" w:eastAsia="Arial" w:hAnsi="Arial"/>
                  <w:sz w:val="18"/>
                  <w:szCs w:val="18"/>
                  <w:color w:val="0000EE"/>
                  <w:w w:val="93"/>
                </w:rPr>
                <w:t>Promissory Note issued to Priority dated April 12, 2018. (Incorporated by reference to Exhibit 10.1 to the Current Report on Form 8-K filed</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by the Company on April 13, 2018)</w:t>
              </w:r>
            </w:hyperlink>
          </w:p>
        </w:tc>
        <w:tc>
          <w:tcPr>
            <w:tcW w:w="7560" w:type="dxa"/>
            <w:vAlign w:val="bottom"/>
            <w:tcBorders>
              <w:top w:val="single" w:sz="8" w:color="0000EE"/>
            </w:tcBorders>
            <w:gridSpan w:val="10"/>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608"/>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5"/>
          </w:tcPr>
          <w:p>
            <w:pPr>
              <w:ind w:left="4460"/>
              <w:spacing w:after="0"/>
              <w:rPr>
                <w:sz w:val="20"/>
                <w:szCs w:val="20"/>
                <w:color w:val="auto"/>
              </w:rPr>
            </w:pPr>
            <w:r>
              <w:rPr>
                <w:rFonts w:ascii="Arial" w:cs="Arial" w:eastAsia="Arial" w:hAnsi="Arial"/>
                <w:sz w:val="18"/>
                <w:szCs w:val="18"/>
                <w:color w:val="auto"/>
              </w:rPr>
              <w:t>17</w:t>
            </w:r>
          </w:p>
        </w:tc>
        <w:tc>
          <w:tcPr>
            <w:tcW w:w="8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jc w:val="right"/>
              <w:ind w:right="840"/>
              <w:spacing w:after="0"/>
              <w:rPr>
                <w:rFonts w:ascii="Arial" w:cs="Arial" w:eastAsia="Arial" w:hAnsi="Arial"/>
                <w:sz w:val="18"/>
                <w:szCs w:val="18"/>
                <w:color w:val="0000EE"/>
                <w:w w:val="85"/>
              </w:rPr>
            </w:pPr>
            <w:hyperlink r:id="rId3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10140" w:type="dxa"/>
            <w:vAlign w:val="bottom"/>
            <w:gridSpan w:val="5"/>
          </w:tcPr>
          <w:p>
            <w:pPr>
              <w:spacing w:after="0"/>
              <w:rPr>
                <w:rFonts w:ascii="Arial" w:cs="Arial" w:eastAsia="Arial" w:hAnsi="Arial"/>
                <w:sz w:val="18"/>
                <w:szCs w:val="18"/>
                <w:color w:val="0000EE"/>
                <w:w w:val="92"/>
              </w:rPr>
            </w:pPr>
            <w:hyperlink r:id="rId37">
              <w:r>
                <w:rPr>
                  <w:rFonts w:ascii="Arial" w:cs="Arial" w:eastAsia="Arial" w:hAnsi="Arial"/>
                  <w:sz w:val="18"/>
                  <w:szCs w:val="18"/>
                  <w:color w:val="0000EE"/>
                  <w:w w:val="92"/>
                </w:rPr>
                <w:t>Promissory Note issued to Priority dated April 19, 2018. (Incorporated by reference to Exhibit 10.1 to the Current Report on Form 8-K filed</w:t>
              </w:r>
            </w:hyperlink>
          </w:p>
        </w:tc>
      </w:tr>
      <w:tr>
        <w:trPr>
          <w:trHeight w:val="196"/>
        </w:trPr>
        <w:tc>
          <w:tcPr>
            <w:tcW w:w="32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37">
              <w:r>
                <w:rPr>
                  <w:rFonts w:ascii="Arial" w:cs="Arial" w:eastAsia="Arial" w:hAnsi="Arial"/>
                  <w:sz w:val="18"/>
                  <w:szCs w:val="18"/>
                  <w:color w:val="0000EE"/>
                  <w:w w:val="92"/>
                </w:rPr>
                <w:t>by the Company on April 23, 2018)</w:t>
              </w:r>
            </w:hyperlink>
          </w:p>
        </w:tc>
        <w:tc>
          <w:tcPr>
            <w:tcW w:w="7560" w:type="dxa"/>
            <w:vAlign w:val="bottom"/>
            <w:tcBorders>
              <w:top w:val="single" w:sz="8" w:color="0000EE"/>
            </w:tcBorders>
            <w:gridSpan w:val="3"/>
          </w:tcPr>
          <w:p>
            <w:pPr>
              <w:spacing w:after="0"/>
              <w:rPr>
                <w:sz w:val="17"/>
                <w:szCs w:val="17"/>
                <w:color w:val="auto"/>
              </w:rPr>
            </w:pPr>
          </w:p>
        </w:tc>
      </w:tr>
      <w:tr>
        <w:trPr>
          <w:trHeight w:val="412"/>
        </w:trPr>
        <w:tc>
          <w:tcPr>
            <w:tcW w:w="1160" w:type="dxa"/>
            <w:vAlign w:val="bottom"/>
            <w:gridSpan w:val="2"/>
          </w:tcPr>
          <w:p>
            <w:pPr>
              <w:jc w:val="right"/>
              <w:ind w:right="840"/>
              <w:spacing w:after="0"/>
              <w:rPr>
                <w:rFonts w:ascii="Arial" w:cs="Arial" w:eastAsia="Arial" w:hAnsi="Arial"/>
                <w:sz w:val="18"/>
                <w:szCs w:val="18"/>
                <w:color w:val="0000EE"/>
                <w:w w:val="85"/>
              </w:rPr>
            </w:pPr>
            <w:hyperlink w:anchor="page22">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10140" w:type="dxa"/>
            <w:vAlign w:val="bottom"/>
            <w:gridSpan w:val="5"/>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Certification of Chief Executive Officer pursuant to Rule 13a-14 and Rule 15d-14(a), promulgated under the Securities and Exchange Act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1934, as amended.</w:t>
              </w:r>
            </w:hyperlink>
          </w:p>
        </w:tc>
        <w:tc>
          <w:tcPr>
            <w:tcW w:w="878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60" w:type="dxa"/>
            <w:vAlign w:val="bottom"/>
            <w:gridSpan w:val="2"/>
          </w:tcPr>
          <w:p>
            <w:pPr>
              <w:jc w:val="right"/>
              <w:ind w:right="840"/>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10140" w:type="dxa"/>
            <w:vAlign w:val="bottom"/>
            <w:gridSpan w:val="5"/>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Certification of Chief Financial Officer pursuant to Rule 13a-14 and Rule 15d-14(a), promulgated under the Securities and Exchange Act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1934, as amended.</w:t>
              </w:r>
            </w:hyperlink>
          </w:p>
        </w:tc>
        <w:tc>
          <w:tcPr>
            <w:tcW w:w="8740" w:type="dxa"/>
            <w:vAlign w:val="bottom"/>
            <w:tcBorders>
              <w:top w:val="single" w:sz="8" w:color="0000EE"/>
            </w:tcBorders>
            <w:gridSpan w:val="2"/>
          </w:tcPr>
          <w:p>
            <w:pPr>
              <w:spacing w:after="0"/>
              <w:rPr>
                <w:sz w:val="17"/>
                <w:szCs w:val="17"/>
                <w:color w:val="auto"/>
              </w:rPr>
            </w:pPr>
          </w:p>
        </w:tc>
        <w:tc>
          <w:tcPr>
            <w:tcW w:w="60" w:type="dxa"/>
            <w:vAlign w:val="bottom"/>
            <w:gridSpan w:val="2"/>
          </w:tcPr>
          <w:p>
            <w:pPr>
              <w:spacing w:after="0"/>
              <w:rPr>
                <w:sz w:val="17"/>
                <w:szCs w:val="17"/>
                <w:color w:val="auto"/>
              </w:rPr>
            </w:pPr>
          </w:p>
        </w:tc>
      </w:tr>
    </w:tbl>
    <w:p>
      <w:pPr>
        <w:spacing w:after="0" w:line="229" w:lineRule="exact"/>
        <w:rPr>
          <w:sz w:val="20"/>
          <w:szCs w:val="20"/>
          <w:color w:val="auto"/>
        </w:rPr>
      </w:pPr>
    </w:p>
    <w:p>
      <w:pPr>
        <w:ind w:left="1160" w:right="40" w:hanging="1152"/>
        <w:spacing w:after="0" w:line="277" w:lineRule="auto"/>
        <w:tabs>
          <w:tab w:leader="none" w:pos="1160" w:val="left"/>
        </w:tabs>
        <w:numPr>
          <w:ilvl w:val="0"/>
          <w:numId w:val="4"/>
        </w:numPr>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Certification of Chief Executive Officer and Chief Financial Officer pursuant to 18 U.S.C. Section 1350, as adopted pursuant to Section 906</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of the Sarbanes-Oxley Act of 2002.</w:t>
        </w:r>
      </w:hyperlink>
    </w:p>
    <w:p>
      <w:pPr>
        <w:spacing w:after="0" w:line="170"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2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2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2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2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2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20" w:type="dxa"/>
            <w:vAlign w:val="bottom"/>
          </w:tcPr>
          <w:p>
            <w:pPr>
              <w:ind w:left="24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337" w:lineRule="exact"/>
        <w:rPr>
          <w:rFonts w:ascii="Arial" w:cs="Arial" w:eastAsia="Arial" w:hAnsi="Arial"/>
          <w:sz w:val="18"/>
          <w:szCs w:val="18"/>
          <w:u w:val="single" w:color="auto"/>
          <w:color w:val="0000EE"/>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810" w:right="35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Joshua Sason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Marc Manuel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2018</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Joshua Sason, certify that:</w:t>
      </w:r>
    </w:p>
    <w:p>
      <w:pPr>
        <w:spacing w:after="0" w:line="225"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 I Acquisitions, Inc.;</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572"/>
        <w:spacing w:after="0" w:line="308"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160" w:hanging="572"/>
        <w:spacing w:after="0" w:line="26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right="20" w:hanging="571"/>
        <w:spacing w:after="0" w:line="264"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1" w:lineRule="exact"/>
        <w:rPr>
          <w:rFonts w:ascii="Arial" w:cs="Arial" w:eastAsia="Arial" w:hAnsi="Arial"/>
          <w:sz w:val="18"/>
          <w:szCs w:val="18"/>
          <w:color w:val="auto"/>
        </w:rPr>
      </w:pPr>
    </w:p>
    <w:p>
      <w:pPr>
        <w:ind w:left="1160" w:right="360" w:hanging="571"/>
        <w:spacing w:after="0" w:line="264"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81" w:lineRule="exact"/>
        <w:rPr>
          <w:rFonts w:ascii="Arial" w:cs="Arial" w:eastAsia="Arial" w:hAnsi="Arial"/>
          <w:sz w:val="18"/>
          <w:szCs w:val="18"/>
          <w:color w:val="auto"/>
        </w:rPr>
      </w:pPr>
    </w:p>
    <w:p>
      <w:pPr>
        <w:jc w:val="both"/>
        <w:ind w:left="1160" w:right="540" w:hanging="571"/>
        <w:spacing w:after="0" w:line="342" w:lineRule="auto"/>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1"/>
        <w:spacing w:after="0" w:line="264"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60" w:hanging="572"/>
        <w:spacing w:after="0" w:line="308"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780" w:hanging="571"/>
        <w:spacing w:after="0" w:line="342" w:lineRule="auto"/>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Date: May 14, 2018</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Joshua Sason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Manuel, certify that:</w:t>
      </w:r>
    </w:p>
    <w:p>
      <w:pPr>
        <w:spacing w:after="0" w:line="225"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 I Acquisitions, Inc.;</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572"/>
        <w:spacing w:after="0" w:line="308"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160" w:hanging="572"/>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right="20" w:hanging="571"/>
        <w:spacing w:after="0" w:line="264" w:lineRule="auto"/>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1" w:lineRule="exact"/>
        <w:rPr>
          <w:rFonts w:ascii="Arial" w:cs="Arial" w:eastAsia="Arial" w:hAnsi="Arial"/>
          <w:sz w:val="18"/>
          <w:szCs w:val="18"/>
          <w:color w:val="auto"/>
        </w:rPr>
      </w:pPr>
    </w:p>
    <w:p>
      <w:pPr>
        <w:ind w:left="1160" w:right="360" w:hanging="571"/>
        <w:spacing w:after="0" w:line="264" w:lineRule="auto"/>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81" w:lineRule="exact"/>
        <w:rPr>
          <w:rFonts w:ascii="Arial" w:cs="Arial" w:eastAsia="Arial" w:hAnsi="Arial"/>
          <w:sz w:val="18"/>
          <w:szCs w:val="18"/>
          <w:color w:val="auto"/>
        </w:rPr>
      </w:pPr>
    </w:p>
    <w:p>
      <w:pPr>
        <w:jc w:val="both"/>
        <w:ind w:left="1160" w:right="540" w:hanging="571"/>
        <w:spacing w:after="0" w:line="342" w:lineRule="auto"/>
        <w:tabs>
          <w:tab w:leader="none" w:pos="116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1"/>
        <w:spacing w:after="0" w:line="264" w:lineRule="auto"/>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60" w:hanging="572"/>
        <w:spacing w:after="0" w:line="308"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780" w:hanging="571"/>
        <w:spacing w:after="0" w:line="342" w:lineRule="auto"/>
        <w:tabs>
          <w:tab w:leader="none" w:pos="116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60" w:hanging="571"/>
        <w:spacing w:after="0" w:line="277" w:lineRule="auto"/>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Date: May 14, 2018</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Marc Manuel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connection with the Quarterly Report of M I Acquisitions, Inc. (the “Company”) on Form 10-Q for the quarter ended September 30, 2017 as filed with the Securities and Exchange Commission (the “Report”), each of the undersigned, in the capacities and on the dates indicated below, hereby certifies pursuant to 18 U.S.C. Section 1350, as adopted pursuant to Section 906 of the Sarbanes-Oxley Act of 2002, that:</w:t>
      </w:r>
    </w:p>
    <w:p>
      <w:pPr>
        <w:spacing w:after="0" w:line="181" w:lineRule="exact"/>
        <w:rPr>
          <w:sz w:val="20"/>
          <w:szCs w:val="20"/>
          <w:color w:val="auto"/>
        </w:rPr>
      </w:pP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right="340" w:hanging="341"/>
        <w:spacing w:after="0" w:line="384"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 of the Company. Date: May 14, 2018</w:t>
      </w:r>
    </w:p>
    <w:p>
      <w:pPr>
        <w:ind w:left="5720"/>
        <w:spacing w:after="0"/>
        <w:rPr>
          <w:sz w:val="20"/>
          <w:szCs w:val="20"/>
          <w:color w:val="auto"/>
        </w:rPr>
      </w:pPr>
      <w:r>
        <w:rPr>
          <w:rFonts w:ascii="Arial" w:cs="Arial" w:eastAsia="Arial" w:hAnsi="Arial"/>
          <w:sz w:val="18"/>
          <w:szCs w:val="18"/>
          <w:color w:val="auto"/>
        </w:rPr>
        <w:t>/s/ Joshua Sason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Date: May 14, 2018</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Marc Manuel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1)"/>
      <w:numFmt w:val="decimal"/>
      <w:start w:val="347"/>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32"/>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30" Type="http://schemas.openxmlformats.org/officeDocument/2006/relationships/hyperlink" Target="http://www.sec.gov/Archives/edgar/data/1653558/000161577418002122/s109376_ex2-1.htm" TargetMode="External"/><Relationship Id="rId31" Type="http://schemas.openxmlformats.org/officeDocument/2006/relationships/hyperlink" Target="http://www.sec.gov/Archives/edgar/data/1653558/000161577418002735/s109695_prem14a.htm" TargetMode="External"/><Relationship Id="rId32" Type="http://schemas.openxmlformats.org/officeDocument/2006/relationships/hyperlink" Target="http://www.sec.gov/Archives/edgar/data/1653558/000161577418001577/s109224_ex10-1.htm" TargetMode="External"/><Relationship Id="rId33" Type="http://schemas.openxmlformats.org/officeDocument/2006/relationships/hyperlink" Target="http://www.sec.gov/Archives/edgar/data/1653558/000161577418001577/s109224_ex10-2.htm" TargetMode="External"/><Relationship Id="rId34" Type="http://schemas.openxmlformats.org/officeDocument/2006/relationships/hyperlink" Target="http://www.sec.gov/Archives/edgar/data/1653558/000161577418001873/s109352_ex10-1.htm" TargetMode="External"/><Relationship Id="rId35" Type="http://schemas.openxmlformats.org/officeDocument/2006/relationships/hyperlink" Target="http://www.sec.gov/Archives/edgar/data/1653558/000161577418001873/s109352_ex10-2.htm" TargetMode="External"/><Relationship Id="rId36" Type="http://schemas.openxmlformats.org/officeDocument/2006/relationships/hyperlink" Target="http://www.sec.gov/Archives/edgar/data/1653558/000161577418002639/s109677_ex10-1.htm" TargetMode="External"/><Relationship Id="rId37" Type="http://schemas.openxmlformats.org/officeDocument/2006/relationships/hyperlink" Target="http://www.sec.gov/Archives/edgar/data/1653558/000161577418002802/s109739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2020-01-15T10:16:28Z</dcterms:created>
  <dcterms:modified xsi:type="dcterms:W3CDTF">2020-01-15T10:16:28Z</dcterms:modified>
</cp:coreProperties>
</file>