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8</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Priority Technology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Common Stock,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412115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Thomas C. Priore</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 Priority Technology Holdings, Inc., 2001 Westside Parkway, Suite 155</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Alpharetta, GA, 30004</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(800) 935-5961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11/03/2026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Thomas C. Priore</w:t>
      </w:r>
    </w:p>
    <w:p>
      <w:pPr>
        <w:spacing w:after="0" w:line="20"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1240"/>
          </w:cols>
          <w:pgMar w:left="320" w:top="866" w:right="339" w:bottom="73" w:gutter="0" w:footer="0" w:header="0"/>
        </w:sectPr>
      </w:pPr>
    </w:p>
    <w:bookmarkStart w:id="1" w:name="page2"/>
    <w:bookmarkEnd w:id="1"/>
    <w:p>
      <w:pPr>
        <w:ind w:left="1160"/>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ind w:left="1160"/>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OO</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tbl>
      <w:tblPr>
        <w:tblLayout w:type="fixed"/>
        <w:tblInd w:w="0" w:type="dxa"/>
        <w:tblCellMar>
          <w:top w:w="0" w:type="dxa"/>
          <w:left w:w="0" w:type="dxa"/>
          <w:bottom w:w="0" w:type="dxa"/>
          <w:right w:w="0" w:type="dxa"/>
        </w:tblCellMar>
      </w:tblPr>
      <w:tr>
        <w:trPr>
          <w:trHeight w:val="282"/>
        </w:trPr>
        <w:tc>
          <w:tcPr>
            <w:tcW w:w="10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5</w:t>
            </w:r>
          </w:p>
        </w:tc>
        <w:tc>
          <w:tcPr>
            <w:tcW w:w="10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2"/>
        </w:trPr>
        <w:tc>
          <w:tcPr>
            <w:tcW w:w="10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6</w:t>
            </w:r>
          </w:p>
        </w:tc>
        <w:tc>
          <w:tcPr>
            <w:tcW w:w="102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1020" w:type="dxa"/>
            <w:vAlign w:val="bottom"/>
            <w:vMerge w:val="continue"/>
          </w:tcPr>
          <w:p>
            <w:pPr>
              <w:spacing w:after="0"/>
              <w:rPr>
                <w:sz w:val="21"/>
                <w:szCs w:val="21"/>
                <w:color w:val="auto"/>
              </w:rPr>
            </w:pPr>
          </w:p>
        </w:tc>
        <w:tc>
          <w:tcPr>
            <w:tcW w:w="1022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UNITED STATES</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102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8"/>
        </w:trPr>
        <w:tc>
          <w:tcPr>
            <w:tcW w:w="1020" w:type="dxa"/>
            <w:vAlign w:val="bottom"/>
          </w:tcPr>
          <w:p>
            <w:pPr>
              <w:spacing w:after="0"/>
              <w:rPr>
                <w:sz w:val="24"/>
                <w:szCs w:val="24"/>
                <w:color w:val="auto"/>
              </w:rPr>
            </w:pPr>
          </w:p>
        </w:tc>
        <w:tc>
          <w:tcPr>
            <w:tcW w:w="1022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1022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0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Number of</w:t>
            </w:r>
          </w:p>
        </w:tc>
        <w:tc>
          <w:tcPr>
            <w:tcW w:w="1022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41,976,451.00</w:t>
            </w:r>
          </w:p>
        </w:tc>
        <w:tc>
          <w:tcPr>
            <w:tcW w:w="0" w:type="dxa"/>
            <w:vAlign w:val="bottom"/>
          </w:tcPr>
          <w:p>
            <w:pPr>
              <w:spacing w:after="0"/>
              <w:rPr>
                <w:sz w:val="1"/>
                <w:szCs w:val="1"/>
                <w:color w:val="auto"/>
              </w:rPr>
            </w:pPr>
          </w:p>
        </w:tc>
      </w:tr>
      <w:tr>
        <w:trPr>
          <w:trHeight w:val="42"/>
        </w:trPr>
        <w:tc>
          <w:tcPr>
            <w:tcW w:w="1020" w:type="dxa"/>
            <w:vAlign w:val="bottom"/>
            <w:vMerge w:val="continue"/>
          </w:tcPr>
          <w:p>
            <w:pPr>
              <w:spacing w:after="0"/>
              <w:rPr>
                <w:sz w:val="3"/>
                <w:szCs w:val="3"/>
                <w:color w:val="auto"/>
              </w:rPr>
            </w:pPr>
          </w:p>
        </w:tc>
        <w:tc>
          <w:tcPr>
            <w:tcW w:w="10220" w:type="dxa"/>
            <w:vAlign w:val="bottom"/>
            <w:vMerge w:val="restart"/>
          </w:tcPr>
          <w:p>
            <w:pPr>
              <w:ind w:left="4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020" w:type="dxa"/>
            <w:vAlign w:val="bottom"/>
          </w:tcPr>
          <w:p>
            <w:pPr>
              <w:ind w:left="40"/>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10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24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Beneficially 8</w:t>
            </w:r>
          </w:p>
        </w:tc>
        <w:tc>
          <w:tcPr>
            <w:tcW w:w="0" w:type="dxa"/>
            <w:vAlign w:val="bottom"/>
          </w:tcPr>
          <w:p>
            <w:pPr>
              <w:spacing w:after="0"/>
              <w:rPr>
                <w:sz w:val="1"/>
                <w:szCs w:val="1"/>
                <w:color w:val="auto"/>
              </w:rPr>
            </w:pPr>
          </w:p>
        </w:tc>
      </w:tr>
      <w:tr>
        <w:trPr>
          <w:trHeight w:val="270"/>
        </w:trPr>
        <w:tc>
          <w:tcPr>
            <w:tcW w:w="10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Owned by</w:t>
            </w:r>
          </w:p>
        </w:tc>
        <w:tc>
          <w:tcPr>
            <w:tcW w:w="1022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4,624,545.00</w:t>
            </w:r>
          </w:p>
        </w:tc>
        <w:tc>
          <w:tcPr>
            <w:tcW w:w="0" w:type="dxa"/>
            <w:vAlign w:val="bottom"/>
          </w:tcPr>
          <w:p>
            <w:pPr>
              <w:spacing w:after="0"/>
              <w:rPr>
                <w:sz w:val="1"/>
                <w:szCs w:val="1"/>
                <w:color w:val="auto"/>
              </w:rPr>
            </w:pPr>
          </w:p>
        </w:tc>
      </w:tr>
      <w:tr>
        <w:trPr>
          <w:trHeight w:val="243"/>
        </w:trPr>
        <w:tc>
          <w:tcPr>
            <w:tcW w:w="102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10220" w:type="dxa"/>
            <w:vAlign w:val="bottom"/>
          </w:tcPr>
          <w:p>
            <w:pPr>
              <w:ind w:left="46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02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1022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02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10220" w:type="dxa"/>
            <w:vAlign w:val="bottom"/>
          </w:tcPr>
          <w:p>
            <w:pPr>
              <w:ind w:left="460"/>
              <w:spacing w:after="0" w:line="243" w:lineRule="exact"/>
              <w:rPr>
                <w:sz w:val="20"/>
                <w:szCs w:val="20"/>
                <w:color w:val="auto"/>
              </w:rPr>
            </w:pPr>
            <w:r>
              <w:rPr>
                <w:rFonts w:ascii="Times New Roman" w:cs="Times New Roman" w:eastAsia="Times New Roman" w:hAnsi="Times New Roman"/>
                <w:sz w:val="22"/>
                <w:szCs w:val="22"/>
                <w:color w:val="auto"/>
              </w:rPr>
              <w:t>41,976,451.00</w:t>
            </w:r>
          </w:p>
        </w:tc>
        <w:tc>
          <w:tcPr>
            <w:tcW w:w="0" w:type="dxa"/>
            <w:vAlign w:val="bottom"/>
          </w:tcPr>
          <w:p>
            <w:pPr>
              <w:spacing w:after="0"/>
              <w:rPr>
                <w:sz w:val="1"/>
                <w:szCs w:val="1"/>
                <w:color w:val="auto"/>
              </w:rPr>
            </w:pPr>
          </w:p>
        </w:tc>
      </w:tr>
      <w:tr>
        <w:trPr>
          <w:trHeight w:val="282"/>
        </w:trPr>
        <w:tc>
          <w:tcPr>
            <w:tcW w:w="10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With:</w:t>
            </w:r>
          </w:p>
        </w:tc>
        <w:tc>
          <w:tcPr>
            <w:tcW w:w="10220" w:type="dxa"/>
            <w:vAlign w:val="bottom"/>
            <w:vMerge w:val="restart"/>
          </w:tcPr>
          <w:p>
            <w:pPr>
              <w:ind w:left="46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020" w:type="dxa"/>
            <w:vAlign w:val="bottom"/>
          </w:tcPr>
          <w:p>
            <w:pPr>
              <w:spacing w:after="0"/>
              <w:rPr>
                <w:sz w:val="3"/>
                <w:szCs w:val="3"/>
                <w:color w:val="auto"/>
              </w:rPr>
            </w:pPr>
          </w:p>
        </w:tc>
        <w:tc>
          <w:tcPr>
            <w:tcW w:w="102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1022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4"/>
                <w:szCs w:val="24"/>
                <w:color w:val="auto"/>
              </w:rPr>
            </w:pPr>
          </w:p>
        </w:tc>
        <w:tc>
          <w:tcPr>
            <w:tcW w:w="1022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4,624,545.00</w:t>
            </w:r>
          </w:p>
        </w:tc>
        <w:tc>
          <w:tcPr>
            <w:tcW w:w="0" w:type="dxa"/>
            <w:vAlign w:val="bottom"/>
          </w:tcPr>
          <w:p>
            <w:pPr>
              <w:spacing w:after="0"/>
              <w:rPr>
                <w:sz w:val="1"/>
                <w:szCs w:val="1"/>
                <w:color w:val="auto"/>
              </w:rPr>
            </w:pPr>
          </w:p>
        </w:tc>
      </w:tr>
      <w:tr>
        <w:trPr>
          <w:trHeight w:val="338"/>
        </w:trPr>
        <w:tc>
          <w:tcPr>
            <w:tcW w:w="10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11</w:t>
            </w:r>
          </w:p>
        </w:tc>
        <w:tc>
          <w:tcPr>
            <w:tcW w:w="102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020" w:type="dxa"/>
            <w:vAlign w:val="bottom"/>
            <w:vMerge w:val="continue"/>
          </w:tcPr>
          <w:p>
            <w:pPr>
              <w:spacing w:after="0"/>
              <w:rPr>
                <w:sz w:val="21"/>
                <w:szCs w:val="21"/>
                <w:color w:val="auto"/>
              </w:rPr>
            </w:pPr>
          </w:p>
        </w:tc>
        <w:tc>
          <w:tcPr>
            <w:tcW w:w="1022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46,600,996.00</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102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0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12</w:t>
            </w:r>
          </w:p>
        </w:tc>
        <w:tc>
          <w:tcPr>
            <w:tcW w:w="102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020" w:type="dxa"/>
            <w:vAlign w:val="bottom"/>
            <w:vMerge w:val="continue"/>
          </w:tcPr>
          <w:p>
            <w:pPr>
              <w:spacing w:after="0"/>
              <w:rPr>
                <w:sz w:val="18"/>
                <w:szCs w:val="18"/>
                <w:color w:val="auto"/>
              </w:rPr>
            </w:pPr>
          </w:p>
        </w:tc>
        <w:tc>
          <w:tcPr>
            <w:tcW w:w="10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6"/>
        </w:trPr>
        <w:tc>
          <w:tcPr>
            <w:tcW w:w="10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13</w:t>
            </w:r>
          </w:p>
        </w:tc>
        <w:tc>
          <w:tcPr>
            <w:tcW w:w="102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020" w:type="dxa"/>
            <w:vAlign w:val="bottom"/>
            <w:vMerge w:val="continue"/>
          </w:tcPr>
          <w:p>
            <w:pPr>
              <w:spacing w:after="0"/>
              <w:rPr>
                <w:sz w:val="21"/>
                <w:szCs w:val="21"/>
                <w:color w:val="auto"/>
              </w:rPr>
            </w:pPr>
          </w:p>
        </w:tc>
        <w:tc>
          <w:tcPr>
            <w:tcW w:w="1022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56.4 %</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102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0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14</w:t>
            </w:r>
          </w:p>
        </w:tc>
        <w:tc>
          <w:tcPr>
            <w:tcW w:w="102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020" w:type="dxa"/>
            <w:vAlign w:val="bottom"/>
            <w:vMerge w:val="continue"/>
          </w:tcPr>
          <w:p>
            <w:pPr>
              <w:spacing w:after="0"/>
              <w:rPr>
                <w:sz w:val="21"/>
                <w:szCs w:val="21"/>
                <w:color w:val="auto"/>
              </w:rPr>
            </w:pPr>
          </w:p>
        </w:tc>
        <w:tc>
          <w:tcPr>
            <w:tcW w:w="1022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IN</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102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477"/>
        </w:trPr>
        <w:tc>
          <w:tcPr>
            <w:tcW w:w="10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Comment</w:t>
            </w:r>
          </w:p>
        </w:tc>
        <w:tc>
          <w:tcPr>
            <w:tcW w:w="1022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8"/>
              </w:rPr>
              <w:t>Row 13: Calculated based on 82,572,061 shares of common stock, par value $0.001 per share ("Common Stock"), of</w:t>
            </w:r>
          </w:p>
        </w:tc>
        <w:tc>
          <w:tcPr>
            <w:tcW w:w="0" w:type="dxa"/>
            <w:vAlign w:val="bottom"/>
          </w:tcPr>
          <w:p>
            <w:pPr>
              <w:spacing w:after="0"/>
              <w:rPr>
                <w:sz w:val="1"/>
                <w:szCs w:val="1"/>
                <w:color w:val="auto"/>
              </w:rPr>
            </w:pPr>
          </w:p>
        </w:tc>
      </w:tr>
      <w:tr>
        <w:trPr>
          <w:trHeight w:val="229"/>
        </w:trPr>
        <w:tc>
          <w:tcPr>
            <w:tcW w:w="10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 of</w:t>
            </w:r>
          </w:p>
        </w:tc>
        <w:tc>
          <w:tcPr>
            <w:tcW w:w="10220" w:type="dxa"/>
            <w:vAlign w:val="bottom"/>
          </w:tcPr>
          <w:p>
            <w:pPr>
              <w:ind w:left="20"/>
              <w:spacing w:after="0" w:line="229" w:lineRule="exact"/>
              <w:rPr>
                <w:sz w:val="20"/>
                <w:szCs w:val="20"/>
                <w:color w:val="auto"/>
              </w:rPr>
            </w:pPr>
            <w:r>
              <w:rPr>
                <w:rFonts w:ascii="Times New Roman" w:cs="Times New Roman" w:eastAsia="Times New Roman" w:hAnsi="Times New Roman"/>
                <w:sz w:val="22"/>
                <w:szCs w:val="22"/>
                <w:color w:val="auto"/>
              </w:rPr>
              <w:t>Priority Technology Holdings, Inc. (the "Issuer") issued and outstanding as of October 23, 2026, as reported in the</w:t>
            </w:r>
          </w:p>
        </w:tc>
        <w:tc>
          <w:tcPr>
            <w:tcW w:w="0" w:type="dxa"/>
            <w:vAlign w:val="bottom"/>
          </w:tcPr>
          <w:p>
            <w:pPr>
              <w:spacing w:after="0"/>
              <w:rPr>
                <w:sz w:val="1"/>
                <w:szCs w:val="1"/>
                <w:color w:val="auto"/>
              </w:rPr>
            </w:pPr>
          </w:p>
        </w:tc>
      </w:tr>
      <w:tr>
        <w:trPr>
          <w:trHeight w:val="240"/>
        </w:trPr>
        <w:tc>
          <w:tcPr>
            <w:tcW w:w="10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Reporting</w:t>
            </w:r>
          </w:p>
        </w:tc>
        <w:tc>
          <w:tcPr>
            <w:tcW w:w="10220" w:type="dxa"/>
            <w:vAlign w:val="bottom"/>
          </w:tcPr>
          <w:p>
            <w:pPr>
              <w:ind w:left="20"/>
              <w:spacing w:after="0" w:line="240" w:lineRule="exact"/>
              <w:rPr>
                <w:sz w:val="20"/>
                <w:szCs w:val="20"/>
                <w:color w:val="auto"/>
              </w:rPr>
            </w:pPr>
            <w:r>
              <w:rPr>
                <w:rFonts w:ascii="Times New Roman" w:cs="Times New Roman" w:eastAsia="Times New Roman" w:hAnsi="Times New Roman"/>
                <w:sz w:val="22"/>
                <w:szCs w:val="22"/>
                <w:color w:val="auto"/>
                <w:w w:val="99"/>
              </w:rPr>
              <w:t>Issuer's Preliminary Proxy Statement on Schedule 14A filed with the Securities and Exchange Commission ("SEC")</w:t>
            </w:r>
          </w:p>
        </w:tc>
        <w:tc>
          <w:tcPr>
            <w:tcW w:w="0" w:type="dxa"/>
            <w:vAlign w:val="bottom"/>
          </w:tcPr>
          <w:p>
            <w:pPr>
              <w:spacing w:after="0"/>
              <w:rPr>
                <w:sz w:val="1"/>
                <w:szCs w:val="1"/>
                <w:color w:val="auto"/>
              </w:rPr>
            </w:pPr>
          </w:p>
        </w:tc>
      </w:tr>
      <w:tr>
        <w:trPr>
          <w:trHeight w:val="309"/>
        </w:trPr>
        <w:tc>
          <w:tcPr>
            <w:tcW w:w="10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Person:</w:t>
            </w:r>
          </w:p>
        </w:tc>
        <w:tc>
          <w:tcPr>
            <w:tcW w:w="102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on October 30, 2026 (the "Preliminary Proxy Statement").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-5433060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-1927225</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John V. Priore</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OO</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ectPr>
          <w:pgSz w:w="11900" w:h="16838" w:orient="portrait"/>
          <w:cols w:equalWidth="0" w:num="1">
            <w:col w:w="11240"/>
          </w:cols>
          <w:pgMar w:left="320" w:top="126" w:right="339" w:bottom="0" w:gutter="0" w:footer="0" w:header="0"/>
        </w:sectPr>
      </w:pP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1240"/>
          </w:cols>
          <w:pgMar w:left="320" w:top="126" w:right="339" w:bottom="0" w:gutter="0" w:footer="0" w:header="0"/>
          <w:type w:val="continuous"/>
        </w:sectPr>
      </w:pPr>
    </w:p>
    <w:bookmarkStart w:id="2" w:name="page3"/>
    <w:bookmarkEnd w:id="2"/>
    <w:p>
      <w:pPr>
        <w:ind w:left="1160" w:hanging="1112"/>
        <w:spacing w:after="0"/>
        <w:tabs>
          <w:tab w:leader="none" w:pos="11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Citizenship or place of organization</w:t>
      </w:r>
    </w:p>
    <w:p>
      <w:pPr>
        <w:spacing w:after="0" w:line="234"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100" w:type="dxa"/>
            <w:vAlign w:val="bottom"/>
          </w:tcPr>
          <w:p>
            <w:pPr>
              <w:spacing w:after="0"/>
              <w:rPr>
                <w:sz w:val="24"/>
                <w:szCs w:val="24"/>
                <w:color w:val="auto"/>
              </w:rPr>
            </w:pP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UNITED STATES</w:t>
            </w:r>
          </w:p>
        </w:tc>
        <w:tc>
          <w:tcPr>
            <w:tcW w:w="0" w:type="dxa"/>
            <w:vAlign w:val="bottom"/>
          </w:tcPr>
          <w:p>
            <w:pPr>
              <w:spacing w:after="0"/>
              <w:rPr>
                <w:sz w:val="1"/>
                <w:szCs w:val="1"/>
                <w:color w:val="auto"/>
              </w:rPr>
            </w:pPr>
          </w:p>
        </w:tc>
      </w:tr>
      <w:tr>
        <w:trPr>
          <w:trHeight w:val="298"/>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67,207.00</w:t>
            </w:r>
          </w:p>
        </w:tc>
        <w:tc>
          <w:tcPr>
            <w:tcW w:w="0" w:type="dxa"/>
            <w:vAlign w:val="bottom"/>
          </w:tcPr>
          <w:p>
            <w:pPr>
              <w:spacing w:after="0"/>
              <w:rPr>
                <w:sz w:val="1"/>
                <w:szCs w:val="1"/>
                <w:color w:val="auto"/>
              </w:rPr>
            </w:pPr>
          </w:p>
        </w:tc>
      </w:tr>
      <w:tr>
        <w:trPr>
          <w:trHeight w:val="42"/>
        </w:trPr>
        <w:tc>
          <w:tcPr>
            <w:tcW w:w="1100" w:type="dxa"/>
            <w:vAlign w:val="bottom"/>
            <w:vMerge w:val="continue"/>
          </w:tcPr>
          <w:p>
            <w:pPr>
              <w:spacing w:after="0"/>
              <w:rPr>
                <w:sz w:val="3"/>
                <w:szCs w:val="3"/>
                <w:color w:val="auto"/>
              </w:rPr>
            </w:pP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0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7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4,000,000.00</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67,207.00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100" w:type="dxa"/>
            <w:vAlign w:val="bottom"/>
          </w:tcPr>
          <w:p>
            <w:pPr>
              <w:spacing w:after="0"/>
              <w:rPr>
                <w:sz w:val="3"/>
                <w:szCs w:val="3"/>
                <w:color w:val="auto"/>
              </w:rPr>
            </w:pPr>
          </w:p>
        </w:tc>
        <w:tc>
          <w:tcPr>
            <w:tcW w:w="74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4,000,000.00</w:t>
            </w:r>
          </w:p>
        </w:tc>
        <w:tc>
          <w:tcPr>
            <w:tcW w:w="0" w:type="dxa"/>
            <w:vAlign w:val="bottom"/>
          </w:tcPr>
          <w:p>
            <w:pPr>
              <w:spacing w:after="0"/>
              <w:rPr>
                <w:sz w:val="1"/>
                <w:szCs w:val="1"/>
                <w:color w:val="auto"/>
              </w:rPr>
            </w:pPr>
          </w:p>
        </w:tc>
      </w:tr>
      <w:tr>
        <w:trPr>
          <w:trHeight w:val="33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4,067,207.00</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6"/>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4.9 %</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IN</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-1129665</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spacing w:after="0"/>
        <w:tabs>
          <w:tab w:leader="none" w:pos="1400" w:val="left"/>
        </w:tabs>
        <w:rPr>
          <w:sz w:val="20"/>
          <w:szCs w:val="20"/>
          <w:color w:val="auto"/>
        </w:rPr>
      </w:pPr>
      <w:r>
        <w:rPr>
          <w:rFonts w:ascii="Times New Roman" w:cs="Times New Roman" w:eastAsia="Times New Roman" w:hAnsi="Times New Roman"/>
          <w:sz w:val="19"/>
          <w:szCs w:val="19"/>
          <w:b w:val="1"/>
          <w:bCs w:val="1"/>
          <w:color w:val="auto"/>
        </w:rPr>
        <w:t>Comment for</w:t>
      </w:r>
      <w:r>
        <w:rPr>
          <w:sz w:val="20"/>
          <w:szCs w:val="20"/>
          <w:color w:val="auto"/>
        </w:rPr>
        <w:tab/>
      </w:r>
      <w:r>
        <w:rPr>
          <w:rFonts w:ascii="Times New Roman" w:cs="Times New Roman" w:eastAsia="Times New Roman" w:hAnsi="Times New Roman"/>
          <w:sz w:val="21"/>
          <w:szCs w:val="21"/>
          <w:color w:val="auto"/>
        </w:rPr>
        <w:t>Rows 8, 10, and 11: Includes 4,000,000 shares of Common Stock held directly by AESV CreditCard Consulting,</w:t>
      </w:r>
    </w:p>
    <w:tbl>
      <w:tblPr>
        <w:tblLayout w:type="fixed"/>
        <w:tblInd w:w="0" w:type="dxa"/>
        <w:tblCellMar>
          <w:top w:w="0" w:type="dxa"/>
          <w:left w:w="0" w:type="dxa"/>
          <w:bottom w:w="0" w:type="dxa"/>
          <w:right w:w="0" w:type="dxa"/>
        </w:tblCellMar>
      </w:tblPr>
      <w:tr>
        <w:trPr>
          <w:trHeight w:val="221"/>
        </w:trPr>
        <w:tc>
          <w:tcPr>
            <w:tcW w:w="114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Type of</w:t>
            </w:r>
          </w:p>
        </w:tc>
        <w:tc>
          <w:tcPr>
            <w:tcW w:w="10080" w:type="dxa"/>
            <w:vAlign w:val="bottom"/>
          </w:tcPr>
          <w:p>
            <w:pPr>
              <w:ind w:left="280"/>
              <w:spacing w:after="0" w:line="221" w:lineRule="exact"/>
              <w:rPr>
                <w:sz w:val="20"/>
                <w:szCs w:val="20"/>
                <w:color w:val="auto"/>
              </w:rPr>
            </w:pPr>
            <w:r>
              <w:rPr>
                <w:rFonts w:ascii="Times New Roman" w:cs="Times New Roman" w:eastAsia="Times New Roman" w:hAnsi="Times New Roman"/>
                <w:sz w:val="22"/>
                <w:szCs w:val="22"/>
                <w:color w:val="auto"/>
              </w:rPr>
              <w:t>LLC. Row 13: Calculated based on 82,572,061 shares of Common Stock issued and outstanding as of October</w:t>
            </w:r>
          </w:p>
        </w:tc>
      </w:tr>
      <w:tr>
        <w:trPr>
          <w:trHeight w:val="240"/>
        </w:trPr>
        <w:tc>
          <w:tcPr>
            <w:tcW w:w="114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Reporting</w:t>
            </w:r>
          </w:p>
        </w:tc>
        <w:tc>
          <w:tcPr>
            <w:tcW w:w="10080" w:type="dxa"/>
            <w:vAlign w:val="bottom"/>
          </w:tcPr>
          <w:p>
            <w:pPr>
              <w:ind w:left="280"/>
              <w:spacing w:after="0" w:line="240" w:lineRule="exact"/>
              <w:rPr>
                <w:sz w:val="20"/>
                <w:szCs w:val="20"/>
                <w:color w:val="auto"/>
              </w:rPr>
            </w:pPr>
            <w:r>
              <w:rPr>
                <w:rFonts w:ascii="Times New Roman" w:cs="Times New Roman" w:eastAsia="Times New Roman" w:hAnsi="Times New Roman"/>
                <w:sz w:val="22"/>
                <w:szCs w:val="22"/>
                <w:color w:val="auto"/>
              </w:rPr>
              <w:t>23, 2026, as reported in the Preliminary Proxy Statement.</w:t>
            </w:r>
          </w:p>
        </w:tc>
      </w:tr>
      <w:tr>
        <w:trPr>
          <w:trHeight w:val="257"/>
        </w:trPr>
        <w:tc>
          <w:tcPr>
            <w:tcW w:w="114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Person:</w:t>
            </w:r>
          </w:p>
        </w:tc>
        <w:tc>
          <w:tcPr>
            <w:tcW w:w="10080" w:type="dxa"/>
            <w:vAlign w:val="bottom"/>
          </w:tcPr>
          <w:p>
            <w:pPr>
              <w:spacing w:after="0"/>
              <w:rPr>
                <w:sz w:val="22"/>
                <w:szCs w:val="2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AESV CreditCard Consulting, LLC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6"/>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tbl>
      <w:tblPr>
        <w:tblLayout w:type="fixed"/>
        <w:tblInd w:w="40" w:type="dxa"/>
        <w:tblCellMar>
          <w:top w:w="0" w:type="dxa"/>
          <w:left w:w="0" w:type="dxa"/>
          <w:bottom w:w="0" w:type="dxa"/>
          <w:right w:w="0" w:type="dxa"/>
        </w:tblCellMar>
      </w:tblPr>
      <w:tr>
        <w:trPr>
          <w:trHeight w:val="273"/>
        </w:trPr>
        <w:tc>
          <w:tcPr>
            <w:tcW w:w="1100" w:type="dxa"/>
            <w:vAlign w:val="bottom"/>
          </w:tcPr>
          <w:p>
            <w:pPr>
              <w:spacing w:after="0"/>
              <w:rPr>
                <w:sz w:val="23"/>
                <w:szCs w:val="23"/>
                <w:color w:val="auto"/>
              </w:rPr>
            </w:pPr>
          </w:p>
        </w:tc>
        <w:tc>
          <w:tcPr>
            <w:tcW w:w="70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OO</w:t>
            </w:r>
          </w:p>
        </w:tc>
        <w:tc>
          <w:tcPr>
            <w:tcW w:w="0" w:type="dxa"/>
            <w:vAlign w:val="bottom"/>
          </w:tcPr>
          <w:p>
            <w:pPr>
              <w:spacing w:after="0"/>
              <w:rPr>
                <w:sz w:val="1"/>
                <w:szCs w:val="1"/>
                <w:color w:val="auto"/>
              </w:rPr>
            </w:pPr>
          </w:p>
        </w:tc>
      </w:t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5</w:t>
            </w:r>
          </w:p>
        </w:tc>
        <w:tc>
          <w:tcPr>
            <w:tcW w:w="70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8"/>
              </w:rPr>
              <w:t>Check if disclosure of legal proceedings is required pursuant to Items 2(d) or 2(e)</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6"/>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6</w:t>
            </w:r>
          </w:p>
        </w:tc>
        <w:tc>
          <w:tcPr>
            <w:tcW w:w="70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0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GEORGIA</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70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7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08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29"/>
        </w:trPr>
        <w:tc>
          <w:tcPr>
            <w:tcW w:w="110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Owned by</w:t>
            </w:r>
          </w:p>
        </w:tc>
        <w:tc>
          <w:tcPr>
            <w:tcW w:w="708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94"/>
        </w:trPr>
        <w:tc>
          <w:tcPr>
            <w:tcW w:w="11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100" w:type="dxa"/>
            <w:vAlign w:val="bottom"/>
            <w:vMerge w:val="continue"/>
          </w:tcPr>
          <w:p>
            <w:pPr>
              <w:spacing w:after="0"/>
              <w:rPr>
                <w:sz w:val="12"/>
                <w:szCs w:val="12"/>
                <w:color w:val="auto"/>
              </w:rPr>
            </w:pPr>
          </w:p>
        </w:tc>
        <w:tc>
          <w:tcPr>
            <w:tcW w:w="7080" w:type="dxa"/>
            <w:vAlign w:val="bottom"/>
            <w:vMerge w:val="restart"/>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95"/>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Reporting</w:t>
            </w:r>
          </w:p>
        </w:tc>
        <w:tc>
          <w:tcPr>
            <w:tcW w:w="7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88"/>
        </w:trPr>
        <w:tc>
          <w:tcPr>
            <w:tcW w:w="1100" w:type="dxa"/>
            <w:vAlign w:val="bottom"/>
            <w:vMerge w:val="continue"/>
          </w:tcPr>
          <w:p>
            <w:pPr>
              <w:spacing w:after="0"/>
              <w:rPr>
                <w:sz w:val="16"/>
                <w:szCs w:val="16"/>
                <w:color w:val="auto"/>
              </w:rPr>
            </w:pPr>
          </w:p>
        </w:tc>
        <w:tc>
          <w:tcPr>
            <w:tcW w:w="708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4,000,000.00</w:t>
            </w:r>
          </w:p>
        </w:tc>
        <w:tc>
          <w:tcPr>
            <w:tcW w:w="0" w:type="dxa"/>
            <w:vAlign w:val="bottom"/>
          </w:tcPr>
          <w:p>
            <w:pPr>
              <w:spacing w:after="0"/>
              <w:rPr>
                <w:sz w:val="1"/>
                <w:szCs w:val="1"/>
                <w:color w:val="auto"/>
              </w:rPr>
            </w:pPr>
          </w:p>
        </w:tc>
      </w:tr>
      <w:tr>
        <w:trPr>
          <w:trHeight w:val="95"/>
        </w:trPr>
        <w:tc>
          <w:tcPr>
            <w:tcW w:w="1100" w:type="dxa"/>
            <w:vAlign w:val="bottom"/>
          </w:tcPr>
          <w:p>
            <w:pPr>
              <w:spacing w:after="0"/>
              <w:rPr>
                <w:sz w:val="8"/>
                <w:szCs w:val="8"/>
                <w:color w:val="auto"/>
              </w:rPr>
            </w:pPr>
          </w:p>
        </w:tc>
        <w:tc>
          <w:tcPr>
            <w:tcW w:w="7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-1652905</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38" w:orient="portrait"/>
          <w:cols w:equalWidth="0" w:num="1">
            <w:col w:w="11240"/>
          </w:cols>
          <w:pgMar w:left="320" w:top="111" w:right="339" w:bottom="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53"/>
        </w:trPr>
        <w:tc>
          <w:tcPr>
            <w:tcW w:w="9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Person</w:t>
            </w:r>
          </w:p>
        </w:tc>
        <w:tc>
          <w:tcPr>
            <w:tcW w:w="10340" w:type="dxa"/>
            <w:vAlign w:val="bottom"/>
            <w:gridSpan w:val="2"/>
          </w:tcPr>
          <w:p>
            <w:pPr>
              <w:ind w:left="300"/>
              <w:spacing w:after="0"/>
              <w:rPr>
                <w:sz w:val="20"/>
                <w:szCs w:val="20"/>
                <w:color w:val="auto"/>
              </w:rPr>
            </w:pPr>
            <w:r>
              <w:rPr>
                <w:rFonts w:ascii="Times New Roman" w:cs="Times New Roman" w:eastAsia="Times New Roman" w:hAnsi="Times New Roman"/>
                <w:sz w:val="22"/>
                <w:szCs w:val="22"/>
                <w:color w:val="auto"/>
              </w:rPr>
              <w:t>9  Sole Dispositive Power</w:t>
            </w:r>
          </w:p>
        </w:tc>
        <w:tc>
          <w:tcPr>
            <w:tcW w:w="0" w:type="dxa"/>
            <w:vAlign w:val="bottom"/>
          </w:tcPr>
          <w:p>
            <w:pPr>
              <w:spacing w:after="0"/>
              <w:rPr>
                <w:sz w:val="1"/>
                <w:szCs w:val="1"/>
                <w:color w:val="auto"/>
              </w:rPr>
            </w:pPr>
          </w:p>
        </w:tc>
      </w:tr>
      <w:tr>
        <w:trPr>
          <w:trHeight w:val="282"/>
        </w:trPr>
        <w:tc>
          <w:tcPr>
            <w:tcW w:w="9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With:</w:t>
            </w:r>
          </w:p>
        </w:tc>
        <w:tc>
          <w:tcPr>
            <w:tcW w:w="1140" w:type="dxa"/>
            <w:vAlign w:val="bottom"/>
            <w:vMerge w:val="restart"/>
          </w:tcPr>
          <w:p>
            <w:pPr>
              <w:ind w:left="580"/>
              <w:spacing w:after="0"/>
              <w:rPr>
                <w:sz w:val="20"/>
                <w:szCs w:val="20"/>
                <w:color w:val="auto"/>
              </w:rPr>
            </w:pPr>
            <w:r>
              <w:rPr>
                <w:rFonts w:ascii="Times New Roman" w:cs="Times New Roman" w:eastAsia="Times New Roman" w:hAnsi="Times New Roman"/>
                <w:sz w:val="22"/>
                <w:szCs w:val="22"/>
                <w:color w:val="auto"/>
              </w:rPr>
              <w:t>0.00</w:t>
            </w:r>
          </w:p>
        </w:tc>
        <w:tc>
          <w:tcPr>
            <w:tcW w:w="9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900" w:type="dxa"/>
            <w:vAlign w:val="bottom"/>
          </w:tcPr>
          <w:p>
            <w:pPr>
              <w:spacing w:after="0"/>
              <w:rPr>
                <w:sz w:val="21"/>
                <w:szCs w:val="21"/>
                <w:color w:val="auto"/>
              </w:rPr>
            </w:pPr>
          </w:p>
        </w:tc>
        <w:tc>
          <w:tcPr>
            <w:tcW w:w="1140" w:type="dxa"/>
            <w:vAlign w:val="bottom"/>
            <w:vMerge w:val="continue"/>
          </w:tcPr>
          <w:p>
            <w:pPr>
              <w:spacing w:after="0"/>
              <w:rPr>
                <w:sz w:val="21"/>
                <w:szCs w:val="21"/>
                <w:color w:val="auto"/>
              </w:rPr>
            </w:pPr>
          </w:p>
        </w:tc>
        <w:tc>
          <w:tcPr>
            <w:tcW w:w="9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900" w:type="dxa"/>
            <w:vAlign w:val="bottom"/>
          </w:tcPr>
          <w:p>
            <w:pPr>
              <w:spacing w:after="0"/>
              <w:rPr>
                <w:sz w:val="22"/>
                <w:szCs w:val="22"/>
                <w:color w:val="auto"/>
              </w:rPr>
            </w:pPr>
          </w:p>
        </w:tc>
        <w:tc>
          <w:tcPr>
            <w:tcW w:w="10340" w:type="dxa"/>
            <w:vAlign w:val="bottom"/>
            <w:gridSpan w:val="2"/>
          </w:tcPr>
          <w:p>
            <w:pPr>
              <w:ind w:left="58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243"/>
        </w:trPr>
        <w:tc>
          <w:tcPr>
            <w:tcW w:w="900" w:type="dxa"/>
            <w:vAlign w:val="bottom"/>
          </w:tcPr>
          <w:p>
            <w:pPr>
              <w:spacing w:after="0"/>
              <w:rPr>
                <w:sz w:val="21"/>
                <w:szCs w:val="21"/>
                <w:color w:val="auto"/>
              </w:rPr>
            </w:pPr>
          </w:p>
        </w:tc>
        <w:tc>
          <w:tcPr>
            <w:tcW w:w="114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9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900" w:type="dxa"/>
            <w:vAlign w:val="bottom"/>
          </w:tcPr>
          <w:p>
            <w:pPr>
              <w:spacing w:after="0"/>
              <w:rPr>
                <w:sz w:val="24"/>
                <w:szCs w:val="24"/>
                <w:color w:val="auto"/>
              </w:rPr>
            </w:pPr>
          </w:p>
        </w:tc>
        <w:tc>
          <w:tcPr>
            <w:tcW w:w="10340" w:type="dxa"/>
            <w:vAlign w:val="bottom"/>
            <w:gridSpan w:val="2"/>
          </w:tcPr>
          <w:p>
            <w:pPr>
              <w:ind w:left="580"/>
              <w:spacing w:after="0"/>
              <w:rPr>
                <w:sz w:val="20"/>
                <w:szCs w:val="20"/>
                <w:color w:val="auto"/>
              </w:rPr>
            </w:pPr>
            <w:r>
              <w:rPr>
                <w:rFonts w:ascii="Times New Roman" w:cs="Times New Roman" w:eastAsia="Times New Roman" w:hAnsi="Times New Roman"/>
                <w:sz w:val="22"/>
                <w:szCs w:val="22"/>
                <w:color w:val="auto"/>
              </w:rPr>
              <w:t>4,000,000.00</w:t>
            </w:r>
          </w:p>
        </w:tc>
        <w:tc>
          <w:tcPr>
            <w:tcW w:w="0" w:type="dxa"/>
            <w:vAlign w:val="bottom"/>
          </w:tcPr>
          <w:p>
            <w:pPr>
              <w:spacing w:after="0"/>
              <w:rPr>
                <w:sz w:val="1"/>
                <w:szCs w:val="1"/>
                <w:color w:val="auto"/>
              </w:rPr>
            </w:pPr>
          </w:p>
        </w:tc>
      </w:tr>
      <w:tr>
        <w:trPr>
          <w:trHeight w:val="338"/>
        </w:trPr>
        <w:tc>
          <w:tcPr>
            <w:tcW w:w="9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11</w:t>
            </w:r>
          </w:p>
        </w:tc>
        <w:tc>
          <w:tcPr>
            <w:tcW w:w="1034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900" w:type="dxa"/>
            <w:vAlign w:val="bottom"/>
            <w:vMerge w:val="continue"/>
          </w:tcPr>
          <w:p>
            <w:pPr>
              <w:spacing w:after="0"/>
              <w:rPr>
                <w:sz w:val="21"/>
                <w:szCs w:val="21"/>
                <w:color w:val="auto"/>
              </w:rPr>
            </w:pPr>
          </w:p>
        </w:tc>
        <w:tc>
          <w:tcPr>
            <w:tcW w:w="10340" w:type="dxa"/>
            <w:vAlign w:val="bottom"/>
            <w:gridSpan w:val="2"/>
            <w:vMerge w:val="restart"/>
          </w:tcPr>
          <w:p>
            <w:pPr>
              <w:ind w:left="260"/>
              <w:spacing w:after="0"/>
              <w:rPr>
                <w:sz w:val="20"/>
                <w:szCs w:val="20"/>
                <w:color w:val="auto"/>
              </w:rPr>
            </w:pPr>
            <w:r>
              <w:rPr>
                <w:rFonts w:ascii="Times New Roman" w:cs="Times New Roman" w:eastAsia="Times New Roman" w:hAnsi="Times New Roman"/>
                <w:sz w:val="22"/>
                <w:szCs w:val="22"/>
                <w:color w:val="auto"/>
              </w:rPr>
              <w:t>4,000,000.00</w:t>
            </w:r>
          </w:p>
        </w:tc>
        <w:tc>
          <w:tcPr>
            <w:tcW w:w="0" w:type="dxa"/>
            <w:vAlign w:val="bottom"/>
          </w:tcPr>
          <w:p>
            <w:pPr>
              <w:spacing w:after="0"/>
              <w:rPr>
                <w:sz w:val="1"/>
                <w:szCs w:val="1"/>
                <w:color w:val="auto"/>
              </w:rPr>
            </w:pPr>
          </w:p>
        </w:tc>
      </w:tr>
      <w:tr>
        <w:trPr>
          <w:trHeight w:val="243"/>
        </w:trPr>
        <w:tc>
          <w:tcPr>
            <w:tcW w:w="900" w:type="dxa"/>
            <w:vAlign w:val="bottom"/>
          </w:tcPr>
          <w:p>
            <w:pPr>
              <w:spacing w:after="0"/>
              <w:rPr>
                <w:sz w:val="21"/>
                <w:szCs w:val="21"/>
                <w:color w:val="auto"/>
              </w:rPr>
            </w:pPr>
          </w:p>
        </w:tc>
        <w:tc>
          <w:tcPr>
            <w:tcW w:w="1034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9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12</w:t>
            </w:r>
          </w:p>
        </w:tc>
        <w:tc>
          <w:tcPr>
            <w:tcW w:w="1034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900" w:type="dxa"/>
            <w:vAlign w:val="bottom"/>
            <w:vMerge w:val="continue"/>
          </w:tcPr>
          <w:p>
            <w:pPr>
              <w:spacing w:after="0"/>
              <w:rPr>
                <w:sz w:val="18"/>
                <w:szCs w:val="18"/>
                <w:color w:val="auto"/>
              </w:rPr>
            </w:pPr>
          </w:p>
        </w:tc>
        <w:tc>
          <w:tcPr>
            <w:tcW w:w="1140" w:type="dxa"/>
            <w:vAlign w:val="bottom"/>
          </w:tcPr>
          <w:p>
            <w:pPr>
              <w:spacing w:after="0"/>
              <w:rPr>
                <w:sz w:val="18"/>
                <w:szCs w:val="18"/>
                <w:color w:val="auto"/>
              </w:rPr>
            </w:pPr>
          </w:p>
        </w:tc>
        <w:tc>
          <w:tcPr>
            <w:tcW w:w="9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6"/>
        </w:trPr>
        <w:tc>
          <w:tcPr>
            <w:tcW w:w="9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13</w:t>
            </w:r>
          </w:p>
        </w:tc>
        <w:tc>
          <w:tcPr>
            <w:tcW w:w="1034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900" w:type="dxa"/>
            <w:vAlign w:val="bottom"/>
            <w:vMerge w:val="continue"/>
          </w:tcPr>
          <w:p>
            <w:pPr>
              <w:spacing w:after="0"/>
              <w:rPr>
                <w:sz w:val="21"/>
                <w:szCs w:val="21"/>
                <w:color w:val="auto"/>
              </w:rPr>
            </w:pPr>
          </w:p>
        </w:tc>
        <w:tc>
          <w:tcPr>
            <w:tcW w:w="1140" w:type="dxa"/>
            <w:vAlign w:val="bottom"/>
            <w:vMerge w:val="restart"/>
          </w:tcPr>
          <w:p>
            <w:pPr>
              <w:ind w:left="260"/>
              <w:spacing w:after="0"/>
              <w:rPr>
                <w:sz w:val="20"/>
                <w:szCs w:val="20"/>
                <w:color w:val="auto"/>
              </w:rPr>
            </w:pPr>
            <w:r>
              <w:rPr>
                <w:rFonts w:ascii="Times New Roman" w:cs="Times New Roman" w:eastAsia="Times New Roman" w:hAnsi="Times New Roman"/>
                <w:sz w:val="22"/>
                <w:szCs w:val="22"/>
                <w:color w:val="auto"/>
              </w:rPr>
              <w:t>4.8 %</w:t>
            </w:r>
          </w:p>
        </w:tc>
        <w:tc>
          <w:tcPr>
            <w:tcW w:w="9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00" w:type="dxa"/>
            <w:vAlign w:val="bottom"/>
          </w:tcPr>
          <w:p>
            <w:pPr>
              <w:spacing w:after="0"/>
              <w:rPr>
                <w:sz w:val="21"/>
                <w:szCs w:val="21"/>
                <w:color w:val="auto"/>
              </w:rPr>
            </w:pPr>
          </w:p>
        </w:tc>
        <w:tc>
          <w:tcPr>
            <w:tcW w:w="1140" w:type="dxa"/>
            <w:vAlign w:val="bottom"/>
            <w:vMerge w:val="continue"/>
          </w:tcPr>
          <w:p>
            <w:pPr>
              <w:spacing w:after="0"/>
              <w:rPr>
                <w:sz w:val="21"/>
                <w:szCs w:val="21"/>
                <w:color w:val="auto"/>
              </w:rPr>
            </w:pPr>
          </w:p>
        </w:tc>
        <w:tc>
          <w:tcPr>
            <w:tcW w:w="9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9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14</w:t>
            </w:r>
          </w:p>
        </w:tc>
        <w:tc>
          <w:tcPr>
            <w:tcW w:w="1034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900" w:type="dxa"/>
            <w:vAlign w:val="bottom"/>
            <w:vMerge w:val="continue"/>
          </w:tcPr>
          <w:p>
            <w:pPr>
              <w:spacing w:after="0"/>
              <w:rPr>
                <w:sz w:val="21"/>
                <w:szCs w:val="21"/>
                <w:color w:val="auto"/>
              </w:rPr>
            </w:pPr>
          </w:p>
        </w:tc>
        <w:tc>
          <w:tcPr>
            <w:tcW w:w="1140" w:type="dxa"/>
            <w:vAlign w:val="bottom"/>
            <w:vMerge w:val="restart"/>
          </w:tcPr>
          <w:p>
            <w:pPr>
              <w:ind w:left="260"/>
              <w:spacing w:after="0"/>
              <w:rPr>
                <w:sz w:val="20"/>
                <w:szCs w:val="20"/>
                <w:color w:val="auto"/>
              </w:rPr>
            </w:pPr>
            <w:r>
              <w:rPr>
                <w:rFonts w:ascii="Times New Roman" w:cs="Times New Roman" w:eastAsia="Times New Roman" w:hAnsi="Times New Roman"/>
                <w:sz w:val="22"/>
                <w:szCs w:val="22"/>
                <w:color w:val="auto"/>
              </w:rPr>
              <w:t>OO</w:t>
            </w:r>
          </w:p>
        </w:tc>
        <w:tc>
          <w:tcPr>
            <w:tcW w:w="9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00" w:type="dxa"/>
            <w:vAlign w:val="bottom"/>
          </w:tcPr>
          <w:p>
            <w:pPr>
              <w:spacing w:after="0"/>
              <w:rPr>
                <w:sz w:val="21"/>
                <w:szCs w:val="21"/>
                <w:color w:val="auto"/>
              </w:rPr>
            </w:pPr>
          </w:p>
        </w:tc>
        <w:tc>
          <w:tcPr>
            <w:tcW w:w="1140" w:type="dxa"/>
            <w:vAlign w:val="bottom"/>
            <w:vMerge w:val="continue"/>
          </w:tcPr>
          <w:p>
            <w:pPr>
              <w:spacing w:after="0"/>
              <w:rPr>
                <w:sz w:val="21"/>
                <w:szCs w:val="21"/>
                <w:color w:val="auto"/>
              </w:rPr>
            </w:pPr>
          </w:p>
        </w:tc>
        <w:tc>
          <w:tcPr>
            <w:tcW w:w="9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7"/>
        </w:trPr>
        <w:tc>
          <w:tcPr>
            <w:tcW w:w="204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Comment for Type of</w:t>
            </w:r>
          </w:p>
        </w:tc>
        <w:tc>
          <w:tcPr>
            <w:tcW w:w="920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Row 13: Calculated based on 82,572,061 shares of Common Stock issued and outstanding as of</w:t>
            </w:r>
          </w:p>
        </w:tc>
        <w:tc>
          <w:tcPr>
            <w:tcW w:w="0" w:type="dxa"/>
            <w:vAlign w:val="bottom"/>
          </w:tcPr>
          <w:p>
            <w:pPr>
              <w:spacing w:after="0"/>
              <w:rPr>
                <w:sz w:val="1"/>
                <w:szCs w:val="1"/>
                <w:color w:val="auto"/>
              </w:rPr>
            </w:pPr>
          </w:p>
        </w:tc>
      </w:tr>
      <w:tr>
        <w:trPr>
          <w:trHeight w:val="292"/>
        </w:trPr>
        <w:tc>
          <w:tcPr>
            <w:tcW w:w="204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Reporting Person:</w:t>
            </w:r>
          </w:p>
        </w:tc>
        <w:tc>
          <w:tcPr>
            <w:tcW w:w="920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October 23, 2026, as reported in the Preliminary Proxy Statement.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-1618615</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Common Stock, par value $0.001 per share</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Priority Technology Holdings, Inc.</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ind w:left="960"/>
        <w:spacing w:after="0"/>
        <w:rPr>
          <w:sz w:val="20"/>
          <w:szCs w:val="20"/>
          <w:color w:val="auto"/>
        </w:rPr>
      </w:pPr>
      <w:r>
        <w:rPr>
          <w:rFonts w:ascii="Times New Roman" w:cs="Times New Roman" w:eastAsia="Times New Roman" w:hAnsi="Times New Roman"/>
          <w:sz w:val="22"/>
          <w:szCs w:val="22"/>
          <w:color w:val="auto"/>
        </w:rPr>
        <w:t>2001 Westside Parkway, Suite 155, Alpharetta, GEORGIA , 30004.</w:t>
      </w:r>
    </w:p>
    <w:p>
      <w:pPr>
        <w:spacing w:after="0" w:line="20" w:lineRule="exact"/>
        <w:rPr>
          <w:sz w:val="20"/>
          <w:szCs w:val="20"/>
          <w:color w:val="auto"/>
        </w:rPr>
      </w:pPr>
    </w:p>
    <w:p>
      <w:pPr>
        <w:jc w:val="right"/>
        <w:ind w:left="40" w:right="40"/>
        <w:spacing w:after="0" w:line="243" w:lineRule="auto"/>
        <w:rPr>
          <w:sz w:val="20"/>
          <w:szCs w:val="20"/>
          <w:color w:val="auto"/>
        </w:rPr>
      </w:pPr>
      <w:r>
        <w:rPr>
          <w:rFonts w:ascii="Times New Roman" w:cs="Times New Roman" w:eastAsia="Times New Roman" w:hAnsi="Times New Roman"/>
          <w:sz w:val="19"/>
          <w:szCs w:val="19"/>
          <w:b w:val="1"/>
          <w:bCs w:val="1"/>
          <w:color w:val="auto"/>
        </w:rPr>
        <w:t xml:space="preserve">Item 1    </w:t>
      </w:r>
      <w:r>
        <w:rPr>
          <w:rFonts w:ascii="Times New Roman" w:cs="Times New Roman" w:eastAsia="Times New Roman" w:hAnsi="Times New Roman"/>
          <w:sz w:val="21"/>
          <w:szCs w:val="21"/>
          <w:color w:val="auto"/>
        </w:rPr>
        <w:t>This Amendment No. 8 ("Amendment No. 8") amends and supplements the statement on Schedule 13D filed with the</w:t>
      </w:r>
      <w:r>
        <w:rPr>
          <w:rFonts w:ascii="Times New Roman" w:cs="Times New Roman" w:eastAsia="Times New Roman" w:hAnsi="Times New Roman"/>
          <w:sz w:val="19"/>
          <w:szCs w:val="19"/>
          <w:b w:val="1"/>
          <w:bCs w:val="1"/>
          <w:color w:val="auto"/>
        </w:rPr>
        <w:t xml:space="preserve"> Comment: </w:t>
      </w:r>
      <w:r>
        <w:rPr>
          <w:rFonts w:ascii="Times New Roman" w:cs="Times New Roman" w:eastAsia="Times New Roman" w:hAnsi="Times New Roman"/>
          <w:sz w:val="21"/>
          <w:szCs w:val="21"/>
          <w:color w:val="auto"/>
        </w:rPr>
        <w:t>SEC on July 25, 2018 (the "Original Schedule 13D"), as amended by Amendment No. 1 to the Original Schedule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21"/>
          <w:szCs w:val="21"/>
          <w:color w:val="auto"/>
        </w:rPr>
        <w:t>13D filed with the SEC on August 21, 2019 ("Amendment No. 1"), Amendment No. 2 to the Original Schedule 13D filed with the SEC on November 19, 2019 ("Amendment No. 2"), Amendment No. 3 to the Original Schedule 13D filed with the SEC on April 6, 2020 ("Amendment No. 3"), Amendment No. 4 to the Original Schedule 13D filed with the SEC on June 21, 2024 ("Amendment No. 4"), Amendment No. 5 to Original Schedule 13D filed with the SEC on November 10, 2025 ("Amendment No. 5"), Amendment No. 6 to the Original Schedule 13D filed with the SEC on December 18, 2025 ("Amendment No. 6") and Amendment No. 7 to the Original Schedule 13D filed with the SEC on September 21, 2026 ("Amendment No. 7") (collectively, the "Schedule 13D"). The Schedule 13D remains in full force and effect, except as specifically amended by this Amendment No. 8. Capitalized terms used herein and not otherwise defined in this Amendment No. 8 have the meanings set forth in the Schedule 13D. This Amendment No. 8 is being filed solely to (i) correct the number of shares of Common Stock reported as beneficially owned by Thomas C. Priore, including the allocation between sole and shared voting and dispositive power, (ii) disclose the entry into Amendment No. 1 to the Support Agreement and (iii) correct the state of organization of AESV. These updates are not the result of any acquisitions or dispositions of shares of Common Stock by any</w:t>
      </w:r>
    </w:p>
    <w:p>
      <w:pPr>
        <w:spacing w:after="0" w:line="246"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2"/>
          <w:szCs w:val="22"/>
          <w:color w:val="auto"/>
        </w:rPr>
        <w:t>Reporting Person.</w:t>
      </w:r>
    </w:p>
    <w:p>
      <w:pPr>
        <w:spacing w:after="0" w:line="20"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2.</w:t>
      </w:r>
      <w:r>
        <w:rPr>
          <w:sz w:val="20"/>
          <w:szCs w:val="20"/>
          <w:color w:val="auto"/>
        </w:rPr>
        <w:tab/>
      </w:r>
      <w:r>
        <w:rPr>
          <w:rFonts w:ascii="Times New Roman" w:cs="Times New Roman" w:eastAsia="Times New Roman" w:hAnsi="Times New Roman"/>
          <w:sz w:val="21"/>
          <w:szCs w:val="21"/>
          <w:color w:val="auto"/>
        </w:rPr>
        <w:t>Identity and Background</w:t>
      </w:r>
    </w:p>
    <w:p>
      <w:pPr>
        <w:spacing w:after="0" w:line="71"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Item 2(a) of the Schedule 13D is hereby amended and restated as follows: This statement is filed by the following</w:t>
      </w:r>
    </w:p>
    <w:p>
      <w:pPr>
        <w:spacing w:after="0" w:line="1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1"/>
          <w:szCs w:val="21"/>
          <w:color w:val="auto"/>
        </w:rPr>
        <w:t>reporting persons (each a "Reporting Person" and collectively, the "Reporting Persons"): 1. Thomas C. Priore 2. John</w:t>
      </w:r>
    </w:p>
    <w:p>
      <w:pPr>
        <w:spacing w:after="0" w:line="2" w:lineRule="exact"/>
        <w:rPr>
          <w:sz w:val="20"/>
          <w:szCs w:val="20"/>
          <w:color w:val="auto"/>
        </w:rPr>
      </w:pPr>
    </w:p>
    <w:p>
      <w:pPr>
        <w:ind w:left="960" w:right="240" w:hanging="912"/>
        <w:spacing w:after="0" w:line="235" w:lineRule="auto"/>
        <w:tabs>
          <w:tab w:leader="none" w:pos="96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V. Priore 3. AESV CreditCard Consulting LLC ("AESV"). It is a Georgia limited liability company and its principal business address is 13620 Pondview Circle, Naples, FL 34119. Its principal business is to hold shares of Common Stock.</w:t>
      </w:r>
    </w:p>
    <w:p>
      <w:pPr>
        <w:spacing w:after="0" w:line="16"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Purpose of Transaction</w:t>
      </w:r>
    </w:p>
    <w:p>
      <w:pPr>
        <w:spacing w:after="0" w:line="44" w:lineRule="exact"/>
        <w:rPr>
          <w:sz w:val="20"/>
          <w:szCs w:val="20"/>
          <w:color w:val="auto"/>
        </w:rPr>
      </w:pPr>
    </w:p>
    <w:p>
      <w:pPr>
        <w:ind w:left="960" w:right="60"/>
        <w:spacing w:after="0" w:line="251" w:lineRule="auto"/>
        <w:rPr>
          <w:sz w:val="20"/>
          <w:szCs w:val="20"/>
          <w:color w:val="auto"/>
        </w:rPr>
      </w:pPr>
      <w:r>
        <w:rPr>
          <w:rFonts w:ascii="Times New Roman" w:cs="Times New Roman" w:eastAsia="Times New Roman" w:hAnsi="Times New Roman"/>
          <w:sz w:val="21"/>
          <w:szCs w:val="21"/>
          <w:color w:val="auto"/>
        </w:rPr>
        <w:t>Item 4 of the Schedule 13D is hereby amended and supplemented by adding the following: Amendment No. 1 to Support Agreement On November 3, 2026, the Issuer, Parent, Holdings and the Supporting Stockholders entered into Amendment No. 1 to Support Agreement (the "Support Agreement Amendment No. 1") to amend and restate Exhibit A thereto, effective as of the date of the Support Agreement, to update the number of shares of Common Stock owned by each Supporting Stockholder. These updates are not the result of any acquisitions or dispositions of shares of</w:t>
      </w:r>
    </w:p>
    <w:p>
      <w:pPr>
        <w:sectPr>
          <w:pgSz w:w="11900" w:h="16838" w:orient="portrait"/>
          <w:cols w:equalWidth="0" w:num="1">
            <w:col w:w="11240"/>
          </w:cols>
          <w:pgMar w:left="320" w:top="102" w:right="339" w:bottom="0" w:gutter="0" w:footer="0" w:header="0"/>
        </w:sectPr>
      </w:pPr>
    </w:p>
    <w:bookmarkStart w:id="4" w:name="page5"/>
    <w:bookmarkEnd w:id="4"/>
    <w:p>
      <w:pPr>
        <w:ind w:left="920" w:right="220"/>
        <w:spacing w:after="0" w:line="244" w:lineRule="auto"/>
        <w:rPr>
          <w:sz w:val="20"/>
          <w:szCs w:val="20"/>
          <w:color w:val="auto"/>
        </w:rPr>
      </w:pPr>
      <w:r>
        <w:rPr>
          <w:rFonts w:ascii="Times New Roman" w:cs="Times New Roman" w:eastAsia="Times New Roman" w:hAnsi="Times New Roman"/>
          <w:sz w:val="22"/>
          <w:szCs w:val="22"/>
          <w:color w:val="auto"/>
        </w:rPr>
        <w:t>Common Stock by any Reporting Person. The foregoing description of Support Agreement Amendment No. 1 does not purport to be complete and is qualified in its entirety by reference to the full text of Support Agreement Amendment No. 1, which is filed as Exhibit 99.5 hereto and is incorporated herein by reference.</w:t>
      </w:r>
    </w:p>
    <w:p>
      <w:pPr>
        <w:spacing w:after="0" w:line="12"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20" w:hanging="912"/>
        <w:spacing w:after="0"/>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information set forth on the cover pages hereto is hereby incorporated by reference.</w:t>
      </w:r>
    </w:p>
    <w:p>
      <w:pPr>
        <w:spacing w:after="0" w:line="44" w:lineRule="exact"/>
        <w:rPr>
          <w:rFonts w:ascii="Times New Roman" w:cs="Times New Roman" w:eastAsia="Times New Roman" w:hAnsi="Times New Roman"/>
          <w:sz w:val="22"/>
          <w:szCs w:val="22"/>
          <w:color w:val="auto"/>
        </w:rPr>
      </w:pPr>
    </w:p>
    <w:p>
      <w:pPr>
        <w:ind w:left="920" w:right="20"/>
        <w:spacing w:after="0" w:line="246"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The information set forth on the cover pages hereto is hereby incorporated by reference. As a result of each Reporting Person's actions in respect of the Merger, each Reporting Person may be deemed to be members of a "group" within the meaning of Section 13(d)(3) of the Exchange Act. As a result, the group may be deemed to have acquired beneficial ownership of all the shares of Common Stock beneficially owned by each member of the "group." As such, the group may be deemed to beneficially own in the aggregate 50,668,203 shares, which represents approximately</w:t>
      </w:r>
    </w:p>
    <w:p>
      <w:pPr>
        <w:spacing w:after="0" w:line="1"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61.4% of the total outstanding shares of Common Stock of the Issuer based on 82,572,061 shares of Common Stock</w:t>
      </w:r>
    </w:p>
    <w:p>
      <w:pPr>
        <w:spacing w:after="0" w:line="1" w:lineRule="exact"/>
        <w:rPr>
          <w:rFonts w:ascii="Times New Roman" w:cs="Times New Roman" w:eastAsia="Times New Roman" w:hAnsi="Times New Roman"/>
          <w:sz w:val="22"/>
          <w:szCs w:val="22"/>
          <w:color w:val="auto"/>
        </w:rPr>
      </w:pPr>
    </w:p>
    <w:p>
      <w:pPr>
        <w:ind w:left="920" w:right="40" w:hanging="912"/>
        <w:spacing w:after="0" w:line="232" w:lineRule="auto"/>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issued and outstanding as of October 23, 2026, as reported in the Preliminary Proxy Statement. The foregoing does not include any shares of Common Stock which may be beneficially owned by any of the other parties to the Merger Documents who is not a Reporting Person in this Schedule 13D. Neither the filing of this Schedule 13D nor any of its contents, however, shall be deemed to constitute an admission by the Reporting Persons that any of them is the beneficial owner of any of the shares of Common Stock beneficially owned by any other members of the "group" and their respective affiliates for purposes of Section 13(d) of the Exchange Act or for any other purpose, and such beneficial ownership is expressly disclaimed.</w:t>
      </w:r>
    </w:p>
    <w:p>
      <w:pPr>
        <w:spacing w:after="0" w:line="19" w:lineRule="exact"/>
        <w:rPr>
          <w:rFonts w:ascii="Times New Roman" w:cs="Times New Roman" w:eastAsia="Times New Roman" w:hAnsi="Times New Roman"/>
          <w:sz w:val="22"/>
          <w:szCs w:val="22"/>
          <w:color w:val="auto"/>
        </w:rPr>
      </w:pPr>
    </w:p>
    <w:p>
      <w:pPr>
        <w:ind w:left="920" w:right="240" w:hanging="912"/>
        <w:spacing w:after="0" w:line="185" w:lineRule="auto"/>
        <w:tabs>
          <w:tab w:leader="none" w:pos="920" w:val="left"/>
        </w:tabs>
        <w:numPr>
          <w:ilvl w:val="0"/>
          <w:numId w:val="9"/>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Except as set forth in this Schedule 13D, the Reporting Persons have not engaged in any transaction during the past 60 days involving shares of the Issuer's Common Stock.</w:t>
      </w:r>
    </w:p>
    <w:p>
      <w:pPr>
        <w:spacing w:after="0" w:line="17" w:lineRule="exact"/>
        <w:rPr>
          <w:rFonts w:ascii="Times New Roman" w:cs="Times New Roman" w:eastAsia="Times New Roman" w:hAnsi="Times New Roman"/>
          <w:sz w:val="39"/>
          <w:szCs w:val="39"/>
          <w:color w:val="auto"/>
          <w:vertAlign w:val="subscript"/>
        </w:rPr>
      </w:pPr>
    </w:p>
    <w:p>
      <w:pPr>
        <w:ind w:left="920" w:hanging="912"/>
        <w:spacing w:after="0"/>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None.</w:t>
      </w:r>
    </w:p>
    <w:p>
      <w:pPr>
        <w:spacing w:after="0" w:line="44"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Contracts, Arrangements, Understandings or Relationships With Respect to Securities of the Issuer</w:t>
      </w:r>
    </w:p>
    <w:p>
      <w:pPr>
        <w:spacing w:after="0" w:line="44" w:lineRule="exact"/>
        <w:rPr>
          <w:sz w:val="20"/>
          <w:szCs w:val="20"/>
          <w:color w:val="auto"/>
        </w:rPr>
      </w:pPr>
    </w:p>
    <w:p>
      <w:pPr>
        <w:ind w:left="920" w:right="20"/>
        <w:spacing w:after="0" w:line="238" w:lineRule="auto"/>
        <w:rPr>
          <w:sz w:val="20"/>
          <w:szCs w:val="20"/>
          <w:color w:val="auto"/>
        </w:rPr>
      </w:pPr>
      <w:r>
        <w:rPr>
          <w:rFonts w:ascii="Times New Roman" w:cs="Times New Roman" w:eastAsia="Times New Roman" w:hAnsi="Times New Roman"/>
          <w:sz w:val="22"/>
          <w:szCs w:val="22"/>
          <w:color w:val="auto"/>
        </w:rPr>
        <w:t>The information set forth in Item 4 hereof is hereby incorporated by reference into this Item 6. Except as described herein, there are no such contracts, arrangements, understandings, or relationships with respect to any securities of the Issuer, including but not limited to transfer or voting of any of such securities, finder's fees, joint ventures, loan or option arrangements, puts or calls, guarantees of profits, division of profits or loss or the giving or withholding of proxies.</w:t>
      </w:r>
    </w:p>
    <w:p>
      <w:pPr>
        <w:spacing w:after="0" w:line="15"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Material to be Filed as Exhibits.</w:t>
      </w:r>
    </w:p>
    <w:p>
      <w:pPr>
        <w:spacing w:after="0" w:line="44" w:lineRule="exact"/>
        <w:rPr>
          <w:sz w:val="20"/>
          <w:szCs w:val="20"/>
          <w:color w:val="auto"/>
        </w:rPr>
      </w:pPr>
    </w:p>
    <w:p>
      <w:pPr>
        <w:ind w:left="920" w:right="20"/>
        <w:spacing w:after="0" w:line="234" w:lineRule="auto"/>
        <w:rPr>
          <w:sz w:val="20"/>
          <w:szCs w:val="20"/>
          <w:color w:val="auto"/>
        </w:rPr>
      </w:pPr>
      <w:r>
        <w:rPr>
          <w:rFonts w:ascii="Times New Roman" w:cs="Times New Roman" w:eastAsia="Times New Roman" w:hAnsi="Times New Roman"/>
          <w:sz w:val="22"/>
          <w:szCs w:val="22"/>
          <w:color w:val="auto"/>
        </w:rPr>
        <w:t>99.1 Agreement and Plan of Merger, dated September 18, 2026, by and among the Issuer, Parent and Merger Sub (incorporated by reference to Exhibit 2.1 to the Issuer's Current Report Form 8-K, filed with the SEC on September 21, 2026). 99.2 Form of Support Agreement, dated September 18, 2026, by and among the Issuer and each Supporting Stockholder (incorporated by reference to Exhibit 10.1 to the Issuer's Current Report Form 8-K, filed with the SEC on September 21, 2026). 99.3 Interim Investors Agreement, dated September 18, 2026, by and among Holdings, Parent, Merger Sub, the Controlling Stockholder and an affiliate of the Equity Financing Source (previously filed). 99.4 Joint Filing Agreement by and among the Reporting Persons (previously filed). 99.5 Amendment No. 1 to Support Agreement, dated November 3, 2026, by and among the Issuer, Parent, Holdings and the Supporting Stockholders (filed herewith).</w:t>
      </w:r>
    </w:p>
    <w:p>
      <w:pPr>
        <w:spacing w:after="0" w:line="29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22"/>
          <w:szCs w:val="22"/>
          <w:color w:val="auto"/>
        </w:rPr>
        <w:t>Thomas C. Priore</w:t>
      </w:r>
    </w:p>
    <w:p>
      <w:pPr>
        <w:spacing w:after="0" w:line="152" w:lineRule="exact"/>
        <w:rPr>
          <w:sz w:val="20"/>
          <w:szCs w:val="20"/>
          <w:color w:val="auto"/>
        </w:rPr>
      </w:pPr>
    </w:p>
    <w:p>
      <w:pPr>
        <w:ind w:left="3080"/>
        <w:spacing w:after="0"/>
        <w:tabs>
          <w:tab w:leader="none" w:pos="41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Thomas C. Priore</w:t>
      </w:r>
    </w:p>
    <w:p>
      <w:pPr>
        <w:spacing w:after="0" w:line="44"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22"/>
          <w:szCs w:val="22"/>
          <w:color w:val="auto"/>
        </w:rPr>
        <w:t>Name/Title: Thomas C. Priore</w:t>
      </w:r>
    </w:p>
    <w:p>
      <w:pPr>
        <w:spacing w:after="0" w:line="44" w:lineRule="exact"/>
        <w:rPr>
          <w:sz w:val="20"/>
          <w:szCs w:val="20"/>
          <w:color w:val="auto"/>
        </w:rPr>
      </w:pPr>
    </w:p>
    <w:p>
      <w:pPr>
        <w:ind w:left="3080"/>
        <w:spacing w:after="0"/>
        <w:tabs>
          <w:tab w:leader="none" w:pos="41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11/03/2026</w:t>
      </w:r>
    </w:p>
    <w:p>
      <w:pPr>
        <w:spacing w:after="0" w:line="15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22"/>
          <w:szCs w:val="22"/>
          <w:color w:val="auto"/>
        </w:rPr>
        <w:t>John V. Priore</w:t>
      </w:r>
    </w:p>
    <w:p>
      <w:pPr>
        <w:spacing w:after="0" w:line="152" w:lineRule="exact"/>
        <w:rPr>
          <w:sz w:val="20"/>
          <w:szCs w:val="20"/>
          <w:color w:val="auto"/>
        </w:rPr>
      </w:pPr>
    </w:p>
    <w:p>
      <w:pPr>
        <w:ind w:left="2760"/>
        <w:spacing w:after="0"/>
        <w:tabs>
          <w:tab w:leader="none" w:pos="38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John V. Priore</w:t>
      </w:r>
    </w:p>
    <w:p>
      <w:pPr>
        <w:spacing w:after="0" w:line="44"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22"/>
          <w:szCs w:val="22"/>
          <w:color w:val="auto"/>
        </w:rPr>
        <w:t>Name/Title: John V. Priore</w:t>
      </w:r>
    </w:p>
    <w:p>
      <w:pPr>
        <w:spacing w:after="0" w:line="44" w:lineRule="exact"/>
        <w:rPr>
          <w:sz w:val="20"/>
          <w:szCs w:val="20"/>
          <w:color w:val="auto"/>
        </w:rPr>
      </w:pPr>
    </w:p>
    <w:p>
      <w:pPr>
        <w:ind w:left="2760"/>
        <w:spacing w:after="0"/>
        <w:tabs>
          <w:tab w:leader="none" w:pos="38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11/03/2026</w:t>
      </w:r>
    </w:p>
    <w:p>
      <w:pPr>
        <w:spacing w:after="0" w:line="152"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22"/>
          <w:szCs w:val="22"/>
          <w:color w:val="auto"/>
        </w:rPr>
        <w:t>AESV CreditCard Consulting, LLC</w:t>
      </w:r>
    </w:p>
    <w:p>
      <w:pPr>
        <w:spacing w:after="0" w:line="152" w:lineRule="exact"/>
        <w:rPr>
          <w:sz w:val="20"/>
          <w:szCs w:val="20"/>
          <w:color w:val="auto"/>
        </w:rPr>
      </w:pPr>
    </w:p>
    <w:p>
      <w:pPr>
        <w:ind w:left="5440"/>
        <w:spacing w:after="0"/>
        <w:tabs>
          <w:tab w:leader="none" w:pos="65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John V. Priore</w:t>
      </w:r>
    </w:p>
    <w:p>
      <w:pPr>
        <w:spacing w:after="0" w:line="44"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22"/>
          <w:szCs w:val="22"/>
          <w:color w:val="auto"/>
        </w:rPr>
        <w:t>Name/Title: Manager of AESV CreditCard Consulting, LLC</w:t>
      </w:r>
    </w:p>
    <w:p>
      <w:pPr>
        <w:spacing w:after="0" w:line="44" w:lineRule="exact"/>
        <w:rPr>
          <w:sz w:val="20"/>
          <w:szCs w:val="20"/>
          <w:color w:val="auto"/>
        </w:rPr>
      </w:pPr>
    </w:p>
    <w:p>
      <w:pPr>
        <w:ind w:left="5440"/>
        <w:spacing w:after="0"/>
        <w:tabs>
          <w:tab w:leader="none" w:pos="65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11/03/2026</w:t>
      </w:r>
    </w:p>
    <w:p>
      <w:pPr>
        <w:sectPr>
          <w:pgSz w:w="11900" w:h="16838" w:orient="portrait"/>
          <w:cols w:equalWidth="0" w:num="1">
            <w:col w:w="11140"/>
          </w:cols>
          <w:pgMar w:left="360" w:top="112" w:right="399" w:bottom="856"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Exhibit 99.5</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NO. 1 TO SUPPORT AGREEMENT</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This Amendment No. 1 to Support Agreement (this “</w:t>
      </w:r>
      <w:r>
        <w:rPr>
          <w:rFonts w:ascii="Times New Roman" w:cs="Times New Roman" w:eastAsia="Times New Roman" w:hAnsi="Times New Roman"/>
          <w:sz w:val="18"/>
          <w:szCs w:val="18"/>
          <w:b w:val="1"/>
          <w:bCs w:val="1"/>
          <w:color w:val="auto"/>
        </w:rPr>
        <w:t>Amendment</w:t>
      </w:r>
      <w:r>
        <w:rPr>
          <w:rFonts w:ascii="Times New Roman" w:cs="Times New Roman" w:eastAsia="Times New Roman" w:hAnsi="Times New Roman"/>
          <w:sz w:val="18"/>
          <w:szCs w:val="18"/>
          <w:color w:val="auto"/>
        </w:rPr>
        <w:t>”), dated as of November 3, 2026, is entered into by and among (i) Priority Technology Holdings, 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(ii) WD Capital Partners Parent Inc., a Delaware corporation (“</w:t>
      </w:r>
      <w:r>
        <w:rPr>
          <w:rFonts w:ascii="Times New Roman" w:cs="Times New Roman" w:eastAsia="Times New Roman" w:hAnsi="Times New Roman"/>
          <w:sz w:val="18"/>
          <w:szCs w:val="18"/>
          <w:b w:val="1"/>
          <w:bCs w:val="1"/>
          <w:color w:val="auto"/>
        </w:rPr>
        <w:t>Parent</w:t>
      </w:r>
      <w:r>
        <w:rPr>
          <w:rFonts w:ascii="Times New Roman" w:cs="Times New Roman" w:eastAsia="Times New Roman" w:hAnsi="Times New Roman"/>
          <w:sz w:val="18"/>
          <w:szCs w:val="18"/>
          <w:color w:val="auto"/>
        </w:rPr>
        <w:t>”), (iii) the individuals and entities listed on Exhibit A to the Support Agreement (as defined below) as amended hereby (collectively, the “</w:t>
      </w:r>
      <w:r>
        <w:rPr>
          <w:rFonts w:ascii="Times New Roman" w:cs="Times New Roman" w:eastAsia="Times New Roman" w:hAnsi="Times New Roman"/>
          <w:sz w:val="18"/>
          <w:szCs w:val="18"/>
          <w:b w:val="1"/>
          <w:bCs w:val="1"/>
          <w:color w:val="auto"/>
        </w:rPr>
        <w:t>Stockholders</w:t>
      </w:r>
      <w:r>
        <w:rPr>
          <w:rFonts w:ascii="Times New Roman" w:cs="Times New Roman" w:eastAsia="Times New Roman" w:hAnsi="Times New Roman"/>
          <w:sz w:val="18"/>
          <w:szCs w:val="18"/>
          <w:color w:val="auto"/>
        </w:rPr>
        <w:t>” and each, individually, a “</w:t>
      </w:r>
      <w:r>
        <w:rPr>
          <w:rFonts w:ascii="Times New Roman" w:cs="Times New Roman" w:eastAsia="Times New Roman" w:hAnsi="Times New Roman"/>
          <w:sz w:val="18"/>
          <w:szCs w:val="18"/>
          <w:b w:val="1"/>
          <w:bCs w:val="1"/>
          <w:color w:val="auto"/>
        </w:rPr>
        <w:t>Stockholder</w:t>
      </w:r>
      <w:r>
        <w:rPr>
          <w:rFonts w:ascii="Times New Roman" w:cs="Times New Roman" w:eastAsia="Times New Roman" w:hAnsi="Times New Roman"/>
          <w:sz w:val="18"/>
          <w:szCs w:val="18"/>
          <w:color w:val="auto"/>
        </w:rPr>
        <w:t>”), including John V. Priore, and (iv) WD Capital Partners Holdings LP, a Delaware limited partnership (“</w:t>
      </w:r>
      <w:r>
        <w:rPr>
          <w:rFonts w:ascii="Times New Roman" w:cs="Times New Roman" w:eastAsia="Times New Roman" w:hAnsi="Times New Roman"/>
          <w:sz w:val="18"/>
          <w:szCs w:val="18"/>
          <w:b w:val="1"/>
          <w:bCs w:val="1"/>
          <w:color w:val="auto"/>
        </w:rPr>
        <w:t>Holdings</w:t>
      </w:r>
      <w:r>
        <w:rPr>
          <w:rFonts w:ascii="Times New Roman" w:cs="Times New Roman" w:eastAsia="Times New Roman" w:hAnsi="Times New Roman"/>
          <w:sz w:val="18"/>
          <w:szCs w:val="18"/>
          <w:color w:val="auto"/>
        </w:rPr>
        <w:t>”). Capitalized terms used but not defined herein have the meanings given to them in the Support Agreement.</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WHEREAS, the Company, Parent, the Stockholders party thereto and Holdings are parties to that certain Support Agreement, dated as of September 18, 2026 (the “Support Agreement”);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WHEREAS, the parties desire to amend and restate Exhibit A to the Support Agreement; and</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WHEREAS, the Special Committee has approved this Amendment in accordance with Section 27 of the Support Agreement, and the parties desire to amend the Support Agreement as set forth herein in accordance with Section 25 thereof.</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foregoing and the mutual covenants and agreements herein contained, and intending to be legally bound hereby, the parties hereto agree as follows:</w:t>
      </w:r>
    </w:p>
    <w:p>
      <w:pPr>
        <w:spacing w:after="0" w:line="162" w:lineRule="exact"/>
        <w:rPr>
          <w:sz w:val="20"/>
          <w:szCs w:val="20"/>
          <w:color w:val="auto"/>
        </w:rPr>
      </w:pPr>
    </w:p>
    <w:p>
      <w:pPr>
        <w:jc w:val="both"/>
        <w:ind w:firstLine="656"/>
        <w:spacing w:after="0" w:line="261" w:lineRule="auto"/>
        <w:tabs>
          <w:tab w:leader="none" w:pos="82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of Exhibit A</w:t>
      </w:r>
      <w:r>
        <w:rPr>
          <w:rFonts w:ascii="Times New Roman" w:cs="Times New Roman" w:eastAsia="Times New Roman" w:hAnsi="Times New Roman"/>
          <w:sz w:val="18"/>
          <w:szCs w:val="18"/>
          <w:color w:val="auto"/>
        </w:rPr>
        <w:t>. Exhibit A to the Support Agreement is hereby amended and restated in its entirety to read as set forth on Annex 1 hereto, effective as of the date of the Support Agreement. Each reference in the Support Agreement to “Exhibit A” shall refer to Exhibit A as amended and restated hereby, and the term “Owned Shares” shall refer to the shares of Common Stock set forth opposite each Stockholder’s name on such amended and restated Exhibit A.</w:t>
      </w:r>
    </w:p>
    <w:p>
      <w:pPr>
        <w:spacing w:after="0" w:line="179" w:lineRule="exact"/>
        <w:rPr>
          <w:rFonts w:ascii="Times New Roman" w:cs="Times New Roman" w:eastAsia="Times New Roman" w:hAnsi="Times New Roman"/>
          <w:sz w:val="18"/>
          <w:szCs w:val="18"/>
          <w:color w:val="auto"/>
        </w:rPr>
      </w:pPr>
    </w:p>
    <w:p>
      <w:pPr>
        <w:ind w:left="840" w:hanging="184"/>
        <w:spacing w:after="0"/>
        <w:tabs>
          <w:tab w:leader="none" w:pos="8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 of Amendment</w:t>
      </w:r>
      <w:r>
        <w:rPr>
          <w:rFonts w:ascii="Times New Roman" w:cs="Times New Roman" w:eastAsia="Times New Roman" w:hAnsi="Times New Roman"/>
          <w:sz w:val="18"/>
          <w:szCs w:val="18"/>
          <w:color w:val="auto"/>
        </w:rPr>
        <w:t>. Except as expressly amended hereby, the Support Agreement remains unchanged and in full force and effect.</w:t>
      </w:r>
    </w:p>
    <w:p>
      <w:pPr>
        <w:spacing w:after="0" w:line="225" w:lineRule="exact"/>
        <w:rPr>
          <w:rFonts w:ascii="Times New Roman" w:cs="Times New Roman" w:eastAsia="Times New Roman" w:hAnsi="Times New Roman"/>
          <w:sz w:val="18"/>
          <w:szCs w:val="18"/>
          <w:color w:val="auto"/>
        </w:rPr>
      </w:pPr>
    </w:p>
    <w:p>
      <w:pPr>
        <w:jc w:val="both"/>
        <w:ind w:firstLine="656"/>
        <w:spacing w:after="0" w:line="266" w:lineRule="auto"/>
        <w:tabs>
          <w:tab w:leader="none" w:pos="82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 Sections 15 through 30 of the Support Agreement are incorporated herein by reference, mutatis mutandis, as if set forth in full herein. This Amendment may be executed in counterparts (including by electronic signature), each of which shall be deemed an original and all of which together shall constitute one instrument.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pages follow]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color w:val="auto"/>
        </w:rPr>
        <w:t>IN WITNESS WHEREOF, the parties hereto have caused this Amendment to be duly executed as of the date first written above.</w:t>
      </w:r>
    </w:p>
    <w:p>
      <w:pPr>
        <w:spacing w:after="0" w:line="221"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b w:val="1"/>
          <w:bCs w:val="1"/>
          <w:color w:val="auto"/>
        </w:rPr>
        <w:t>PRIORITY TECHNOLOGY HOLDINGS, INC.</w:t>
      </w:r>
    </w:p>
    <w:p>
      <w:pPr>
        <w:spacing w:after="0" w:line="229" w:lineRule="exact"/>
        <w:rPr>
          <w:sz w:val="20"/>
          <w:szCs w:val="20"/>
          <w:color w:val="auto"/>
        </w:rPr>
      </w:pPr>
    </w:p>
    <w:tbl>
      <w:tblPr>
        <w:tblLayout w:type="fixed"/>
        <w:tblInd w:w="6100" w:type="dxa"/>
        <w:tblCellMar>
          <w:top w:w="0" w:type="dxa"/>
          <w:left w:w="0" w:type="dxa"/>
          <w:bottom w:w="0" w:type="dxa"/>
          <w:right w:w="0" w:type="dxa"/>
        </w:tblCellMar>
      </w:tblPr>
      <w:tr>
        <w:trPr>
          <w:trHeight w:val="241"/>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Timothy M. O’Leary</w:t>
            </w:r>
          </w:p>
        </w:tc>
      </w:tr>
      <w:tr>
        <w:trPr>
          <w:trHeight w:val="198"/>
        </w:trPr>
        <w:tc>
          <w:tcPr>
            <w:tcW w:w="5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Timothy M. O’Leary</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98"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8"/>
          <w:szCs w:val="18"/>
          <w:color w:val="auto"/>
        </w:rPr>
        <w:t>[Signature Page to Amendment No. 1 to Support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445770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337"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color w:val="auto"/>
        </w:rPr>
        <w:t>IN WITNESS WHEREOF, the parties hereto have caused this Amendment to be duly executed as of the date first written above.</w:t>
      </w:r>
    </w:p>
    <w:p>
      <w:pPr>
        <w:spacing w:after="0" w:line="221"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b w:val="1"/>
          <w:bCs w:val="1"/>
          <w:color w:val="auto"/>
        </w:rPr>
        <w:t>WD CAPITAL PARTNERS PARENT INC.</w:t>
      </w:r>
    </w:p>
    <w:p>
      <w:pPr>
        <w:spacing w:after="0" w:line="229" w:lineRule="exact"/>
        <w:rPr>
          <w:sz w:val="20"/>
          <w:szCs w:val="20"/>
          <w:color w:val="auto"/>
        </w:rPr>
      </w:pPr>
    </w:p>
    <w:tbl>
      <w:tblPr>
        <w:tblLayout w:type="fixed"/>
        <w:tblInd w:w="6100" w:type="dxa"/>
        <w:tblCellMar>
          <w:top w:w="0" w:type="dxa"/>
          <w:left w:w="0" w:type="dxa"/>
          <w:bottom w:w="0" w:type="dxa"/>
          <w:right w:w="0" w:type="dxa"/>
        </w:tblCellMar>
      </w:tblPr>
      <w:tr>
        <w:trPr>
          <w:trHeight w:val="241"/>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Thomas C. Priore</w:t>
            </w:r>
          </w:p>
        </w:tc>
      </w:tr>
      <w:tr>
        <w:trPr>
          <w:trHeight w:val="198"/>
        </w:trPr>
        <w:tc>
          <w:tcPr>
            <w:tcW w:w="5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Thomas C. Priore</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Secretary</w:t>
            </w:r>
          </w:p>
        </w:tc>
      </w:tr>
    </w:tbl>
    <w:p>
      <w:pPr>
        <w:spacing w:after="0" w:line="194"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b w:val="1"/>
          <w:bCs w:val="1"/>
          <w:color w:val="auto"/>
        </w:rPr>
        <w:t>WD CAPITAL PARTNERS HOLDINGS LP</w:t>
      </w:r>
    </w:p>
    <w:p>
      <w:pPr>
        <w:spacing w:after="0" w:line="229"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By: WD Capital Partners Holdings GP LLC, its general</w:t>
      </w:r>
    </w:p>
    <w:p>
      <w:pPr>
        <w:spacing w:after="0" w:line="27"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partner</w:t>
      </w:r>
    </w:p>
    <w:p>
      <w:pPr>
        <w:spacing w:after="0" w:line="207" w:lineRule="exact"/>
        <w:rPr>
          <w:sz w:val="20"/>
          <w:szCs w:val="20"/>
          <w:color w:val="auto"/>
        </w:rPr>
      </w:pPr>
    </w:p>
    <w:tbl>
      <w:tblPr>
        <w:tblLayout w:type="fixed"/>
        <w:tblInd w:w="6100" w:type="dxa"/>
        <w:tblCellMar>
          <w:top w:w="0" w:type="dxa"/>
          <w:left w:w="0" w:type="dxa"/>
          <w:bottom w:w="0" w:type="dxa"/>
          <w:right w:w="0" w:type="dxa"/>
        </w:tblCellMar>
      </w:tblPr>
      <w:tr>
        <w:trPr>
          <w:trHeight w:val="241"/>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Thomas C. Priore</w:t>
            </w:r>
          </w:p>
        </w:tc>
      </w:tr>
      <w:tr>
        <w:trPr>
          <w:trHeight w:val="198"/>
        </w:trPr>
        <w:tc>
          <w:tcPr>
            <w:tcW w:w="5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Thomas C. Priore</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Secretary</w:t>
            </w:r>
          </w:p>
        </w:tc>
      </w:tr>
    </w:tbl>
    <w:p>
      <w:pPr>
        <w:spacing w:after="0" w:line="198"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8"/>
          <w:szCs w:val="18"/>
          <w:color w:val="auto"/>
        </w:rPr>
        <w:t>[Signature Page to Amendment No. 1 to Support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445770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337"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color w:val="auto"/>
        </w:rPr>
        <w:t>IN WITNESS WHEREOF, the parties hereto have caused this Amendment to be duly executed as of the date first written above.</w:t>
      </w:r>
    </w:p>
    <w:p>
      <w:pPr>
        <w:spacing w:after="0" w:line="225"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/s/ Thomas C. Priore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3872230</wp:posOffset>
            </wp:positionH>
            <wp:positionV relativeFrom="paragraph">
              <wp:posOffset>17145</wp:posOffset>
            </wp:positionV>
            <wp:extent cx="284607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Thomas C. Priore</w:t>
      </w:r>
    </w:p>
    <w:p>
      <w:pPr>
        <w:spacing w:after="0" w:line="221"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b w:val="1"/>
          <w:bCs w:val="1"/>
          <w:color w:val="auto"/>
        </w:rPr>
        <w:t>THOMAS PRIORE 2019 GRAT</w:t>
      </w:r>
    </w:p>
    <w:p>
      <w:pPr>
        <w:spacing w:after="0" w:line="229" w:lineRule="exact"/>
        <w:rPr>
          <w:sz w:val="20"/>
          <w:szCs w:val="20"/>
          <w:color w:val="auto"/>
        </w:rPr>
      </w:pPr>
    </w:p>
    <w:tbl>
      <w:tblPr>
        <w:tblLayout w:type="fixed"/>
        <w:tblInd w:w="6100" w:type="dxa"/>
        <w:tblCellMar>
          <w:top w:w="0" w:type="dxa"/>
          <w:left w:w="0" w:type="dxa"/>
          <w:bottom w:w="0" w:type="dxa"/>
          <w:right w:w="0" w:type="dxa"/>
        </w:tblCellMar>
      </w:tblPr>
      <w:tr>
        <w:trPr>
          <w:trHeight w:val="241"/>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Lori A. Priore</w:t>
            </w:r>
          </w:p>
        </w:tc>
      </w:tr>
      <w:tr>
        <w:trPr>
          <w:trHeight w:val="198"/>
        </w:trPr>
        <w:tc>
          <w:tcPr>
            <w:tcW w:w="5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Lori A. Priore</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Trustee</w:t>
            </w:r>
          </w:p>
        </w:tc>
      </w:tr>
    </w:tbl>
    <w:p>
      <w:pPr>
        <w:spacing w:after="0" w:line="194"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b w:val="1"/>
          <w:bCs w:val="1"/>
          <w:color w:val="auto"/>
        </w:rPr>
        <w:t>THOMAS C. PRIORE IRREVOCABLE INSURANCE</w:t>
      </w:r>
    </w:p>
    <w:p>
      <w:pPr>
        <w:spacing w:after="0" w:line="31"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b w:val="1"/>
          <w:bCs w:val="1"/>
          <w:color w:val="auto"/>
        </w:rPr>
        <w:t>TRUST U/A/D 1/8/2010</w:t>
      </w:r>
    </w:p>
    <w:p>
      <w:pPr>
        <w:spacing w:after="0" w:line="207" w:lineRule="exact"/>
        <w:rPr>
          <w:sz w:val="20"/>
          <w:szCs w:val="20"/>
          <w:color w:val="auto"/>
        </w:rPr>
      </w:pPr>
    </w:p>
    <w:tbl>
      <w:tblPr>
        <w:tblLayout w:type="fixed"/>
        <w:tblInd w:w="6100" w:type="dxa"/>
        <w:tblCellMar>
          <w:top w:w="0" w:type="dxa"/>
          <w:left w:w="0" w:type="dxa"/>
          <w:bottom w:w="0" w:type="dxa"/>
          <w:right w:w="0" w:type="dxa"/>
        </w:tblCellMar>
      </w:tblPr>
      <w:tr>
        <w:trPr>
          <w:trHeight w:val="241"/>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Lori A. Priore</w:t>
            </w:r>
          </w:p>
        </w:tc>
      </w:tr>
      <w:tr>
        <w:trPr>
          <w:trHeight w:val="198"/>
        </w:trPr>
        <w:tc>
          <w:tcPr>
            <w:tcW w:w="5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Lori A. Priore</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Trustee</w:t>
            </w:r>
          </w:p>
        </w:tc>
      </w:tr>
      <w:tr>
        <w:trPr>
          <w:trHeight w:val="439"/>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Bertrand H. Smyers</w:t>
            </w:r>
          </w:p>
        </w:tc>
      </w:tr>
      <w:tr>
        <w:trPr>
          <w:trHeight w:val="198"/>
        </w:trPr>
        <w:tc>
          <w:tcPr>
            <w:tcW w:w="5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Bertrand H. Smyers</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Trustee</w:t>
            </w:r>
          </w:p>
        </w:tc>
      </w:tr>
    </w:tbl>
    <w:p>
      <w:pPr>
        <w:spacing w:after="0" w:line="198"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8"/>
          <w:szCs w:val="18"/>
          <w:color w:val="auto"/>
        </w:rPr>
        <w:t>[Signature Page to Amendment No. 1 to Support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445770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337"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color w:val="auto"/>
        </w:rPr>
        <w:t>IN WITNESS WHEREOF, the parties hereto have caused this Amendment to be duly executed as of the date first written above.</w:t>
      </w:r>
    </w:p>
    <w:p>
      <w:pPr>
        <w:spacing w:after="0" w:line="221" w:lineRule="exact"/>
        <w:rPr>
          <w:sz w:val="20"/>
          <w:szCs w:val="20"/>
          <w:color w:val="auto"/>
        </w:rPr>
      </w:pPr>
    </w:p>
    <w:p>
      <w:pPr>
        <w:jc w:val="right"/>
        <w:ind w:right="1000"/>
        <w:spacing w:after="0"/>
        <w:rPr>
          <w:sz w:val="20"/>
          <w:szCs w:val="20"/>
          <w:color w:val="auto"/>
        </w:rPr>
      </w:pPr>
      <w:r>
        <w:rPr>
          <w:rFonts w:ascii="Times New Roman" w:cs="Times New Roman" w:eastAsia="Times New Roman" w:hAnsi="Times New Roman"/>
          <w:sz w:val="18"/>
          <w:szCs w:val="18"/>
          <w:b w:val="1"/>
          <w:bCs w:val="1"/>
          <w:color w:val="auto"/>
        </w:rPr>
        <w:t>AESV CREDIT CARD CONSULTING, LLC</w:t>
      </w:r>
    </w:p>
    <w:p>
      <w:pPr>
        <w:spacing w:after="0" w:line="229" w:lineRule="exact"/>
        <w:rPr>
          <w:sz w:val="20"/>
          <w:szCs w:val="20"/>
          <w:color w:val="auto"/>
        </w:rPr>
      </w:pPr>
    </w:p>
    <w:tbl>
      <w:tblPr>
        <w:tblLayout w:type="fixed"/>
        <w:tblInd w:w="6100" w:type="dxa"/>
        <w:tblCellMar>
          <w:top w:w="0" w:type="dxa"/>
          <w:left w:w="0" w:type="dxa"/>
          <w:bottom w:w="0" w:type="dxa"/>
          <w:right w:w="0" w:type="dxa"/>
        </w:tblCellMar>
      </w:tblPr>
      <w:tr>
        <w:trPr>
          <w:trHeight w:val="241"/>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John V. Priore</w:t>
            </w:r>
          </w:p>
        </w:tc>
      </w:tr>
      <w:tr>
        <w:trPr>
          <w:trHeight w:val="198"/>
        </w:trPr>
        <w:tc>
          <w:tcPr>
            <w:tcW w:w="5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John V. Priore</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Manager</w:t>
            </w:r>
          </w:p>
        </w:tc>
      </w:tr>
    </w:tbl>
    <w:p>
      <w:pPr>
        <w:spacing w:after="0" w:line="198"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/s/ John V. Priore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3872230</wp:posOffset>
            </wp:positionH>
            <wp:positionV relativeFrom="paragraph">
              <wp:posOffset>17145</wp:posOffset>
            </wp:positionV>
            <wp:extent cx="284607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John V. Priore</w:t>
      </w:r>
    </w:p>
    <w:p>
      <w:pPr>
        <w:spacing w:after="0" w:line="225"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Address: ***</w:t>
      </w:r>
    </w:p>
    <w:p>
      <w:pPr>
        <w:spacing w:after="0" w:line="27" w:lineRule="exact"/>
        <w:rPr>
          <w:sz w:val="20"/>
          <w:szCs w:val="20"/>
          <w:color w:val="auto"/>
        </w:rPr>
      </w:pPr>
    </w:p>
    <w:p>
      <w:pPr>
        <w:ind w:left="6080"/>
        <w:spacing w:after="0"/>
        <w:tabs>
          <w:tab w:leader="none" w:pos="6760" w:val="left"/>
        </w:tabs>
        <w:rPr>
          <w:sz w:val="20"/>
          <w:szCs w:val="20"/>
          <w:color w:val="auto"/>
        </w:rPr>
      </w:pPr>
      <w:r>
        <w:rPr>
          <w:rFonts w:ascii="Times New Roman" w:cs="Times New Roman" w:eastAsia="Times New Roman" w:hAnsi="Times New Roman"/>
          <w:sz w:val="18"/>
          <w:szCs w:val="18"/>
          <w:color w:val="auto"/>
        </w:rPr>
        <w:t>Email:</w:t>
        <w:tab/>
        <w:t>***</w:t>
      </w:r>
    </w:p>
    <w:p>
      <w:pPr>
        <w:spacing w:after="0" w:line="207"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8"/>
          <w:szCs w:val="18"/>
          <w:color w:val="auto"/>
        </w:rPr>
        <w:t>[Signature Page to Amendment No. 1 to Support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445770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0580"/>
      </w:cols>
      <w:pgMar w:left="98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D1B58BA"/>
    <w:multiLevelType w:val="hybridMultilevel"/>
    <w:lvl w:ilvl="0">
      <w:lvlJc w:val="left"/>
      <w:lvlText w:val="2"/>
      <w:numFmt w:val="bullet"/>
      <w:start w:val="1"/>
    </w:lvl>
  </w:abstractNum>
  <w:abstractNum w:abstractNumId="1">
    <w:nsid w:val="507ED7AB"/>
    <w:multiLevelType w:val="hybridMultilevel"/>
    <w:lvl w:ilvl="0">
      <w:lvlJc w:val="left"/>
      <w:lvlText w:val="3"/>
      <w:numFmt w:val="bullet"/>
      <w:start w:val="1"/>
    </w:lvl>
  </w:abstractNum>
  <w:abstractNum w:abstractNumId="2">
    <w:nsid w:val="2EB141F2"/>
    <w:multiLevelType w:val="hybridMultilevel"/>
    <w:lvl w:ilvl="0">
      <w:lvlJc w:val="left"/>
      <w:lvlText w:val="2"/>
      <w:numFmt w:val="bullet"/>
      <w:start w:val="1"/>
    </w:lvl>
  </w:abstractNum>
  <w:abstractNum w:abstractNumId="3">
    <w:nsid w:val="41B71EFB"/>
    <w:multiLevelType w:val="hybridMultilevel"/>
    <w:lvl w:ilvl="0">
      <w:lvlJc w:val="left"/>
      <w:lvlText w:val="3"/>
      <w:numFmt w:val="bullet"/>
      <w:start w:val="1"/>
    </w:lvl>
  </w:abstractNum>
  <w:abstractNum w:abstractNumId="4">
    <w:nsid w:val="79E2A9E3"/>
    <w:multiLevelType w:val="hybridMultilevel"/>
    <w:lvl w:ilvl="0">
      <w:lvlJc w:val="left"/>
      <w:lvlText w:val="6"/>
      <w:numFmt w:val="bullet"/>
      <w:start w:val="1"/>
    </w:lvl>
  </w:abstractNum>
  <w:abstractNum w:abstractNumId="5">
    <w:nsid w:val="7545E146"/>
    <w:multiLevelType w:val="hybridMultilevel"/>
    <w:lvl w:ilvl="0">
      <w:lvlJc w:val="left"/>
      <w:lvlText w:val="2"/>
      <w:numFmt w:val="bullet"/>
      <w:start w:val="1"/>
    </w:lvl>
  </w:abstractNum>
  <w:abstractNum w:abstractNumId="6">
    <w:nsid w:val="515F007C"/>
    <w:multiLevelType w:val="hybridMultilevel"/>
    <w:lvl w:ilvl="0">
      <w:lvlJc w:val="left"/>
      <w:lvlText w:val="3"/>
      <w:numFmt w:val="bullet"/>
      <w:start w:val="1"/>
    </w:lvl>
  </w:abstractNum>
  <w:abstractNum w:abstractNumId="7">
    <w:nsid w:val="5BD062C2"/>
    <w:multiLevelType w:val="hybridMultilevel"/>
    <w:lvl w:ilvl="0">
      <w:lvlJc w:val="left"/>
      <w:lvlText w:val="(%1)"/>
      <w:numFmt w:val="lowerLetter"/>
      <w:start w:val="1"/>
    </w:lvl>
  </w:abstractNum>
  <w:abstractNum w:abstractNumId="8">
    <w:nsid w:val="12200854"/>
    <w:multiLevelType w:val="hybridMultilevel"/>
    <w:lvl w:ilvl="0">
      <w:lvlJc w:val="left"/>
      <w:lvlText w:val="(%1)"/>
      <w:numFmt w:val="lowerLetter"/>
      <w:start w:val="1"/>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2026-11-03T17:59:04Z</dcterms:created>
  <dcterms:modified xsi:type="dcterms:W3CDTF">2026-11-03T17:59:04Z</dcterms:modified>
</cp:coreProperties>
</file>