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080" w:right="900" w:hanging="3179"/>
        <w:spacing w:after="0" w:line="484" w:lineRule="auto"/>
        <w:tabs>
          <w:tab w:leader="none" w:pos="1371"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 ended September 30, 2017</w:t>
      </w:r>
    </w:p>
    <w:p>
      <w:pPr>
        <w:spacing w:after="0" w:line="29" w:lineRule="exact"/>
        <w:rPr>
          <w:rFonts w:ascii="MS PGothic" w:cs="MS PGothic" w:eastAsia="MS PGothic" w:hAnsi="MS PGothic"/>
          <w:sz w:val="18"/>
          <w:szCs w:val="18"/>
          <w:color w:val="auto"/>
        </w:rPr>
      </w:pPr>
    </w:p>
    <w:p>
      <w:pPr>
        <w:ind w:left="1380" w:hanging="485"/>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4"/>
          </w:tcPr>
          <w:p>
            <w:pPr>
              <w:ind w:left="3620"/>
              <w:spacing w:after="0"/>
              <w:rPr>
                <w:sz w:val="20"/>
                <w:szCs w:val="20"/>
                <w:color w:val="auto"/>
              </w:rPr>
            </w:pPr>
            <w:r>
              <w:rPr>
                <w:rFonts w:ascii="Arial" w:cs="Arial" w:eastAsia="Arial" w:hAnsi="Arial"/>
                <w:sz w:val="18"/>
                <w:szCs w:val="18"/>
                <w:b w:val="1"/>
                <w:bCs w:val="1"/>
                <w:color w:val="auto"/>
              </w:rPr>
              <w:t>For the transition period from</w:t>
            </w:r>
          </w:p>
        </w:tc>
        <w:tc>
          <w:tcPr>
            <w:tcW w:w="462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r>
      <w:tr>
        <w:trPr>
          <w:trHeight w:val="392"/>
        </w:trPr>
        <w:tc>
          <w:tcPr>
            <w:tcW w:w="11420" w:type="dxa"/>
            <w:vAlign w:val="bottom"/>
            <w:gridSpan w:val="6"/>
          </w:tcPr>
          <w:p>
            <w:pPr>
              <w:ind w:left="4320"/>
              <w:spacing w:after="0"/>
              <w:rPr>
                <w:sz w:val="20"/>
                <w:szCs w:val="20"/>
                <w:color w:val="auto"/>
              </w:rPr>
            </w:pPr>
            <w:r>
              <w:rPr>
                <w:rFonts w:ascii="Arial" w:cs="Arial" w:eastAsia="Arial" w:hAnsi="Arial"/>
                <w:sz w:val="18"/>
                <w:szCs w:val="18"/>
                <w:b w:val="1"/>
                <w:bCs w:val="1"/>
                <w:color w:val="auto"/>
              </w:rPr>
              <w:t>Commission file number: 001-37872</w:t>
            </w:r>
          </w:p>
        </w:tc>
      </w:tr>
      <w:tr>
        <w:trPr>
          <w:trHeight w:val="20"/>
        </w:trPr>
        <w:tc>
          <w:tcPr>
            <w:tcW w:w="632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38"/>
        </w:trPr>
        <w:tc>
          <w:tcPr>
            <w:tcW w:w="6800" w:type="dxa"/>
            <w:vAlign w:val="bottom"/>
            <w:gridSpan w:val="4"/>
          </w:tcPr>
          <w:p>
            <w:pPr>
              <w:jc w:val="center"/>
              <w:ind w:left="4490"/>
              <w:spacing w:after="0"/>
              <w:rPr>
                <w:sz w:val="20"/>
                <w:szCs w:val="20"/>
                <w:color w:val="auto"/>
              </w:rPr>
            </w:pPr>
            <w:r>
              <w:rPr>
                <w:rFonts w:ascii="Arial" w:cs="Arial" w:eastAsia="Arial" w:hAnsi="Arial"/>
                <w:sz w:val="18"/>
                <w:szCs w:val="18"/>
                <w:b w:val="1"/>
                <w:bCs w:val="1"/>
                <w:color w:val="auto"/>
              </w:rPr>
              <w:t>M I ACQUISITIONS, INC.</w:t>
            </w:r>
          </w:p>
        </w:tc>
        <w:tc>
          <w:tcPr>
            <w:tcW w:w="3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0"/>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432"/>
        </w:trPr>
        <w:tc>
          <w:tcPr>
            <w:tcW w:w="6800" w:type="dxa"/>
            <w:vAlign w:val="bottom"/>
            <w:gridSpan w:val="4"/>
          </w:tcPr>
          <w:p>
            <w:pPr>
              <w:jc w:val="center"/>
              <w:ind w:right="1080"/>
              <w:spacing w:after="0"/>
              <w:rPr>
                <w:sz w:val="20"/>
                <w:szCs w:val="20"/>
                <w:color w:val="auto"/>
              </w:rPr>
            </w:pPr>
            <w:r>
              <w:rPr>
                <w:rFonts w:ascii="Arial" w:cs="Arial" w:eastAsia="Arial" w:hAnsi="Arial"/>
                <w:sz w:val="18"/>
                <w:szCs w:val="18"/>
                <w:b w:val="1"/>
                <w:bCs w:val="1"/>
                <w:color w:val="auto"/>
                <w:w w:val="91"/>
              </w:rPr>
              <w:t>Delaware</w:t>
            </w:r>
          </w:p>
        </w:tc>
        <w:tc>
          <w:tcPr>
            <w:tcW w:w="4620" w:type="dxa"/>
            <w:vAlign w:val="bottom"/>
            <w:gridSpan w:val="2"/>
          </w:tcPr>
          <w:p>
            <w:pPr>
              <w:jc w:val="center"/>
              <w:ind w:right="770"/>
              <w:spacing w:after="0"/>
              <w:rPr>
                <w:sz w:val="20"/>
                <w:szCs w:val="20"/>
                <w:color w:val="auto"/>
              </w:rPr>
            </w:pPr>
            <w:r>
              <w:rPr>
                <w:rFonts w:ascii="Arial" w:cs="Arial" w:eastAsia="Arial" w:hAnsi="Arial"/>
                <w:sz w:val="18"/>
                <w:szCs w:val="18"/>
                <w:b w:val="1"/>
                <w:bCs w:val="1"/>
                <w:color w:val="auto"/>
                <w:w w:val="91"/>
              </w:rPr>
              <w:t>47-4257046</w:t>
            </w:r>
          </w:p>
        </w:tc>
      </w:tr>
      <w:tr>
        <w:trPr>
          <w:trHeight w:val="195"/>
        </w:trPr>
        <w:tc>
          <w:tcPr>
            <w:tcW w:w="5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tcPr>
          <w:p>
            <w:pPr>
              <w:jc w:val="center"/>
              <w:ind w:right="107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6800" w:type="dxa"/>
            <w:vAlign w:val="bottom"/>
            <w:gridSpan w:val="4"/>
          </w:tcPr>
          <w:p>
            <w:pPr>
              <w:jc w:val="center"/>
              <w:ind w:right="1080"/>
              <w:spacing w:after="0"/>
              <w:rPr>
                <w:sz w:val="20"/>
                <w:szCs w:val="20"/>
                <w:color w:val="auto"/>
              </w:rPr>
            </w:pPr>
            <w:r>
              <w:rPr>
                <w:rFonts w:ascii="Arial" w:cs="Arial" w:eastAsia="Arial" w:hAnsi="Arial"/>
                <w:sz w:val="18"/>
                <w:szCs w:val="18"/>
                <w:color w:val="auto"/>
                <w:w w:val="92"/>
              </w:rPr>
              <w:t>incorporation or organization)</w:t>
            </w:r>
          </w:p>
        </w:tc>
        <w:tc>
          <w:tcPr>
            <w:tcW w:w="300" w:type="dxa"/>
            <w:vAlign w:val="bottom"/>
          </w:tcPr>
          <w:p>
            <w:pPr>
              <w:spacing w:after="0"/>
              <w:rPr>
                <w:sz w:val="20"/>
                <w:szCs w:val="20"/>
                <w:color w:val="auto"/>
              </w:rPr>
            </w:pPr>
          </w:p>
        </w:tc>
        <w:tc>
          <w:tcPr>
            <w:tcW w:w="4320" w:type="dxa"/>
            <w:vAlign w:val="bottom"/>
          </w:tcPr>
          <w:p>
            <w:pPr>
              <w:jc w:val="center"/>
              <w:ind w:right="109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 Management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 Wall Street, 58th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5580" w:hanging="428"/>
        <w:spacing w:after="0"/>
        <w:tabs>
          <w:tab w:leader="none" w:pos="5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491-4240</w:t>
      </w:r>
    </w:p>
    <w:p>
      <w:pPr>
        <w:spacing w:after="0" w:line="27" w:lineRule="exact"/>
        <w:rPr>
          <w:rFonts w:ascii="Arial" w:cs="Arial" w:eastAsia="Arial" w:hAnsi="Arial"/>
          <w:sz w:val="18"/>
          <w:szCs w:val="18"/>
          <w:b w:val="1"/>
          <w:bCs w:val="1"/>
          <w:color w:val="auto"/>
        </w:rPr>
      </w:pPr>
    </w:p>
    <w:p>
      <w:pPr>
        <w:ind w:left="4700"/>
        <w:spacing w:after="0"/>
        <w:rPr>
          <w:rFonts w:ascii="Arial" w:cs="Arial" w:eastAsia="Arial" w:hAnsi="Arial"/>
          <w:sz w:val="18"/>
          <w:szCs w:val="18"/>
          <w:b w:val="1"/>
          <w:bCs w:val="1"/>
          <w:color w:val="auto"/>
        </w:rPr>
      </w:pPr>
      <w:r>
        <w:rPr>
          <w:rFonts w:ascii="Arial" w:cs="Arial" w:eastAsia="Arial" w:hAnsi="Arial"/>
          <w:sz w:val="18"/>
          <w:szCs w:val="18"/>
          <w:color w:val="auto"/>
        </w:rPr>
        <w:t>(Issuer’s telephone number)</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Check whether the issuer (1)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1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9"/>
        </w:trPr>
        <w:tc>
          <w:tcPr>
            <w:tcW w:w="2840" w:type="dxa"/>
            <w:vAlign w:val="bottom"/>
          </w:tcPr>
          <w:p>
            <w:pPr>
              <w:spacing w:after="0"/>
              <w:rPr>
                <w:sz w:val="20"/>
                <w:szCs w:val="20"/>
                <w:color w:val="auto"/>
              </w:rPr>
            </w:pPr>
            <w:r>
              <w:rPr>
                <w:rFonts w:ascii="Arial" w:cs="Arial" w:eastAsia="Arial" w:hAnsi="Arial"/>
                <w:sz w:val="18"/>
                <w:szCs w:val="18"/>
                <w:color w:val="auto"/>
              </w:rPr>
              <w:t>Non-accelerated filer</w:t>
            </w:r>
          </w:p>
        </w:tc>
        <w:tc>
          <w:tcPr>
            <w:tcW w:w="1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1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(Do not check if smaller reporting</w:t>
            </w:r>
          </w:p>
        </w:tc>
        <w:tc>
          <w:tcPr>
            <w:tcW w:w="1700" w:type="dxa"/>
            <w:vAlign w:val="bottom"/>
          </w:tcPr>
          <w:p>
            <w:pPr>
              <w:spacing w:after="0"/>
              <w:rPr>
                <w:sz w:val="18"/>
                <w:szCs w:val="18"/>
                <w:color w:val="auto"/>
              </w:rPr>
            </w:pPr>
          </w:p>
        </w:tc>
        <w:tc>
          <w:tcPr>
            <w:tcW w:w="3620" w:type="dxa"/>
            <w:vAlign w:val="bottom"/>
            <w:vMerge w:val="restart"/>
          </w:tcPr>
          <w:p>
            <w:pPr>
              <w:ind w:left="1180"/>
              <w:spacing w:after="0"/>
              <w:rPr>
                <w:sz w:val="20"/>
                <w:szCs w:val="20"/>
                <w:color w:val="auto"/>
              </w:rPr>
            </w:pPr>
            <w:r>
              <w:rPr>
                <w:rFonts w:ascii="Arial" w:cs="Arial" w:eastAsia="Arial" w:hAnsi="Arial"/>
                <w:sz w:val="18"/>
                <w:szCs w:val="18"/>
                <w:color w:val="auto"/>
              </w:rPr>
              <w:t>Emerging Growth Company</w:t>
            </w:r>
          </w:p>
        </w:tc>
        <w:tc>
          <w:tcPr>
            <w:tcW w:w="58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2"/>
        </w:trPr>
        <w:tc>
          <w:tcPr>
            <w:tcW w:w="2840" w:type="dxa"/>
            <w:vAlign w:val="bottom"/>
            <w:vMerge w:val="restart"/>
          </w:tcPr>
          <w:p>
            <w:pPr>
              <w:spacing w:after="0"/>
              <w:rPr>
                <w:sz w:val="20"/>
                <w:szCs w:val="20"/>
                <w:color w:val="auto"/>
              </w:rPr>
            </w:pPr>
            <w:r>
              <w:rPr>
                <w:rFonts w:ascii="Arial" w:cs="Arial" w:eastAsia="Arial" w:hAnsi="Arial"/>
                <w:sz w:val="18"/>
                <w:szCs w:val="18"/>
                <w:color w:val="auto"/>
              </w:rPr>
              <w:t>company)</w:t>
            </w:r>
          </w:p>
        </w:tc>
        <w:tc>
          <w:tcPr>
            <w:tcW w:w="1700" w:type="dxa"/>
            <w:vAlign w:val="bottom"/>
          </w:tcPr>
          <w:p>
            <w:pPr>
              <w:spacing w:after="0"/>
              <w:rPr>
                <w:sz w:val="12"/>
                <w:szCs w:val="12"/>
                <w:color w:val="auto"/>
              </w:rPr>
            </w:pPr>
          </w:p>
        </w:tc>
        <w:tc>
          <w:tcPr>
            <w:tcW w:w="36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84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13, 2017, 7,058,743 shares of common stock, par value $0.001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00" w:type="dxa"/>
            <w:vAlign w:val="bottom"/>
            <w:gridSpan w:val="5"/>
          </w:tcPr>
          <w:p>
            <w:pPr>
              <w:jc w:val="center"/>
              <w:ind w:right="3100"/>
              <w:spacing w:after="0"/>
              <w:rPr>
                <w:sz w:val="20"/>
                <w:szCs w:val="20"/>
                <w:color w:val="auto"/>
              </w:rPr>
            </w:pPr>
            <w:r>
              <w:rPr>
                <w:rFonts w:ascii="Arial" w:cs="Arial" w:eastAsia="Arial" w:hAnsi="Arial"/>
                <w:sz w:val="18"/>
                <w:szCs w:val="18"/>
                <w:b w:val="1"/>
                <w:bCs w:val="1"/>
                <w:color w:val="auto"/>
              </w:rPr>
              <w:t>M I ACQUISITIONS,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00" w:type="dxa"/>
            <w:vAlign w:val="bottom"/>
            <w:gridSpan w:val="10"/>
          </w:tcPr>
          <w:p>
            <w:pPr>
              <w:jc w:val="center"/>
              <w:ind w:right="1720"/>
              <w:spacing w:after="0"/>
              <w:rPr>
                <w:sz w:val="20"/>
                <w:szCs w:val="20"/>
                <w:color w:val="auto"/>
              </w:rPr>
            </w:pPr>
            <w:r>
              <w:rPr>
                <w:rFonts w:ascii="Arial" w:cs="Arial" w:eastAsia="Arial" w:hAnsi="Arial"/>
                <w:sz w:val="18"/>
                <w:szCs w:val="18"/>
                <w:b w:val="1"/>
                <w:bCs w:val="1"/>
                <w:color w:val="auto"/>
                <w:w w:val="98"/>
              </w:rPr>
              <w:t>FORM 10-Q FOR THE QUARTER ENDED SEPTEMBER 30,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5"/>
          </w:tcPr>
          <w:p>
            <w:pPr>
              <w:jc w:val="center"/>
              <w:ind w:right="310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40" w:type="dxa"/>
            <w:vAlign w:val="bottom"/>
            <w:gridSpan w:val="3"/>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480" w:type="dxa"/>
            <w:vAlign w:val="bottom"/>
            <w:gridSpan w:val="1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2"/>
        </w:trPr>
        <w:tc>
          <w:tcPr>
            <w:tcW w:w="1040" w:type="dxa"/>
            <w:vAlign w:val="bottom"/>
            <w:gridSpan w:val="3"/>
            <w:vMerge w:val="continue"/>
          </w:tcPr>
          <w:p>
            <w:pPr>
              <w:spacing w:after="0"/>
              <w:rPr>
                <w:sz w:val="14"/>
                <w:szCs w:val="14"/>
                <w:color w:val="auto"/>
              </w:rPr>
            </w:pPr>
          </w:p>
        </w:tc>
        <w:tc>
          <w:tcPr>
            <w:tcW w:w="9480" w:type="dxa"/>
            <w:vAlign w:val="bottom"/>
            <w:gridSpan w:val="15"/>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w:t>
              </w:r>
            </w:hyperlink>
          </w:p>
        </w:tc>
        <w:tc>
          <w:tcPr>
            <w:tcW w:w="6500" w:type="dxa"/>
            <w:vAlign w:val="bottom"/>
            <w:gridSpan w:val="5"/>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Statements of Operations</w:t>
              </w:r>
            </w:hyperlink>
          </w:p>
        </w:tc>
        <w:tc>
          <w:tcPr>
            <w:tcW w:w="6620" w:type="dxa"/>
            <w:vAlign w:val="bottom"/>
            <w:gridSpan w:val="7"/>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0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0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Financial Statements</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Item 3.</w:t>
              </w:r>
            </w:hyperlink>
          </w:p>
        </w:tc>
        <w:tc>
          <w:tcPr>
            <w:tcW w:w="648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Disclosures Regarding Market Risk</w:t>
              </w:r>
            </w:hyperlink>
          </w:p>
        </w:tc>
        <w:tc>
          <w:tcPr>
            <w:tcW w:w="24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Controls and Procedures</w:t>
              </w:r>
            </w:hyperlink>
          </w:p>
        </w:tc>
        <w:tc>
          <w:tcPr>
            <w:tcW w:w="2880" w:type="dxa"/>
            <w:vAlign w:val="bottom"/>
            <w:tcBorders>
              <w:top w:val="single" w:sz="8" w:color="0000EE"/>
            </w:tcBorders>
            <w:gridSpan w:val="6"/>
          </w:tcPr>
          <w:p>
            <w:pPr>
              <w:spacing w:after="0"/>
              <w:rPr>
                <w:sz w:val="17"/>
                <w:szCs w:val="17"/>
                <w:color w:val="auto"/>
              </w:rPr>
            </w:pPr>
          </w:p>
        </w:tc>
        <w:tc>
          <w:tcPr>
            <w:tcW w:w="426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Part II.</w:t>
              </w:r>
            </w:hyperlink>
          </w:p>
        </w:tc>
        <w:tc>
          <w:tcPr>
            <w:tcW w:w="9480" w:type="dxa"/>
            <w:vAlign w:val="bottom"/>
            <w:gridSpan w:val="1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438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Unregistered Sales of Equity Securities and Use of Proceeds</w:t>
              </w:r>
            </w:hyperlink>
          </w:p>
        </w:tc>
        <w:tc>
          <w:tcPr>
            <w:tcW w:w="456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6.</w:t>
              </w:r>
            </w:hyperlink>
          </w:p>
        </w:tc>
        <w:tc>
          <w:tcPr>
            <w:tcW w:w="8940" w:type="dxa"/>
            <w:vAlign w:val="bottom"/>
            <w:gridSpan w:val="13"/>
          </w:tcPr>
          <w:p>
            <w:pPr>
              <w:ind w:left="2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568"/>
        </w:trPr>
        <w:tc>
          <w:tcPr>
            <w:tcW w:w="4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3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rPr>
              <w:t>PART I – FINANCIAL STATEMENTS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2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6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2"/>
              </w:rPr>
              <w:t>M I Acquisitions, Inc.</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6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6"/>
              </w:rPr>
              <w:t>Condensed Balance Sheets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7"/>
              </w:rPr>
              <w:t>Assets</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479,382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35,322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56,241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tcBorders>
            <w:gridSpan w:val="5"/>
            <w:shd w:val="clear" w:color="auto" w:fill="CCEEFF"/>
          </w:tcPr>
          <w:p>
            <w:pPr>
              <w:ind w:left="30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514,704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Cash and cash equivalents held in trust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54,948,047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54,731,828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00" w:type="dxa"/>
            <w:vAlign w:val="bottom"/>
            <w:tcBorders>
              <w:bottom w:val="single" w:sz="8" w:color="CCEEFF"/>
            </w:tcBorders>
            <w:gridSpan w:val="5"/>
          </w:tcPr>
          <w:p>
            <w:pPr>
              <w:ind w:left="3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55,462,751</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55,150,604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558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474,677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Accounts payable - related party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Offering costs payable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Note payable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tcBorders>
            <w:gridSpan w:val="5"/>
            <w:shd w:val="clear" w:color="auto" w:fill="CCEEFF"/>
          </w:tcPr>
          <w:p>
            <w:pPr>
              <w:ind w:left="30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573,793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1,062,022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1,062,022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1,635,815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1,212,149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40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Common stock subject to possible conversion (4,718,573 and 4,748,033 shares at conversion value as of</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0" w:type="dxa"/>
            <w:vAlign w:val="bottom"/>
            <w:gridSpan w:val="5"/>
            <w:shd w:val="clear" w:color="auto" w:fill="CCEEFF"/>
          </w:tcPr>
          <w:p>
            <w:pPr>
              <w:ind w:left="140"/>
              <w:spacing w:after="0"/>
              <w:rPr>
                <w:sz w:val="20"/>
                <w:szCs w:val="20"/>
                <w:color w:val="auto"/>
              </w:rPr>
            </w:pPr>
            <w:r>
              <w:rPr>
                <w:rFonts w:ascii="Arial" w:cs="Arial" w:eastAsia="Arial" w:hAnsi="Arial"/>
                <w:sz w:val="18"/>
                <w:szCs w:val="18"/>
                <w:b w:val="1"/>
                <w:bCs w:val="1"/>
                <w:color w:val="auto"/>
              </w:rPr>
              <w:t>September 30, 2017 and December 31, 2016)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48,826,934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48,938,449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gridSpan w:val="5"/>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Common stock, $0.001 par value; 30,000,000 shares authorized; 2,340,170 and 2,310,710 shares issued and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w w:val="91"/>
              </w:rPr>
              <w:t>outstanding (excluding 4,718,573 and 4,748,033 shares subject to possible conversion) at September 30, 2017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rPr>
              <w:t>and December 31, 2016, respectively</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5,227,402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5,115,916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(229,740)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gridSpan w:val="5"/>
          </w:tcPr>
          <w:p>
            <w:pPr>
              <w:ind w:left="30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55,462,751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55,150,604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For the Three Months</w:t>
            </w:r>
          </w:p>
        </w:tc>
        <w:tc>
          <w:tcPr>
            <w:tcW w:w="12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For the Three Months</w:t>
            </w: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For the Nine Months</w:t>
            </w:r>
          </w:p>
        </w:tc>
        <w:tc>
          <w:tcPr>
            <w:tcW w:w="80" w:type="dxa"/>
            <w:vAlign w:val="bottom"/>
          </w:tcPr>
          <w:p>
            <w:pPr>
              <w:spacing w:after="0"/>
              <w:rPr>
                <w:sz w:val="18"/>
                <w:szCs w:val="18"/>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Nine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Ended</w:t>
            </w:r>
          </w:p>
        </w:tc>
        <w:tc>
          <w:tcPr>
            <w:tcW w:w="80" w:type="dxa"/>
            <w:vAlign w:val="bottom"/>
          </w:tcPr>
          <w:p>
            <w:pPr>
              <w:spacing w:after="0"/>
              <w:rPr>
                <w:sz w:val="19"/>
                <w:szCs w:val="19"/>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 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September 30, 2016</w:t>
            </w:r>
          </w:p>
        </w:tc>
        <w:tc>
          <w:tcPr>
            <w:tcW w:w="80" w:type="dxa"/>
            <w:vAlign w:val="bottom"/>
          </w:tcPr>
          <w:p>
            <w:pPr>
              <w:spacing w:after="0"/>
              <w:rPr>
                <w:sz w:val="20"/>
                <w:szCs w:val="20"/>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 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September 30,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EXPENSES</w:t>
            </w:r>
          </w:p>
        </w:tc>
        <w:tc>
          <w:tcPr>
            <w:tcW w:w="2880" w:type="dxa"/>
            <w:vAlign w:val="bottom"/>
            <w:tcBorders>
              <w:bottom w:val="single" w:sz="8" w:color="CCEEFF"/>
            </w:tcBorders>
            <w:gridSpan w:val="4"/>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Arial" w:cs="Arial" w:eastAsia="Arial" w:hAnsi="Arial"/>
                <w:sz w:val="18"/>
                <w:szCs w:val="18"/>
                <w:color w:val="auto"/>
              </w:rPr>
              <w:t>Administration fee - related party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5,667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90,000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367,033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61,360</w:t>
            </w:r>
          </w:p>
        </w:tc>
        <w:tc>
          <w:tcPr>
            <w:tcW w:w="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714,534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8"/>
                <w:szCs w:val="18"/>
                <w:color w:val="auto"/>
              </w:rPr>
              <w:t>397,033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67,027</w:t>
            </w:r>
          </w:p>
        </w:tc>
        <w:tc>
          <w:tcPr>
            <w:tcW w:w="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8"/>
                <w:szCs w:val="18"/>
                <w:color w:val="auto"/>
              </w:rPr>
              <w:t>804,534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74,291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OTHER INCOME</w:t>
            </w:r>
          </w:p>
        </w:tc>
        <w:tc>
          <w:tcPr>
            <w:tcW w:w="2400" w:type="dxa"/>
            <w:vAlign w:val="bottom"/>
            <w:tcBorders>
              <w:bottom w:val="single" w:sz="8" w:color="CCEEFF"/>
            </w:tcBorders>
            <w:gridSpan w:val="3"/>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tcPr>
          <w:p>
            <w:pPr>
              <w:ind w:left="100"/>
              <w:spacing w:after="0"/>
              <w:rPr>
                <w:sz w:val="20"/>
                <w:szCs w:val="20"/>
                <w:color w:val="auto"/>
              </w:rPr>
            </w:pPr>
            <w:r>
              <w:rPr>
                <w:rFonts w:ascii="Arial" w:cs="Arial" w:eastAsia="Arial" w:hAnsi="Arial"/>
                <w:sz w:val="18"/>
                <w:szCs w:val="18"/>
                <w:color w:val="auto"/>
              </w:rPr>
              <w:t>Extinguishment of debt</w:t>
            </w:r>
          </w:p>
        </w:tc>
        <w:tc>
          <w:tcPr>
            <w:tcW w:w="1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27,500</w:t>
            </w:r>
          </w:p>
        </w:tc>
        <w:tc>
          <w:tcPr>
            <w:tcW w:w="8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Settlement income</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427,701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427,701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5"/>
          </w:tcPr>
          <w:p>
            <w:pPr>
              <w:ind w:left="1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121,682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265,314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gridSpan w:val="5"/>
          </w:tcPr>
          <w:p>
            <w:pPr>
              <w:spacing w:after="0" w:line="156" w:lineRule="exact"/>
              <w:rPr>
                <w:sz w:val="20"/>
                <w:szCs w:val="20"/>
                <w:color w:val="auto"/>
              </w:rPr>
            </w:pPr>
            <w:r>
              <w:rPr>
                <w:rFonts w:ascii="Arial" w:cs="Arial" w:eastAsia="Arial" w:hAnsi="Arial"/>
                <w:sz w:val="18"/>
                <w:szCs w:val="18"/>
                <w:color w:val="auto"/>
              </w:rPr>
              <w:t>TOTAL OTHER INCOME</w:t>
            </w:r>
          </w:p>
        </w:tc>
        <w:tc>
          <w:tcPr>
            <w:tcW w:w="120" w:type="dxa"/>
            <w:vAlign w:val="bottom"/>
          </w:tcPr>
          <w:p>
            <w:pPr>
              <w:spacing w:after="0"/>
              <w:rPr>
                <w:sz w:val="15"/>
                <w:szCs w:val="15"/>
                <w:color w:val="auto"/>
              </w:rPr>
            </w:pPr>
          </w:p>
        </w:tc>
        <w:tc>
          <w:tcPr>
            <w:tcW w:w="1740" w:type="dxa"/>
            <w:vAlign w:val="bottom"/>
            <w:gridSpan w:val="2"/>
          </w:tcPr>
          <w:p>
            <w:pPr>
              <w:jc w:val="right"/>
              <w:ind w:right="120"/>
              <w:spacing w:after="0" w:line="156" w:lineRule="exact"/>
              <w:rPr>
                <w:sz w:val="20"/>
                <w:szCs w:val="20"/>
                <w:color w:val="auto"/>
              </w:rPr>
            </w:pPr>
            <w:r>
              <w:rPr>
                <w:rFonts w:ascii="Arial" w:cs="Arial" w:eastAsia="Arial" w:hAnsi="Arial"/>
                <w:sz w:val="18"/>
                <w:szCs w:val="18"/>
                <w:color w:val="auto"/>
              </w:rPr>
              <w:t>549,383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30,645</w:t>
            </w:r>
          </w:p>
        </w:tc>
        <w:tc>
          <w:tcPr>
            <w:tcW w:w="80" w:type="dxa"/>
            <w:vAlign w:val="bottom"/>
          </w:tcPr>
          <w:p>
            <w:pPr>
              <w:spacing w:after="0"/>
              <w:rPr>
                <w:sz w:val="15"/>
                <w:szCs w:val="15"/>
                <w:color w:val="auto"/>
              </w:rPr>
            </w:pPr>
          </w:p>
        </w:tc>
        <w:tc>
          <w:tcPr>
            <w:tcW w:w="1760" w:type="dxa"/>
            <w:vAlign w:val="bottom"/>
            <w:gridSpan w:val="2"/>
          </w:tcPr>
          <w:p>
            <w:pPr>
              <w:jc w:val="right"/>
              <w:ind w:right="140"/>
              <w:spacing w:after="0" w:line="156" w:lineRule="exact"/>
              <w:rPr>
                <w:sz w:val="20"/>
                <w:szCs w:val="20"/>
                <w:color w:val="auto"/>
              </w:rPr>
            </w:pPr>
            <w:r>
              <w:rPr>
                <w:rFonts w:ascii="Arial" w:cs="Arial" w:eastAsia="Arial" w:hAnsi="Arial"/>
                <w:sz w:val="18"/>
                <w:szCs w:val="18"/>
                <w:color w:val="auto"/>
              </w:rPr>
              <w:t>693,015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jc w:val="right"/>
              <w:spacing w:after="0" w:line="156" w:lineRule="exact"/>
              <w:rPr>
                <w:sz w:val="20"/>
                <w:szCs w:val="20"/>
                <w:color w:val="auto"/>
              </w:rPr>
            </w:pPr>
            <w:r>
              <w:rPr>
                <w:rFonts w:ascii="Arial" w:cs="Arial" w:eastAsia="Arial" w:hAnsi="Arial"/>
                <w:sz w:val="18"/>
                <w:szCs w:val="18"/>
                <w:color w:val="auto"/>
              </w:rPr>
              <w:t>30,645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80" w:type="dxa"/>
            <w:vAlign w:val="bottom"/>
            <w:tcBorders>
              <w:top w:val="single" w:sz="8" w:color="auto"/>
              <w:bottom w:val="single" w:sz="8" w:color="CCEEFF"/>
            </w:tcBorders>
          </w:tcPr>
          <w:p>
            <w:pPr>
              <w:spacing w:after="0"/>
              <w:rPr>
                <w:sz w:val="2"/>
                <w:szCs w:val="2"/>
                <w:color w:val="auto"/>
              </w:rPr>
            </w:pPr>
          </w:p>
        </w:tc>
        <w:tc>
          <w:tcPr>
            <w:tcW w:w="140" w:type="dxa"/>
            <w:vAlign w:val="bottom"/>
            <w:tcBorders>
              <w:top w:val="single" w:sz="8" w:color="auto"/>
              <w:bottom w:val="single" w:sz="8" w:color="CCEEFF"/>
            </w:tcBorders>
          </w:tcPr>
          <w:p>
            <w:pPr>
              <w:spacing w:after="0"/>
              <w:rPr>
                <w:sz w:val="2"/>
                <w:szCs w:val="2"/>
                <w:color w:val="auto"/>
              </w:rPr>
            </w:pPr>
          </w:p>
        </w:tc>
        <w:tc>
          <w:tcPr>
            <w:tcW w:w="480" w:type="dxa"/>
            <w:vAlign w:val="bottom"/>
            <w:tcBorders>
              <w:top w:val="single" w:sz="8" w:color="auto"/>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760" w:type="dxa"/>
            <w:vAlign w:val="bottom"/>
            <w:gridSpan w:val="5"/>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4"/>
                <w:szCs w:val="24"/>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152,350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(36,382)</w:t>
            </w:r>
          </w:p>
        </w:tc>
        <w:tc>
          <w:tcPr>
            <w:tcW w:w="80" w:type="dxa"/>
            <w:vAlign w:val="bottom"/>
          </w:tcPr>
          <w:p>
            <w:pPr>
              <w:spacing w:after="0"/>
              <w:rPr>
                <w:sz w:val="24"/>
                <w:szCs w:val="24"/>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(111,519)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(43,646)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6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w w:val="90"/>
              </w:rPr>
              <w:t>Net income (loss) per shares of common stock –</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3760" w:type="dxa"/>
            <w:vAlign w:val="bottom"/>
            <w:gridSpan w:val="5"/>
          </w:tcPr>
          <w:p>
            <w:pPr>
              <w:ind w:left="160"/>
              <w:spacing w:after="0"/>
              <w:rPr>
                <w:sz w:val="20"/>
                <w:szCs w:val="20"/>
                <w:color w:val="auto"/>
              </w:rPr>
            </w:pPr>
            <w:r>
              <w:rPr>
                <w:rFonts w:ascii="Arial" w:cs="Arial" w:eastAsia="Arial" w:hAnsi="Arial"/>
                <w:sz w:val="18"/>
                <w:szCs w:val="18"/>
                <w:b w:val="1"/>
                <w:bCs w:val="1"/>
                <w:color w:val="auto"/>
              </w:rPr>
              <w:t>basic and diluted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6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rPr>
              <w:t>Weighted average shares of common stock</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760" w:type="dxa"/>
            <w:vAlign w:val="bottom"/>
            <w:gridSpan w:val="5"/>
          </w:tcPr>
          <w:p>
            <w:pPr>
              <w:ind w:left="140"/>
              <w:spacing w:after="0"/>
              <w:rPr>
                <w:sz w:val="20"/>
                <w:szCs w:val="20"/>
                <w:color w:val="auto"/>
              </w:rPr>
            </w:pPr>
            <w:r>
              <w:rPr>
                <w:rFonts w:ascii="Arial" w:cs="Arial" w:eastAsia="Arial" w:hAnsi="Arial"/>
                <w:sz w:val="18"/>
                <w:szCs w:val="18"/>
                <w:b w:val="1"/>
                <w:bCs w:val="1"/>
                <w:color w:val="auto"/>
              </w:rPr>
              <w:t>outstanding – basic and diluted</w:t>
            </w:r>
          </w:p>
        </w:tc>
        <w:tc>
          <w:tcPr>
            <w:tcW w:w="120" w:type="dxa"/>
            <w:vAlign w:val="bottom"/>
          </w:tcPr>
          <w:p>
            <w:pPr>
              <w:spacing w:after="0"/>
              <w:rPr>
                <w:sz w:val="22"/>
                <w:szCs w:val="22"/>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2,344,454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1,363,737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2,327,754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1,288,329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8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For the Nine Months</w:t>
            </w:r>
          </w:p>
        </w:tc>
        <w:tc>
          <w:tcPr>
            <w:tcW w:w="80" w:type="dxa"/>
            <w:vAlign w:val="bottom"/>
          </w:tcPr>
          <w:p>
            <w:pPr>
              <w:spacing w:after="0"/>
              <w:rPr>
                <w:sz w:val="18"/>
                <w:szCs w:val="18"/>
                <w:color w:val="auto"/>
              </w:rPr>
            </w:pPr>
          </w:p>
        </w:tc>
        <w:tc>
          <w:tcPr>
            <w:tcW w:w="18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For the Nine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 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September 30,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(111,519)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extinguishment of debt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Interest earned on cash and securities held in Trust Account</w:t>
            </w:r>
          </w:p>
        </w:tc>
        <w:tc>
          <w:tcPr>
            <w:tcW w:w="10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(265,314)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Accrued interest income</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Formation and organization costs paid by related parties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363,666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67,027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 related party</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67,752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released from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Cash deposited into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60"/>
        <w:spacing w:after="0"/>
        <w:tabs>
          <w:tab w:leader="none" w:pos="2280" w:val="left"/>
        </w:tabs>
        <w:rPr>
          <w:sz w:val="20"/>
          <w:szCs w:val="20"/>
          <w:color w:val="auto"/>
        </w:rPr>
      </w:pPr>
      <w:r>
        <w:rPr>
          <w:rFonts w:ascii="Arial" w:cs="Arial" w:eastAsia="Arial" w:hAnsi="Arial"/>
          <w:sz w:val="18"/>
          <w:szCs w:val="18"/>
          <w:color w:val="auto"/>
        </w:rPr>
        <w:t>71,702</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(22,607)</w:t>
      </w:r>
      <w:r>
        <w:rPr>
          <w:sz w:val="20"/>
          <w:szCs w:val="20"/>
          <w:color w:val="auto"/>
        </w:rPr>
        <w:tab/>
      </w:r>
      <w:r>
        <w:rPr>
          <w:rFonts w:ascii="Arial" w:cs="Arial" w:eastAsia="Arial" w:hAnsi="Arial"/>
          <w:sz w:val="16"/>
          <w:szCs w:val="16"/>
          <w:color w:val="auto"/>
        </w:rPr>
        <w:t>(51,500,000)</w:t>
      </w:r>
    </w:p>
    <w:p>
      <w:pPr>
        <w:spacing w:after="0" w:line="23" w:lineRule="exact"/>
        <w:rPr>
          <w:sz w:val="20"/>
          <w:szCs w:val="20"/>
          <w:color w:val="auto"/>
        </w:rPr>
      </w:pPr>
    </w:p>
    <w:p>
      <w:pPr>
        <w:ind w:left="60"/>
        <w:spacing w:after="0"/>
        <w:tabs>
          <w:tab w:leader="none" w:pos="1580" w:val="left"/>
        </w:tabs>
        <w:rPr>
          <w:sz w:val="20"/>
          <w:szCs w:val="20"/>
          <w:color w:val="auto"/>
        </w:rPr>
      </w:pPr>
      <w:r>
        <w:rPr>
          <w:rFonts w:ascii="Arial" w:cs="Arial" w:eastAsia="Arial" w:hAnsi="Arial"/>
          <w:sz w:val="16"/>
          <w:szCs w:val="16"/>
          <w:color w:val="auto"/>
        </w:rPr>
        <w:t>49,095</w:t>
      </w:r>
      <w:r>
        <w:rPr>
          <w:sz w:val="20"/>
          <w:szCs w:val="20"/>
          <w:color w:val="auto"/>
        </w:rPr>
        <w:tab/>
      </w:r>
      <w:r>
        <w:rPr>
          <w:rFonts w:ascii="Arial" w:cs="Arial" w:eastAsia="Arial" w:hAnsi="Arial"/>
          <w:sz w:val="16"/>
          <w:szCs w:val="16"/>
          <w:color w:val="auto"/>
        </w:rPr>
        <w:t>(51,500,000)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29210</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20" w:space="720"/>
            <w:col w:w="2580"/>
          </w:cols>
          <w:pgMar w:left="240" w:top="796" w:right="239" w:bottom="1440"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Proceeds from public offering, net of offering costs</w:t>
            </w:r>
          </w:p>
        </w:tc>
        <w:tc>
          <w:tcPr>
            <w:tcW w:w="6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48,194,567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insider units</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Payments of related party notes</w:t>
            </w:r>
          </w:p>
        </w:tc>
        <w:tc>
          <w:tcPr>
            <w:tcW w:w="6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(131,720)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related party advances</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Payments of related party advances</w:t>
            </w:r>
          </w:p>
        </w:tc>
        <w:tc>
          <w:tcPr>
            <w:tcW w:w="6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(54,230)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offering costs</w:t>
            </w:r>
          </w:p>
        </w:tc>
        <w:tc>
          <w:tcPr>
            <w:tcW w:w="6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6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52,008,778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6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116,847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504,051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362,535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479,382</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509,051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4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of deferred offering costs to equity</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35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258,997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Payment of deferred offering costs by issuance of notes and related party notes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Borders>
              <w:bottom w:val="single" w:sz="8" w:color="CCEEFF"/>
            </w:tcBorders>
            <w:gridSpan w:val="2"/>
            <w:vMerge w:val="continue"/>
          </w:tcPr>
          <w:p>
            <w:pPr>
              <w:spacing w:after="0"/>
              <w:rPr>
                <w:sz w:val="20"/>
                <w:szCs w:val="20"/>
                <w:color w:val="auto"/>
              </w:rPr>
            </w:pPr>
          </w:p>
        </w:tc>
        <w:tc>
          <w:tcPr>
            <w:tcW w:w="6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15,000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Common stock subject to possible conversion</w:t>
            </w: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111,515</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45,870,695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Deferred Underwriting commission</w:t>
            </w: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gridSpan w:val="2"/>
            <w:vMerge w:val="continue"/>
          </w:tcPr>
          <w:p>
            <w:pPr>
              <w:spacing w:after="0"/>
              <w:rPr>
                <w:sz w:val="17"/>
                <w:szCs w:val="17"/>
                <w:color w:val="auto"/>
              </w:rPr>
            </w:pPr>
          </w:p>
        </w:tc>
        <w:tc>
          <w:tcPr>
            <w:tcW w:w="6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2017, the Company had not yet commenced any operations. For the nine months ended September 30, 2017, the Company’s activity has been limited to the evaluation of business combination candidates, and the Company will not be generating any operating revenues until the closing and completion of an initial business combination.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September 30, 2017.</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funds in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However,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jc w:val="both"/>
        <w:spacing w:after="0" w:line="289"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16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their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Company’s amended and restated Certificate of Incorporation if the Company is unable to complete its initial Business Combination within 18 months from the date of the Offering,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However, if the Company anticipates that it may not be able to consummate its initial Business Combination within 18 months, the Company may extend the period of time to consummate a Business Combination up to three times, each by an additional month (for a total of up to 21 months to complete a Business Combination). Pursuant to the terms of the Company’s amended and restated articles of incorporation and the trust agreement entered into between the Company and American Stock Transfer &amp; Trust Company, in order to extend the time available for the Company to consummate its initial Business Combination, the Company’s insiders or their affiliates or designees, upon five days advance notice prior to the applicable deadline, must deposit into the trust account $132,753 ($0.025 per unit), up to an aggregate of $398,259, or $0.075 per unit, on or prior to the date of the applicable deadline, for each one month extension.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less income and franchise tax obligations.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condensed financial statements have been prepared assuming the Company will continue as a going concern, which contemplates, among other things, the realization of assets and satisfaction of liabilities in the normal course of business. As of September 30, 2017, the Company had $479,382 in cash and cash equivalents held outside Trust Account, $265,314 in interest income available from the Company’s investments in the Trust Account to pay its franchise and income tax obligations, and a working capital deficit of $59,089.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foregoing, the Company may have insufficient funds available to operate its business through the earlier of consummation of a Business Combination or March 19, 2018 (if an extension is not completed).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The accompanying condensed financial statements do not include any adjustments that might be necessary if the Company is unable to continue as a going concern.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financial statements are presented in conformity with accounting principles generally accepted in the United States of America (“U.S. GAAP”) and pursuant to the rules and regulations of the Securities and Exchange Commission (“SEC”) for interim financial information and the instructions to Form 10-Q. Accordingly, they do not include all of the information and footnotes required by U.S. GAAP. In the opinion of management, all adjustments (consisting of normal accruals) considered for a fair presentation have been included. The Company has evaluated subsequent events through the issuance of this Form 10-Q. Operating results for the quarter ended September 30, 2017 are not necessarily indicative of the results that may be expected for the year ended December 31, 2017 or any future interim period. The accompanying unaudited condensed financial statements should be read in conjunction with the Company’s financial statements and notes thereto included in the Company’s Form 10-K filed with the Securities and Exchange Commission on March 13, 2017.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amounts held in the Trust Account represent substantially all of the proceeds of the Initial Public Offering and are classified as restricted assets since such amounts can only be used by the Company in connection with the consummation of a Business Combination. Except with respect to interest earned on the funds held in the Trust Account that may be released to pay income or other tax obligations, the proceeds will not be released from the Trust Account until the earlier of the completion of a Business Combination or the redemption of 100% of the outstanding public shares if we have not completed a Business Combination in the required time period. As of September 30, 2017, marketable securities held in the Trust Account consisted of $54,948,047 in United States Treasury Bills with an original maturity of six months or less. During the nine months ended September 30, 2017, the Company withdrew interest income totaling $71,702 to be utilized for payment of tax obligations. Of this amount, $22,607 was returned to the Company for overpayment of its tax obligations and deposited into the Trust Account.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complies with accounting and disclosure requirements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Net income (loss) per common share is computed by dividing net income (loss) applicable to common stockholders by the weighted average number of common shares outstanding during the period, plus, to the extent dilutive, the incremental number of shares of common stock to settle warrants, as calculated using the treasury stock method. An aggregate of 4,718,573 shares of common stock subject to possible redemption at September 30, 2017, have been excluded from the calculation of basic loss per ordinary share since such shares, if redeemed, only participate in their pro rata share of the trust earnings. At September 30, 2016, weighted average shares were reduced for the effect of an aggregate of 187,500 shares of common stock that were subject to forfeiture if the over-allotment option is not exercised by the underwriters. At September 30, 2017,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(loss) per common share</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net income is adjusted for the portion of income that is attributable to common stock subject to redemption, as these shares only participate in the income of the Trust Account and not the losses of the Company. Accordingly, basic and diluted loss per common share is calculated as follows:</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Three Months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Less: Income attributable to common shares subject to redemption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(108,127)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2,344,454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1,363,737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common share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Nine Months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Less: Income attributable to common shares subject to redemption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(210,500)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(322,019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2,327,754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1,288,329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is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condensed balance sheet.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and 2016 tax year. The Company believes that its income tax positions and deductions would be sustained on audit and does not anticipate any adjustments that would result in a material change to its financial position.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2017 through September 30, 2017. Management is currently unaware of any issues under review that could result in significant payments, accruals or material deviations from its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Income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and nine months ended September 30, 2017, the Company received $427,701 from an entity with which the Company was negotiating a business combination pursuant to a Letter of Intent originally executed in February 2017. During quarter ended June 30, 2017, the Letter of Intent expired. The amount received was approximately the amount of the expenses the Company incurred in pursuing that business combination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or September 14, 2017,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Units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2015, the Company issued a $55,000 principal amount unsecured promissory note. The note was non-interest bearing and was payable on the consummation of the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commencing on September 13, 2016, has agreed to pay an affiliate of the Company’s executive officers a monthly fee of $10,000 for general and administrative services due on the first of each month. During the three months ended September 30, 2017 and 2016, the Company incurred administrative fees of $30,000 and $5,667, respectively. During the nine months ended September 30, 2017 and 2016, the Company incurred administrative fees of $90,000 and $5,667, respectively.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2017, the Company and its Sponsor have agreed to defer payment of the monthly administrative service fee until a future date which has yet to be determined by the Sponsor.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As of September 30, 2017, there are no preferred shares issued or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Certificate of Incorporation was amended in connection with the Offering to reduce the Company’s authorized shares of common stock from 50,000,000 to 30,000,000.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2017 and December 31, 2016, there were 2,340,170 and 2,310,710 common shares issued and outstanding, which excludes 4,718,573 and 4,748,033 shares subject to possible conversion, respectively.</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Quarterly Report on Form 10-Q includes forward-looking statements.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 References to “we”, “us”, “our” or the “Company” are to M I Acquisitions Inc., except where the context requires otherwise. The following discussion should be read in conjunction with our condensed financial statements and related notes thereto included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our public offering in effecting our initial business combination.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presently have no revenue, have had losses since inception from incurring formation costs and have had no operations other than the active solicitation of a target business with which to complete a business combination. We have relied upon the sale of our securities and loans from our officers and directors to fund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19, 2016, we consummated our initial public offering (the “Offering”)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Offering, we consummated the private placement (“Private Placement”) of 402,500 units (the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November 13, 2017, a total of $54,990,849 was held in the trust account established for the benefit of the Company’s public shareholders, which includes approximately $296,726 in interest income available from the Company’s investments in the Trust Account to pay its income tax obligations.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has broad discretion with respect to the specific application of the net proceeds of the initial public offering and the private placement, although substantially all of the net proceeds are intended to be applied generally towards consummating a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entire activity from inception up to September 19, 2016 was in preparation for the Offering. Since the Offering, our activity has been limited to the evaluation of business combination candidates, and we will not be generating any operating revenues until the closing and completion of our initial business combination. We expect to generate small amounts of non-operating income in the form of interest income on cash and cash equivalents. Interest income is not expected to be significant in view of current low interest rates on risk-free investments (treasury securities). We expect to incur increased expenses as a result of being a public company (for legal, financial reporting, accounting and auditing compliance), as well as for due diligence expenses. Our expenses have increased substantially since closing the Offering.</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three and nine months ended September 30, 2017, we had a net income and net loss of $152,350 and $(111,519), respectively. During the three and nine months ended September 30, 2017, we incurred $367,033 and $714,534, respectively, of general and administrative expenses and $30,000 and $90,000, respectively, of administrative fees paid to a related party. For the three and nine months ended September 30, 2017, these expenses were offset by other income totaling $549,383 and $693,015. respectively. For the three months ended September 30, 2017, other income was comprised of interest income of $121,682 and settlement income of $427,701, which we received from an entity that decided that it no longer wished to engage in a transaction with us. The settlement income received was approximately the amount of the expenses we incurred pursuing that transaction. For the nine months ended September 30, 2017, other income was comprised of interest income of $265,314 and settlement income of $427,701.</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 w:name="page15"/>
    <w:bookmarkEnd w:id="14"/>
    <w:p>
      <w:pPr>
        <w:jc w:val="both"/>
        <w:spacing w:after="0" w:line="312" w:lineRule="auto"/>
        <w:rPr>
          <w:sz w:val="20"/>
          <w:szCs w:val="20"/>
          <w:color w:val="auto"/>
        </w:rPr>
      </w:pPr>
      <w:r>
        <w:rPr>
          <w:rFonts w:ascii="Arial" w:cs="Arial" w:eastAsia="Arial" w:hAnsi="Arial"/>
          <w:sz w:val="16"/>
          <w:szCs w:val="16"/>
          <w:color w:val="auto"/>
        </w:rPr>
        <w:t>For the three and nine months ended September 30, 2016, we had a net loss of $36,382 and $43,646, respectively. During the three and nine months ended September 30, 2016, we incurred $61,360 and $68,624, respectively, of general and administrative expenses and $5,667 and $5,667, respectively, of administrative fees paid to a related party. For the nine months ended September 30, 2016, other income was comprised of interest income of $30,645.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we had cash outside our trust account of $479,382.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liquidity needs have been satisfied to date through the Offering, the receipt of $25,000 from the sale of the insider shares and loans from insiders and a related party and an unrelated party in an aggregate amount of $186,720. During the nine months ended September 30, 2017, we withdrew interest income totaling $71,702 to be utilized for payment of tax obligations. In addition, we received $427,701 from a company with which we were negotiating a business combination after it decided that it no longer wished to engage in a transaction with us. The amount received was approximately the amount of the expenses we incurred in pursuing that transaction.</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Offering, including the funds held in the trust account, in connection with our initial business combination and to pay our expenses relating thereto, including a deferred underwriting commission payable to Chardan Capital Markets, LLC in an amount equal to 2.0%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anticipate that the amounts outside of our trust account will be insufficient to allow us to operate until March 19, 2018 (if an extension is not completed). We expect to have to raise additional capital through loans or additional investments from our shareholders, officers, directors, or third parties to allow us to operate until March 19, 2018 (if an extension is not completed). None of the shareholders, officers or directors are under any obligation to advance funds to, or to invest in, our company. Accordingly, we may not be able to obtain additional financing. If we are unable to raise additional capital, we may be required to take additional measures to conserve liquidity, which could include, but not necessarily be limited to, curtailing operations, suspending the pursuit of our business plan, and reducing overhead expenses. We cannot provide any assurance that new financing will be available to us on commercially acceptable terms, if at all. These matters, among others, raise substantial doubt about the Company’s ability to continue as a going concern.</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2017, we were not subject to any market or interest rate risk. Following the consummation of the Offering, the net proceeds of the Offering, including amounts in the trust account, may only be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September 30, 2017,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effective.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of 2017 covered by this Quarterly Report on Form 10-Q that has materially affected, or is reasonably likely to materially affect, our internal control over financial reporting.</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 from Registered Securities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19, 2016, we consummated our initial public offering (the “Offering”)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Offering, we consummated the private placement (“Private Placement”) of 402,500 units (the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The holders of the Private Units have agreed (A) to vote their private shares and any public shares acquired by them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by March 13, 2018 (or June 13, 2018,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by March 13, 2018 (or June 13, 2018,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14, 2016, a total of $54,694,127 of the net proceeds from the Offering and the Private Placement were in a trust account established for the benefit of the Company’s public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paid a total of $1,500,000 in underwriting discounts and commissions and $1,687,451 for other costs and expenses related to our formation and the IPO.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1026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372"/>
        </w:trPr>
        <w:tc>
          <w:tcPr>
            <w:tcW w:w="1040" w:type="dxa"/>
            <w:vAlign w:val="bottom"/>
            <w:tcBorders>
              <w:top w:val="single" w:sz="8" w:color="auto"/>
            </w:tcBorders>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10260" w:type="dxa"/>
            <w:vAlign w:val="bottom"/>
            <w:tcBorders>
              <w:top w:val="single" w:sz="8" w:color="auto"/>
            </w:tcBorders>
            <w:gridSpan w:val="4"/>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Certification of Chief Executive Officer pursuant to Rule 13a-14 and Rule 15d-14(a), promulgated under the Securities and Exchange Act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1934, as amended.</w:t>
              </w:r>
            </w:hyperlink>
          </w:p>
        </w:tc>
        <w:tc>
          <w:tcPr>
            <w:tcW w:w="8780" w:type="dxa"/>
            <w:vAlign w:val="bottom"/>
            <w:tcBorders>
              <w:top w:val="single" w:sz="8" w:color="0000EE"/>
            </w:tcBorders>
            <w:gridSpan w:val="2"/>
          </w:tcPr>
          <w:p>
            <w:pPr>
              <w:spacing w:after="0"/>
              <w:rPr>
                <w:sz w:val="17"/>
                <w:szCs w:val="17"/>
                <w:color w:val="auto"/>
              </w:rPr>
            </w:pPr>
          </w:p>
        </w:tc>
        <w:tc>
          <w:tcPr>
            <w:tcW w:w="140" w:type="dxa"/>
            <w:vAlign w:val="bottom"/>
          </w:tcPr>
          <w:p>
            <w:pPr>
              <w:spacing w:after="0"/>
              <w:rPr>
                <w:sz w:val="17"/>
                <w:szCs w:val="17"/>
                <w:color w:val="auto"/>
              </w:rPr>
            </w:pPr>
          </w:p>
        </w:tc>
      </w:tr>
      <w:tr>
        <w:trPr>
          <w:trHeight w:val="399"/>
        </w:trPr>
        <w:tc>
          <w:tcPr>
            <w:tcW w:w="1040" w:type="dxa"/>
            <w:vAlign w:val="bottom"/>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10260" w:type="dxa"/>
            <w:vAlign w:val="bottom"/>
            <w:gridSpan w:val="4"/>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Certification of Chief Financial Officer pursuant to Rule 13a-14 and Rule 15d-14(a), promulgated under the Securities and Exchange Act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1934, as amended.</w:t>
              </w:r>
            </w:hyperlink>
          </w:p>
        </w:tc>
        <w:tc>
          <w:tcPr>
            <w:tcW w:w="8740" w:type="dxa"/>
            <w:vAlign w:val="bottom"/>
            <w:tcBorders>
              <w:top w:val="single" w:sz="8" w:color="0000EE"/>
            </w:tcBorders>
          </w:tcPr>
          <w:p>
            <w:pPr>
              <w:spacing w:after="0"/>
              <w:rPr>
                <w:sz w:val="17"/>
                <w:szCs w:val="17"/>
                <w:color w:val="auto"/>
              </w:rPr>
            </w:pPr>
          </w:p>
        </w:tc>
        <w:tc>
          <w:tcPr>
            <w:tcW w:w="180" w:type="dxa"/>
            <w:vAlign w:val="bottom"/>
            <w:gridSpan w:val="2"/>
          </w:tcPr>
          <w:p>
            <w:pPr>
              <w:spacing w:after="0"/>
              <w:rPr>
                <w:sz w:val="17"/>
                <w:szCs w:val="17"/>
                <w:color w:val="auto"/>
              </w:rPr>
            </w:pPr>
          </w:p>
        </w:tc>
      </w:tr>
    </w:tbl>
    <w:p>
      <w:pPr>
        <w:spacing w:after="0" w:line="215" w:lineRule="exact"/>
        <w:rPr>
          <w:sz w:val="20"/>
          <w:szCs w:val="20"/>
          <w:color w:val="auto"/>
        </w:rPr>
      </w:pPr>
    </w:p>
    <w:p>
      <w:pPr>
        <w:ind w:left="1160" w:right="160" w:hanging="1152"/>
        <w:spacing w:after="0" w:line="277" w:lineRule="auto"/>
        <w:tabs>
          <w:tab w:leader="none" w:pos="1160" w:val="left"/>
        </w:tabs>
        <w:numPr>
          <w:ilvl w:val="0"/>
          <w:numId w:val="3"/>
        </w:numPr>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Certification of Chief Executive Officer and Chief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21">
        <w:r>
          <w:rPr>
            <w:rFonts w:ascii="Arial" w:cs="Arial" w:eastAsia="Arial" w:hAnsi="Arial"/>
            <w:sz w:val="18"/>
            <w:szCs w:val="18"/>
            <w:u w:val="single" w:color="auto"/>
            <w:color w:val="0000EE"/>
          </w:rPr>
          <w:t>of the Sarbanes-Oxley Act of 2002.</w:t>
        </w:r>
      </w:hyperlink>
    </w:p>
    <w:p>
      <w:pPr>
        <w:spacing w:after="0" w:line="157"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19"/>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19"/>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2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19"/>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2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19"/>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419"/>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20" w:type="dxa"/>
            <w:vAlign w:val="bottom"/>
          </w:tcPr>
          <w:p>
            <w:pPr>
              <w:ind w:left="24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0" w:lineRule="exact"/>
        <w:rPr>
          <w:rFonts w:ascii="Arial" w:cs="Arial" w:eastAsia="Arial" w:hAnsi="Arial"/>
          <w:sz w:val="18"/>
          <w:szCs w:val="18"/>
          <w:u w:val="single" w:color="auto"/>
          <w:color w:val="0000EE"/>
        </w:rPr>
      </w:pPr>
    </w:p>
    <w:p>
      <w:pPr>
        <w:spacing w:after="0" w:line="245" w:lineRule="exact"/>
        <w:rPr>
          <w:rFonts w:ascii="Arial" w:cs="Arial" w:eastAsia="Arial" w:hAnsi="Arial"/>
          <w:sz w:val="18"/>
          <w:szCs w:val="18"/>
          <w:u w:val="single" w:color="auto"/>
          <w:color w:val="0000EE"/>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 I ACQUISITIONS, INC.</w:t>
      </w:r>
    </w:p>
    <w:p>
      <w:pPr>
        <w:spacing w:after="0" w:line="212" w:lineRule="exact"/>
        <w:rPr>
          <w:sz w:val="20"/>
          <w:szCs w:val="20"/>
          <w:color w:val="auto"/>
        </w:rPr>
      </w:pPr>
    </w:p>
    <w:p>
      <w:pPr>
        <w:ind w:left="6980"/>
        <w:spacing w:after="0"/>
        <w:tabs>
          <w:tab w:leader="none" w:pos="7420" w:val="left"/>
        </w:tabs>
        <w:rPr>
          <w:sz w:val="20"/>
          <w:szCs w:val="20"/>
          <w:color w:val="auto"/>
        </w:rPr>
      </w:pPr>
      <w:r>
        <w:rPr>
          <w:rFonts w:ascii="Arial" w:cs="Arial" w:eastAsia="Arial" w:hAnsi="Arial"/>
          <w:sz w:val="18"/>
          <w:szCs w:val="18"/>
          <w:color w:val="auto"/>
        </w:rPr>
        <w:t>By:</w:t>
        <w:tab/>
        <w:t>/s/ Joshua Sason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executive officer)</w:t>
      </w:r>
    </w:p>
    <w:p>
      <w:pPr>
        <w:spacing w:after="0" w:line="197" w:lineRule="exact"/>
        <w:rPr>
          <w:sz w:val="20"/>
          <w:szCs w:val="20"/>
          <w:color w:val="auto"/>
        </w:rPr>
      </w:pPr>
    </w:p>
    <w:p>
      <w:pPr>
        <w:ind w:left="6980"/>
        <w:spacing w:after="0"/>
        <w:tabs>
          <w:tab w:leader="none" w:pos="7420" w:val="left"/>
        </w:tabs>
        <w:rPr>
          <w:sz w:val="20"/>
          <w:szCs w:val="20"/>
          <w:color w:val="auto"/>
        </w:rPr>
      </w:pPr>
      <w:r>
        <w:rPr>
          <w:rFonts w:ascii="Arial" w:cs="Arial" w:eastAsia="Arial" w:hAnsi="Arial"/>
          <w:sz w:val="18"/>
          <w:szCs w:val="18"/>
          <w:color w:val="auto"/>
        </w:rPr>
        <w:t>By:</w:t>
        <w:tab/>
        <w:t>/s/ Marc Manuel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2017</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23" w:right="27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Joshua Sason, certify that:</w:t>
      </w:r>
    </w:p>
    <w:p>
      <w:pPr>
        <w:spacing w:after="0" w:line="22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 I Acquisitions, Inc.;</w:t>
      </w:r>
    </w:p>
    <w:p>
      <w:pPr>
        <w:spacing w:after="0" w:line="252"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80" w:right="160" w:hanging="572"/>
        <w:spacing w:after="0" w:line="26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08"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208"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80" w:right="60" w:hanging="572"/>
        <w:spacing w:after="0" w:line="308"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Date: November 14, 2017</w:t>
      </w:r>
    </w:p>
    <w:p>
      <w:pPr>
        <w:spacing w:after="0" w:line="25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Manuel, certify that:</w:t>
      </w:r>
    </w:p>
    <w:p>
      <w:pPr>
        <w:spacing w:after="0" w:line="225"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 I Acquisitions, Inc.;</w:t>
      </w:r>
    </w:p>
    <w:p>
      <w:pPr>
        <w:spacing w:after="0" w:line="252"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80" w:right="160" w:hanging="572"/>
        <w:spacing w:after="0" w:line="26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08"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208"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80" w:right="60" w:hanging="572"/>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Date: November 14, 2017</w:t>
      </w:r>
    </w:p>
    <w:p>
      <w:pPr>
        <w:spacing w:after="0" w:line="25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Quarterly Report of M I Acquisitions, Inc. (the “Company”) on Form 10-Q for the quarter ended September 30, 2017 as filed with the Securities and Exchange Commission (the “Report”), each of the undersigned, in the capacities and on the dates indicated below, hereby certifies pursuant to 18 U.S.C. Section 1350, as adopted pursuant to Section 906 of the Sarbanes-Oxley Act of 2002, that:</w:t>
      </w:r>
    </w:p>
    <w:p>
      <w:pPr>
        <w:spacing w:after="0" w:line="181" w:lineRule="exact"/>
        <w:rPr>
          <w:sz w:val="20"/>
          <w:szCs w:val="20"/>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00" w:right="340" w:hanging="341"/>
        <w:spacing w:after="0" w:line="516"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November 14, 2017</w:t>
      </w:r>
    </w:p>
    <w:p>
      <w:pPr>
        <w:spacing w:after="0" w:line="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 November 14, 2017</w:t>
      </w:r>
    </w:p>
    <w:p>
      <w:pPr>
        <w:spacing w:after="0" w:line="25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decimal"/>
      <w:start w:val="347"/>
    </w:lvl>
  </w:abstractNum>
  <w:abstractNum w:abstractNumId="2">
    <w:nsid w:val="238E1F29"/>
    <w:multiLevelType w:val="hybridMultilevel"/>
    <w:lvl w:ilvl="0">
      <w:lvlJc w:val="left"/>
      <w:lvlText w:val="%1"/>
      <w:numFmt w:val="decimal"/>
      <w:start w:val="32"/>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2020-01-18T20:43:36Z</dcterms:created>
  <dcterms:modified xsi:type="dcterms:W3CDTF">2020-01-18T20:43:36Z</dcterms:modified>
</cp:coreProperties>
</file>