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13E-3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(Rule 13e-3 Transaction Statement 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wp:posOffset>
            </wp:positionV>
            <wp:extent cx="357378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3780" cy="1524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the Issuer)</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WD Capital Partners Parent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WD Capital Partners Merger Sub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WD Capital Partners Holdings 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WD Capital Partners Holdings GP LLC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Thomas C. Priore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Thomas Priore 2019 GRAT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Thomas C. Priore Irrevocable Insurance Trust u/a/d 1/8/2010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John V. Priore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AESV CreditCard Consulting,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4445</wp:posOffset>
            </wp:positionV>
            <wp:extent cx="357378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73780" cy="15240"/>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(Names of Persons Filing Statement)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wp:posOffset>
            </wp:positionV>
            <wp:extent cx="357378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3780" cy="1524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wp:posOffset>
            </wp:positionV>
            <wp:extent cx="357378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3780" cy="1524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(CUSIP Number)</w:t>
      </w:r>
    </w:p>
    <w:p>
      <w:pPr>
        <w:spacing w:after="0" w:line="198" w:lineRule="exact"/>
        <w:rPr>
          <w:sz w:val="24"/>
          <w:szCs w:val="24"/>
          <w:color w:val="auto"/>
        </w:rPr>
      </w:pPr>
    </w:p>
    <w:tbl>
      <w:tblPr>
        <w:tblLayout w:type="fixed"/>
        <w:tblInd w:w="280" w:type="dxa"/>
        <w:tblCellMar>
          <w:top w:w="0" w:type="dxa"/>
          <w:left w:w="0" w:type="dxa"/>
          <w:bottom w:w="0" w:type="dxa"/>
          <w:right w:w="0" w:type="dxa"/>
        </w:tblCellMar>
      </w:tblPr>
      <w:tr>
        <w:trPr>
          <w:trHeight w:val="191"/>
        </w:trPr>
        <w:tc>
          <w:tcPr>
            <w:tcW w:w="45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w w:val="99"/>
              </w:rPr>
              <w:t>Bradley J. Miller</w:t>
            </w:r>
          </w:p>
        </w:tc>
        <w:tc>
          <w:tcPr>
            <w:tcW w:w="2040" w:type="dxa"/>
            <w:vAlign w:val="bottom"/>
          </w:tcPr>
          <w:p>
            <w:pPr>
              <w:spacing w:after="0"/>
              <w:rPr>
                <w:sz w:val="16"/>
                <w:szCs w:val="16"/>
                <w:color w:val="auto"/>
              </w:rPr>
            </w:pPr>
          </w:p>
        </w:tc>
        <w:tc>
          <w:tcPr>
            <w:tcW w:w="406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w w:val="98"/>
              </w:rPr>
              <w:t>Thomas C. Priore</w:t>
            </w:r>
          </w:p>
        </w:tc>
      </w:tr>
      <w:tr>
        <w:trPr>
          <w:trHeight w:val="191"/>
        </w:trPr>
        <w:tc>
          <w:tcPr>
            <w:tcW w:w="45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w w:val="99"/>
              </w:rPr>
              <w:t>General Counsel, Chief Risk Officer and Corporate Secretary</w:t>
            </w:r>
          </w:p>
        </w:tc>
        <w:tc>
          <w:tcPr>
            <w:tcW w:w="2040" w:type="dxa"/>
            <w:vAlign w:val="bottom"/>
          </w:tcPr>
          <w:p>
            <w:pPr>
              <w:spacing w:after="0"/>
              <w:rPr>
                <w:sz w:val="16"/>
                <w:szCs w:val="16"/>
                <w:color w:val="auto"/>
              </w:rPr>
            </w:pPr>
          </w:p>
        </w:tc>
        <w:tc>
          <w:tcPr>
            <w:tcW w:w="4060" w:type="dxa"/>
            <w:vAlign w:val="bottom"/>
          </w:tcPr>
          <w:p>
            <w:pPr>
              <w:jc w:val="center"/>
              <w:ind w:right="720"/>
              <w:spacing w:after="0"/>
              <w:rPr>
                <w:sz w:val="20"/>
                <w:szCs w:val="20"/>
                <w:color w:val="auto"/>
              </w:rPr>
            </w:pPr>
            <w:r>
              <w:rPr>
                <w:rFonts w:ascii="Times New Roman" w:cs="Times New Roman" w:eastAsia="Times New Roman" w:hAnsi="Times New Roman"/>
                <w:sz w:val="16"/>
                <w:szCs w:val="16"/>
                <w:color w:val="auto"/>
                <w:w w:val="99"/>
              </w:rPr>
              <w:t>WD Capital Partners Parent Inc.</w:t>
            </w:r>
          </w:p>
        </w:tc>
      </w:tr>
      <w:tr>
        <w:trPr>
          <w:trHeight w:val="191"/>
        </w:trPr>
        <w:tc>
          <w:tcPr>
            <w:tcW w:w="45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8"/>
              </w:rPr>
              <w:t>Priority Technology Holdings, Inc.</w:t>
            </w:r>
          </w:p>
        </w:tc>
        <w:tc>
          <w:tcPr>
            <w:tcW w:w="2040" w:type="dxa"/>
            <w:vAlign w:val="bottom"/>
          </w:tcPr>
          <w:p>
            <w:pPr>
              <w:spacing w:after="0"/>
              <w:rPr>
                <w:sz w:val="16"/>
                <w:szCs w:val="16"/>
                <w:color w:val="auto"/>
              </w:rPr>
            </w:pPr>
          </w:p>
        </w:tc>
        <w:tc>
          <w:tcPr>
            <w:tcW w:w="406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w w:val="98"/>
              </w:rPr>
              <w:t>2001 Westside Parkway, Suite 155</w:t>
            </w:r>
          </w:p>
        </w:tc>
      </w:tr>
      <w:tr>
        <w:trPr>
          <w:trHeight w:val="191"/>
        </w:trPr>
        <w:tc>
          <w:tcPr>
            <w:tcW w:w="45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w w:val="98"/>
              </w:rPr>
              <w:t>2001 Westside Parkway, Suite 155</w:t>
            </w:r>
          </w:p>
        </w:tc>
        <w:tc>
          <w:tcPr>
            <w:tcW w:w="2040" w:type="dxa"/>
            <w:vAlign w:val="bottom"/>
          </w:tcPr>
          <w:p>
            <w:pPr>
              <w:spacing w:after="0"/>
              <w:rPr>
                <w:sz w:val="16"/>
                <w:szCs w:val="16"/>
                <w:color w:val="auto"/>
              </w:rPr>
            </w:pPr>
          </w:p>
        </w:tc>
        <w:tc>
          <w:tcPr>
            <w:tcW w:w="4060" w:type="dxa"/>
            <w:vAlign w:val="bottom"/>
          </w:tcPr>
          <w:p>
            <w:pPr>
              <w:jc w:val="center"/>
              <w:ind w:right="720"/>
              <w:spacing w:after="0"/>
              <w:rPr>
                <w:sz w:val="20"/>
                <w:szCs w:val="20"/>
                <w:color w:val="auto"/>
              </w:rPr>
            </w:pPr>
            <w:r>
              <w:rPr>
                <w:rFonts w:ascii="Times New Roman" w:cs="Times New Roman" w:eastAsia="Times New Roman" w:hAnsi="Times New Roman"/>
                <w:sz w:val="16"/>
                <w:szCs w:val="16"/>
                <w:color w:val="auto"/>
                <w:w w:val="99"/>
              </w:rPr>
              <w:t>Alpharetta, GA 30004</w:t>
            </w:r>
          </w:p>
        </w:tc>
      </w:tr>
      <w:tr>
        <w:trPr>
          <w:trHeight w:val="191"/>
        </w:trPr>
        <w:tc>
          <w:tcPr>
            <w:tcW w:w="45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Alpharetta, GA 30004</w:t>
            </w:r>
          </w:p>
        </w:tc>
        <w:tc>
          <w:tcPr>
            <w:tcW w:w="2040" w:type="dxa"/>
            <w:vAlign w:val="bottom"/>
          </w:tcPr>
          <w:p>
            <w:pPr>
              <w:spacing w:after="0"/>
              <w:rPr>
                <w:sz w:val="16"/>
                <w:szCs w:val="16"/>
                <w:color w:val="auto"/>
              </w:rPr>
            </w:pPr>
          </w:p>
        </w:tc>
        <w:tc>
          <w:tcPr>
            <w:tcW w:w="4060" w:type="dxa"/>
            <w:vAlign w:val="bottom"/>
          </w:tcPr>
          <w:p>
            <w:pPr>
              <w:jc w:val="center"/>
              <w:ind w:right="700"/>
              <w:spacing w:after="0"/>
              <w:rPr>
                <w:sz w:val="20"/>
                <w:szCs w:val="20"/>
                <w:color w:val="auto"/>
              </w:rPr>
            </w:pPr>
            <w:r>
              <w:rPr>
                <w:rFonts w:ascii="Times New Roman" w:cs="Times New Roman" w:eastAsia="Times New Roman" w:hAnsi="Times New Roman"/>
                <w:sz w:val="16"/>
                <w:szCs w:val="16"/>
                <w:color w:val="auto"/>
                <w:w w:val="99"/>
              </w:rPr>
              <w:t>(800) 935-5961</w:t>
            </w:r>
          </w:p>
        </w:tc>
      </w:tr>
      <w:tr>
        <w:trPr>
          <w:trHeight w:val="208"/>
        </w:trPr>
        <w:tc>
          <w:tcPr>
            <w:tcW w:w="4540" w:type="dxa"/>
            <w:vAlign w:val="bottom"/>
          </w:tcPr>
          <w:p>
            <w:pPr>
              <w:jc w:val="center"/>
              <w:ind w:left="340"/>
              <w:spacing w:after="0"/>
              <w:rPr>
                <w:sz w:val="20"/>
                <w:szCs w:val="20"/>
                <w:color w:val="auto"/>
              </w:rPr>
            </w:pPr>
            <w:r>
              <w:rPr>
                <w:rFonts w:ascii="Times New Roman" w:cs="Times New Roman" w:eastAsia="Times New Roman" w:hAnsi="Times New Roman"/>
                <w:sz w:val="16"/>
                <w:szCs w:val="16"/>
                <w:color w:val="auto"/>
                <w:w w:val="99"/>
              </w:rPr>
              <w:t>(800) 935-5961</w:t>
            </w:r>
          </w:p>
        </w:tc>
        <w:tc>
          <w:tcPr>
            <w:tcW w:w="204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382"/>
        </w:trPr>
        <w:tc>
          <w:tcPr>
            <w:tcW w:w="4540" w:type="dxa"/>
            <w:vAlign w:val="bottom"/>
          </w:tcPr>
          <w:p>
            <w:pPr>
              <w:spacing w:after="0"/>
              <w:rPr>
                <w:sz w:val="24"/>
                <w:szCs w:val="24"/>
                <w:color w:val="auto"/>
              </w:rPr>
            </w:pPr>
          </w:p>
        </w:tc>
        <w:tc>
          <w:tcPr>
            <w:tcW w:w="2040" w:type="dxa"/>
            <w:vAlign w:val="bottom"/>
          </w:tcPr>
          <w:p>
            <w:pPr>
              <w:jc w:val="center"/>
              <w:ind w:right="342"/>
              <w:spacing w:after="0"/>
              <w:rPr>
                <w:sz w:val="20"/>
                <w:szCs w:val="20"/>
                <w:color w:val="auto"/>
              </w:rPr>
            </w:pPr>
            <w:r>
              <w:rPr>
                <w:rFonts w:ascii="Times New Roman" w:cs="Times New Roman" w:eastAsia="Times New Roman" w:hAnsi="Times New Roman"/>
                <w:sz w:val="16"/>
                <w:szCs w:val="16"/>
                <w:color w:val="auto"/>
                <w:w w:val="99"/>
              </w:rPr>
              <w:t>with copies to:</w:t>
            </w:r>
          </w:p>
        </w:tc>
        <w:tc>
          <w:tcPr>
            <w:tcW w:w="4060" w:type="dxa"/>
            <w:vAlign w:val="bottom"/>
          </w:tcPr>
          <w:p>
            <w:pPr>
              <w:spacing w:after="0"/>
              <w:rPr>
                <w:sz w:val="24"/>
                <w:szCs w:val="24"/>
                <w:color w:val="auto"/>
              </w:rPr>
            </w:pPr>
          </w:p>
        </w:tc>
      </w:tr>
      <w:tr>
        <w:trPr>
          <w:trHeight w:val="366"/>
        </w:trPr>
        <w:tc>
          <w:tcPr>
            <w:tcW w:w="4540" w:type="dxa"/>
            <w:vAlign w:val="bottom"/>
          </w:tcPr>
          <w:p>
            <w:pPr>
              <w:jc w:val="center"/>
              <w:ind w:right="1420"/>
              <w:spacing w:after="0"/>
              <w:rPr>
                <w:sz w:val="20"/>
                <w:szCs w:val="20"/>
                <w:color w:val="auto"/>
              </w:rPr>
            </w:pPr>
            <w:r>
              <w:rPr>
                <w:rFonts w:ascii="Times New Roman" w:cs="Times New Roman" w:eastAsia="Times New Roman" w:hAnsi="Times New Roman"/>
                <w:sz w:val="16"/>
                <w:szCs w:val="16"/>
                <w:color w:val="auto"/>
                <w:w w:val="97"/>
              </w:rPr>
              <w:t>Jeffrey D. Marell</w:t>
            </w:r>
          </w:p>
        </w:tc>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7"/>
              </w:rPr>
              <w:t>Richard F. Langan, Jr.</w:t>
            </w:r>
          </w:p>
        </w:tc>
        <w:tc>
          <w:tcPr>
            <w:tcW w:w="4060" w:type="dxa"/>
            <w:vAlign w:val="bottom"/>
          </w:tcPr>
          <w:p>
            <w:pPr>
              <w:jc w:val="center"/>
              <w:ind w:left="1040"/>
              <w:spacing w:after="0"/>
              <w:rPr>
                <w:sz w:val="20"/>
                <w:szCs w:val="20"/>
                <w:color w:val="auto"/>
              </w:rPr>
            </w:pPr>
            <w:r>
              <w:rPr>
                <w:rFonts w:ascii="Times New Roman" w:cs="Times New Roman" w:eastAsia="Times New Roman" w:hAnsi="Times New Roman"/>
                <w:sz w:val="16"/>
                <w:szCs w:val="16"/>
                <w:color w:val="auto"/>
                <w:w w:val="99"/>
              </w:rPr>
              <w:t>Benjamin Kozinn, Lauren Troeller, Eric Orsic</w:t>
            </w:r>
          </w:p>
        </w:tc>
      </w:tr>
      <w:tr>
        <w:trPr>
          <w:trHeight w:val="191"/>
        </w:trPr>
        <w:tc>
          <w:tcPr>
            <w:tcW w:w="4540" w:type="dxa"/>
            <w:vAlign w:val="bottom"/>
          </w:tcPr>
          <w:p>
            <w:pPr>
              <w:jc w:val="center"/>
              <w:ind w:right="1420"/>
              <w:spacing w:after="0"/>
              <w:rPr>
                <w:sz w:val="20"/>
                <w:szCs w:val="20"/>
                <w:color w:val="auto"/>
              </w:rPr>
            </w:pPr>
            <w:r>
              <w:rPr>
                <w:rFonts w:ascii="Times New Roman" w:cs="Times New Roman" w:eastAsia="Times New Roman" w:hAnsi="Times New Roman"/>
                <w:sz w:val="16"/>
                <w:szCs w:val="16"/>
                <w:color w:val="auto"/>
                <w:w w:val="98"/>
              </w:rPr>
              <w:t>Cullen L. Sinclair</w:t>
            </w:r>
          </w:p>
        </w:tc>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9"/>
              </w:rPr>
              <w:t>Conrad R. Adkins</w:t>
            </w:r>
          </w:p>
        </w:tc>
        <w:tc>
          <w:tcPr>
            <w:tcW w:w="4060" w:type="dxa"/>
            <w:vAlign w:val="bottom"/>
          </w:tcPr>
          <w:p>
            <w:pPr>
              <w:jc w:val="center"/>
              <w:ind w:left="1040"/>
              <w:spacing w:after="0"/>
              <w:rPr>
                <w:sz w:val="20"/>
                <w:szCs w:val="20"/>
                <w:color w:val="auto"/>
              </w:rPr>
            </w:pPr>
            <w:r>
              <w:rPr>
                <w:rFonts w:ascii="Times New Roman" w:cs="Times New Roman" w:eastAsia="Times New Roman" w:hAnsi="Times New Roman"/>
                <w:sz w:val="16"/>
                <w:szCs w:val="16"/>
                <w:color w:val="auto"/>
                <w:w w:val="99"/>
              </w:rPr>
              <w:t>McDermott Will &amp; Schulte LLP</w:t>
            </w:r>
          </w:p>
        </w:tc>
      </w:tr>
      <w:tr>
        <w:trPr>
          <w:trHeight w:val="191"/>
        </w:trPr>
        <w:tc>
          <w:tcPr>
            <w:tcW w:w="4540" w:type="dxa"/>
            <w:vAlign w:val="bottom"/>
          </w:tcPr>
          <w:p>
            <w:pPr>
              <w:jc w:val="center"/>
              <w:ind w:right="1420"/>
              <w:spacing w:after="0"/>
              <w:rPr>
                <w:sz w:val="20"/>
                <w:szCs w:val="20"/>
                <w:color w:val="auto"/>
              </w:rPr>
            </w:pPr>
            <w:r>
              <w:rPr>
                <w:rFonts w:ascii="Times New Roman" w:cs="Times New Roman" w:eastAsia="Times New Roman" w:hAnsi="Times New Roman"/>
                <w:sz w:val="16"/>
                <w:szCs w:val="16"/>
                <w:color w:val="auto"/>
                <w:w w:val="99"/>
              </w:rPr>
              <w:t>Paul, Weiss, Rifkind, Wharton &amp; Garrison LLP</w:t>
            </w:r>
          </w:p>
        </w:tc>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rPr>
              <w:t>Nixon Peabody LLP</w:t>
            </w:r>
          </w:p>
        </w:tc>
        <w:tc>
          <w:tcPr>
            <w:tcW w:w="4060" w:type="dxa"/>
            <w:vAlign w:val="bottom"/>
          </w:tcPr>
          <w:p>
            <w:pPr>
              <w:jc w:val="center"/>
              <w:ind w:left="1040"/>
              <w:spacing w:after="0"/>
              <w:rPr>
                <w:sz w:val="20"/>
                <w:szCs w:val="20"/>
                <w:color w:val="auto"/>
              </w:rPr>
            </w:pPr>
            <w:r>
              <w:rPr>
                <w:rFonts w:ascii="Times New Roman" w:cs="Times New Roman" w:eastAsia="Times New Roman" w:hAnsi="Times New Roman"/>
                <w:sz w:val="16"/>
                <w:szCs w:val="16"/>
                <w:color w:val="auto"/>
                <w:w w:val="98"/>
              </w:rPr>
              <w:t>One Vanderbilt Avenue</w:t>
            </w:r>
          </w:p>
        </w:tc>
      </w:tr>
      <w:tr>
        <w:trPr>
          <w:trHeight w:val="196"/>
        </w:trPr>
        <w:tc>
          <w:tcPr>
            <w:tcW w:w="4540" w:type="dxa"/>
            <w:vAlign w:val="bottom"/>
          </w:tcPr>
          <w:p>
            <w:pPr>
              <w:jc w:val="center"/>
              <w:ind w:right="1420"/>
              <w:spacing w:after="0"/>
              <w:rPr>
                <w:sz w:val="20"/>
                <w:szCs w:val="20"/>
                <w:color w:val="auto"/>
              </w:rPr>
            </w:pPr>
            <w:r>
              <w:rPr>
                <w:rFonts w:ascii="Times New Roman" w:cs="Times New Roman" w:eastAsia="Times New Roman" w:hAnsi="Times New Roman"/>
                <w:sz w:val="16"/>
                <w:szCs w:val="16"/>
                <w:color w:val="auto"/>
                <w:w w:val="97"/>
              </w:rPr>
              <w:t>1285 Avenue of the Americas</w:t>
            </w:r>
          </w:p>
        </w:tc>
        <w:tc>
          <w:tcPr>
            <w:tcW w:w="2040" w:type="dxa"/>
            <w:vAlign w:val="bottom"/>
          </w:tcPr>
          <w:p>
            <w:pPr>
              <w:jc w:val="center"/>
              <w:ind w:right="342"/>
              <w:spacing w:after="0" w:line="196" w:lineRule="exact"/>
              <w:rPr>
                <w:sz w:val="20"/>
                <w:szCs w:val="20"/>
                <w:color w:val="auto"/>
              </w:rPr>
            </w:pPr>
            <w:r>
              <w:rPr>
                <w:rFonts w:ascii="Times New Roman" w:cs="Times New Roman" w:eastAsia="Times New Roman" w:hAnsi="Times New Roman"/>
                <w:sz w:val="14"/>
                <w:szCs w:val="14"/>
                <w:color w:val="auto"/>
              </w:rPr>
              <w:t>55 West 46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w:t>
            </w:r>
          </w:p>
        </w:tc>
        <w:tc>
          <w:tcPr>
            <w:tcW w:w="406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8"/>
              </w:rPr>
              <w:t>New York, NY 10017</w:t>
            </w:r>
          </w:p>
        </w:tc>
      </w:tr>
      <w:tr>
        <w:trPr>
          <w:trHeight w:val="191"/>
        </w:trPr>
        <w:tc>
          <w:tcPr>
            <w:tcW w:w="4540" w:type="dxa"/>
            <w:vAlign w:val="bottom"/>
          </w:tcPr>
          <w:p>
            <w:pPr>
              <w:jc w:val="center"/>
              <w:ind w:right="1420"/>
              <w:spacing w:after="0"/>
              <w:rPr>
                <w:sz w:val="20"/>
                <w:szCs w:val="20"/>
                <w:color w:val="auto"/>
              </w:rPr>
            </w:pPr>
            <w:r>
              <w:rPr>
                <w:rFonts w:ascii="Times New Roman" w:cs="Times New Roman" w:eastAsia="Times New Roman" w:hAnsi="Times New Roman"/>
                <w:sz w:val="16"/>
                <w:szCs w:val="16"/>
                <w:color w:val="auto"/>
                <w:w w:val="98"/>
              </w:rPr>
              <w:t>New York, NY 10019</w:t>
            </w:r>
          </w:p>
        </w:tc>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8"/>
              </w:rPr>
              <w:t>New York, NY 10036</w:t>
            </w:r>
          </w:p>
        </w:tc>
        <w:tc>
          <w:tcPr>
            <w:tcW w:w="406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(212) 547-5400</w:t>
            </w:r>
          </w:p>
        </w:tc>
      </w:tr>
      <w:tr>
        <w:trPr>
          <w:trHeight w:val="239"/>
        </w:trPr>
        <w:tc>
          <w:tcPr>
            <w:tcW w:w="4540" w:type="dxa"/>
            <w:vAlign w:val="bottom"/>
          </w:tcPr>
          <w:p>
            <w:pPr>
              <w:jc w:val="center"/>
              <w:ind w:right="1420"/>
              <w:spacing w:after="0"/>
              <w:rPr>
                <w:sz w:val="20"/>
                <w:szCs w:val="20"/>
                <w:color w:val="auto"/>
              </w:rPr>
            </w:pPr>
            <w:r>
              <w:rPr>
                <w:rFonts w:ascii="Times New Roman" w:cs="Times New Roman" w:eastAsia="Times New Roman" w:hAnsi="Times New Roman"/>
                <w:sz w:val="16"/>
                <w:szCs w:val="16"/>
                <w:color w:val="auto"/>
                <w:w w:val="99"/>
              </w:rPr>
              <w:t>(212) 373-3000</w:t>
            </w:r>
          </w:p>
        </w:tc>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9"/>
              </w:rPr>
              <w:t>(212) 940-3140</w:t>
            </w:r>
          </w:p>
        </w:tc>
        <w:tc>
          <w:tcPr>
            <w:tcW w:w="4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121285</wp:posOffset>
            </wp:positionV>
            <wp:extent cx="357378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3780" cy="15240"/>
                    </a:xfrm>
                    <a:prstGeom prst="rect">
                      <a:avLst/>
                    </a:prstGeom>
                    <a:noFill/>
                  </pic:spPr>
                </pic:pic>
              </a:graphicData>
            </a:graphic>
          </wp:anchor>
        </w:drawing>
      </w:r>
    </w:p>
    <w:p>
      <w:pPr>
        <w:spacing w:after="0" w:line="19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color w:val="auto"/>
        </w:rPr>
        <w:t>(Name, Address and Telephone Number of Person Authorized to Receive</w:t>
      </w:r>
    </w:p>
    <w:p>
      <w:pPr>
        <w:spacing w:after="0" w:line="2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color w:val="auto"/>
        </w:rPr>
        <w:t>Notices and Communications on Behalf of the Persons Filing Statement)</w:t>
      </w:r>
    </w:p>
    <w:p>
      <w:pPr>
        <w:spacing w:after="0" w:line="18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statement is filed in connection with (check the appropriate box):</w:t>
      </w:r>
    </w:p>
    <w:p>
      <w:pPr>
        <w:spacing w:after="0" w:line="198" w:lineRule="exact"/>
        <w:rPr>
          <w:sz w:val="24"/>
          <w:szCs w:val="24"/>
          <w:color w:val="auto"/>
        </w:rPr>
      </w:pPr>
    </w:p>
    <w:p>
      <w:pPr>
        <w:ind w:left="860" w:hanging="578"/>
        <w:spacing w:after="0" w:line="280" w:lineRule="auto"/>
        <w:tabs>
          <w:tab w:leader="none" w:pos="5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 The filing of solicitation materials or an information statement subject to Regulation 14A, Regulation 14C or Rule 13e-3(c) under the Securities Exchange Act of 1934.</w:t>
      </w:r>
    </w:p>
    <w:p>
      <w:pPr>
        <w:spacing w:after="0" w:line="144" w:lineRule="exact"/>
        <w:rPr>
          <w:sz w:val="24"/>
          <w:szCs w:val="24"/>
          <w:color w:val="auto"/>
        </w:rPr>
      </w:pPr>
    </w:p>
    <w:p>
      <w:pPr>
        <w:ind w:left="560" w:hanging="278"/>
        <w:spacing w:after="0"/>
        <w:tabs>
          <w:tab w:leader="none" w:pos="5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  The filing of a registration statement under the Securities Act of 1933.</w:t>
      </w:r>
    </w:p>
    <w:p>
      <w:pPr>
        <w:spacing w:after="0" w:line="198" w:lineRule="exact"/>
        <w:rPr>
          <w:rFonts w:ascii="MS PGothic" w:cs="MS PGothic" w:eastAsia="MS PGothic" w:hAnsi="MS PGothic"/>
          <w:sz w:val="16"/>
          <w:szCs w:val="16"/>
          <w:color w:val="auto"/>
        </w:rPr>
      </w:pPr>
    </w:p>
    <w:p>
      <w:pPr>
        <w:ind w:left="560" w:hanging="278"/>
        <w:spacing w:after="0"/>
        <w:tabs>
          <w:tab w:leader="none" w:pos="5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  A tender offer.</w:t>
      </w:r>
    </w:p>
    <w:p>
      <w:pPr>
        <w:spacing w:after="0" w:line="198" w:lineRule="exact"/>
        <w:rPr>
          <w:rFonts w:ascii="MS PGothic" w:cs="MS PGothic" w:eastAsia="MS PGothic" w:hAnsi="MS PGothic"/>
          <w:sz w:val="16"/>
          <w:szCs w:val="16"/>
          <w:color w:val="auto"/>
        </w:rPr>
      </w:pPr>
    </w:p>
    <w:p>
      <w:pPr>
        <w:ind w:left="560" w:hanging="278"/>
        <w:spacing w:after="0"/>
        <w:tabs>
          <w:tab w:leader="none" w:pos="5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  None of the above.</w:t>
      </w:r>
    </w:p>
    <w:p>
      <w:pPr>
        <w:spacing w:after="0" w:line="162" w:lineRule="exact"/>
        <w:rPr>
          <w:rFonts w:ascii="MS PGothic" w:cs="MS PGothic" w:eastAsia="MS PGothic" w:hAnsi="MS PGothic"/>
          <w:sz w:val="16"/>
          <w:szCs w:val="16"/>
          <w:color w:val="auto"/>
        </w:rPr>
      </w:pPr>
    </w:p>
    <w:p>
      <w:pPr>
        <w:ind w:left="560"/>
        <w:spacing w:after="0" w:line="184" w:lineRule="exact"/>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Check the following box if the soliciting materials or information statement referred to in checking box (a) are preliminary copies: </w:t>
      </w:r>
      <w:r>
        <w:rPr>
          <w:rFonts w:ascii="MS PGothic" w:cs="MS PGothic" w:eastAsia="MS PGothic" w:hAnsi="MS PGothic"/>
          <w:sz w:val="16"/>
          <w:szCs w:val="16"/>
          <w:color w:val="auto"/>
        </w:rPr>
        <w:t>☒</w:t>
      </w:r>
    </w:p>
    <w:p>
      <w:pPr>
        <w:spacing w:after="0" w:line="198" w:lineRule="exact"/>
        <w:rPr>
          <w:rFonts w:ascii="MS PGothic" w:cs="MS PGothic" w:eastAsia="MS PGothic" w:hAnsi="MS PGothic"/>
          <w:sz w:val="16"/>
          <w:szCs w:val="16"/>
          <w:color w:val="auto"/>
        </w:rPr>
      </w:pPr>
    </w:p>
    <w:p>
      <w:pPr>
        <w:ind w:left="560"/>
        <w:spacing w:after="0" w:line="184" w:lineRule="exact"/>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Check the following box if this is a final amendment reporting the results of the transaction: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71481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529590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This Rule 13e-3 Transaction Statement on Schedule 13E-3 (together with the exhibits hereto, this “</w:t>
      </w:r>
      <w:r>
        <w:rPr>
          <w:rFonts w:ascii="Times New Roman" w:cs="Times New Roman" w:eastAsia="Times New Roman" w:hAnsi="Times New Roman"/>
          <w:sz w:val="16"/>
          <w:szCs w:val="16"/>
          <w:b w:val="1"/>
          <w:bCs w:val="1"/>
          <w:color w:val="auto"/>
        </w:rPr>
        <w:t>Transaction Statement</w:t>
      </w:r>
      <w:r>
        <w:rPr>
          <w:rFonts w:ascii="Times New Roman" w:cs="Times New Roman" w:eastAsia="Times New Roman" w:hAnsi="Times New Roman"/>
          <w:sz w:val="16"/>
          <w:szCs w:val="16"/>
          <w:color w:val="auto"/>
        </w:rPr>
        <w:t>”) is being filed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pursuant to Section 13(e)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jointly by the following persons (each, a “</w:t>
      </w:r>
      <w:r>
        <w:rPr>
          <w:rFonts w:ascii="Times New Roman" w:cs="Times New Roman" w:eastAsia="Times New Roman" w:hAnsi="Times New Roman"/>
          <w:sz w:val="16"/>
          <w:szCs w:val="16"/>
          <w:b w:val="1"/>
          <w:bCs w:val="1"/>
          <w:color w:val="auto"/>
        </w:rPr>
        <w:t>Filing Person</w:t>
      </w:r>
      <w:r>
        <w:rPr>
          <w:rFonts w:ascii="Times New Roman" w:cs="Times New Roman" w:eastAsia="Times New Roman" w:hAnsi="Times New Roman"/>
          <w:sz w:val="16"/>
          <w:szCs w:val="16"/>
          <w:color w:val="auto"/>
        </w:rPr>
        <w:t>” and collectively, the “Filing Persons”): (i) Priority Technology Holdings,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Priority</w:t>
      </w:r>
      <w:r>
        <w:rPr>
          <w:rFonts w:ascii="Times New Roman" w:cs="Times New Roman" w:eastAsia="Times New Roman" w:hAnsi="Times New Roman"/>
          <w:sz w:val="16"/>
          <w:szCs w:val="16"/>
          <w:color w:val="auto"/>
        </w:rPr>
        <w:t>”), the issuer of the common stock, par value $0.001 per share (the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that is the subject of the Rule 13e-3 transaction; (ii) WD Capital Partners Parent Inc., a Delaware corporation (“</w:t>
      </w:r>
      <w:r>
        <w:rPr>
          <w:rFonts w:ascii="Times New Roman" w:cs="Times New Roman" w:eastAsia="Times New Roman" w:hAnsi="Times New Roman"/>
          <w:sz w:val="16"/>
          <w:szCs w:val="16"/>
          <w:b w:val="1"/>
          <w:bCs w:val="1"/>
          <w:color w:val="auto"/>
        </w:rPr>
        <w:t>Parent</w:t>
      </w:r>
      <w:r>
        <w:rPr>
          <w:rFonts w:ascii="Times New Roman" w:cs="Times New Roman" w:eastAsia="Times New Roman" w:hAnsi="Times New Roman"/>
          <w:sz w:val="16"/>
          <w:szCs w:val="16"/>
          <w:color w:val="auto"/>
        </w:rPr>
        <w:t>”); (iii) WD Capital Partners Merger Sub Inc., a Delaware corporation and a direct, wholly owned subsidiary of Parent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(iv) WD Capital Partners Holdings LP, a Delaware limited partnership (“</w:t>
      </w:r>
      <w:r>
        <w:rPr>
          <w:rFonts w:ascii="Times New Roman" w:cs="Times New Roman" w:eastAsia="Times New Roman" w:hAnsi="Times New Roman"/>
          <w:sz w:val="16"/>
          <w:szCs w:val="16"/>
          <w:b w:val="1"/>
          <w:bCs w:val="1"/>
          <w:color w:val="auto"/>
        </w:rPr>
        <w:t>Ultimate Parent</w:t>
      </w:r>
      <w:r>
        <w:rPr>
          <w:rFonts w:ascii="Times New Roman" w:cs="Times New Roman" w:eastAsia="Times New Roman" w:hAnsi="Times New Roman"/>
          <w:sz w:val="16"/>
          <w:szCs w:val="16"/>
          <w:color w:val="auto"/>
        </w:rPr>
        <w:t>”); (v) WD Capital Partners Holdings GP LLC, a Delaware limited liability company and the general partner of Ultimate Parent (“Ultimate Parent GP”); (vi) Thomas C. Priore (the “</w:t>
      </w:r>
      <w:r>
        <w:rPr>
          <w:rFonts w:ascii="Times New Roman" w:cs="Times New Roman" w:eastAsia="Times New Roman" w:hAnsi="Times New Roman"/>
          <w:sz w:val="16"/>
          <w:szCs w:val="16"/>
          <w:b w:val="1"/>
          <w:bCs w:val="1"/>
          <w:color w:val="auto"/>
        </w:rPr>
        <w:t>Majority Stockholder</w:t>
      </w:r>
      <w:r>
        <w:rPr>
          <w:rFonts w:ascii="Times New Roman" w:cs="Times New Roman" w:eastAsia="Times New Roman" w:hAnsi="Times New Roman"/>
          <w:sz w:val="16"/>
          <w:szCs w:val="16"/>
          <w:color w:val="auto"/>
        </w:rPr>
        <w:t>”); (vii) the Thomas Priore 2019 GRAT; (viii) the Thomas C. Priore Irrevocable Insurance Trust u/a/d 1/8/2010; (ix) John V. Priore; and (x) AESV CreditCard Consulting, LLC.</w:t>
      </w:r>
    </w:p>
    <w:p>
      <w:pPr>
        <w:spacing w:after="0" w:line="163"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On September 18, 2026, the Company entered into an Agreement and Plan of Merger (as it may be amended from time to time,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by and among the Company, Parent and Merger Sub, pursuant to which Merger Sub will merge with and into the Company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with the Company surviving the Merger as a wholly owned subsidiary of Parent. If the Merger is completed, each Share issued and outstanding immediately prior to the effective time of the Merger (other than the Excluded Shares) will be converted into the right to receive $8.05 per Share in cash, without interest and less any applicable withholding taxes.</w:t>
      </w:r>
    </w:p>
    <w:p>
      <w:pPr>
        <w:spacing w:after="0" w:line="161"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Concurrently with the filing of this Transaction Statement, the Company is filing with the SEC a preliminary proxy statement (together with any amendments or supplements thereto, the “</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 under Regulation 14A relating to the special meeting of the Company’s stockholders at which the Company’s stockholders will consider and vote on, among other things, a proposal to adopt the Merger Agreement. A copy of the Proxy Statement is attached hereto as Exhibit (a)(1). The adoption of the Merger Agreement requires the affirmative vote of (i) the holders of a majority of the outstanding Shares entitled to vote thereon, voting as a single class, and (ii) the holders of a majority of the votes cast by the Unaffiliated Company Stockholders at the Special Meeting.</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Pursuant to General Instruction F to Schedule 13E-3, the information contained in the Proxy Statement, including all annexes thereto, is incorporated herein by reference in its entirety, and the responses to each item in this Transaction Statement are qualified in their entirety by reference to the information contained in the Proxy Statement and the annexes thereto. As of the date hereof, the Proxy Statement is in preliminary form and is subject to completion or amendment. Capitalized terms used but not defined in this Transaction Statement have the meanings given to them in the Proxy Statement.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All information contained in this Transaction Statement concerning any Filing Person has been supplied by such Filing Person, and no Filing Person, including the Company, is responsible for the accuracy of any information supplied by any other Filing Person.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filing of this Transaction Statement shall not be construed as an admission by any Filing Person, or by any affiliate of any Filing Person, that the Company is “controlled” by any other Filing Person, or that any Filing Person is an “affiliate” of the Company within the meaning of Rule 13e-3 under Section 13(e) of the Exchange Act.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Summary Term Sheet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The information set forth in the Proxy Statement under the caption “Summary Term Sheet” and “Questions and Answers About the Proposals and the Special Meeting”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Subject Company Information</w:t>
      </w:r>
    </w:p>
    <w:p>
      <w:pPr>
        <w:spacing w:after="0" w:line="198" w:lineRule="exact"/>
        <w:rPr>
          <w:sz w:val="20"/>
          <w:szCs w:val="20"/>
          <w:color w:val="auto"/>
        </w:rPr>
      </w:pPr>
    </w:p>
    <w:p>
      <w:pPr>
        <w:ind w:right="20" w:firstLine="569"/>
        <w:spacing w:after="0" w:line="283" w:lineRule="auto"/>
        <w:tabs>
          <w:tab w:leader="none" w:pos="8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Name and Address. </w:t>
      </w:r>
      <w:r>
        <w:rPr>
          <w:rFonts w:ascii="Times New Roman" w:cs="Times New Roman" w:eastAsia="Times New Roman" w:hAnsi="Times New Roman"/>
          <w:sz w:val="16"/>
          <w:szCs w:val="16"/>
          <w:color w:val="auto"/>
        </w:rPr>
        <w:t>The information set forth in the Proxy Statement under the caption “Parties to the Merger — The Company” and “Where You Can Find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Information” is incorporated herein by reference.</w:t>
      </w:r>
    </w:p>
    <w:p>
      <w:pPr>
        <w:spacing w:after="0" w:line="139" w:lineRule="exact"/>
        <w:rPr>
          <w:rFonts w:ascii="Times New Roman" w:cs="Times New Roman" w:eastAsia="Times New Roman" w:hAnsi="Times New Roman"/>
          <w:sz w:val="16"/>
          <w:szCs w:val="16"/>
          <w:color w:val="auto"/>
        </w:rPr>
      </w:pPr>
    </w:p>
    <w:p>
      <w:pPr>
        <w:jc w:val="both"/>
        <w:ind w:firstLine="569"/>
        <w:spacing w:after="0" w:line="266" w:lineRule="auto"/>
        <w:tabs>
          <w:tab w:leader="none" w:pos="79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Securities. </w:t>
      </w:r>
      <w:r>
        <w:rPr>
          <w:rFonts w:ascii="Times New Roman" w:cs="Times New Roman" w:eastAsia="Times New Roman" w:hAnsi="Times New Roman"/>
          <w:sz w:val="16"/>
          <w:szCs w:val="16"/>
          <w:color w:val="auto"/>
        </w:rPr>
        <w:t>The information set forth in the Proxy Statement under the following captions is incorporated herein by reference: “The Special Meeting — Record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Quorum”, “The Special Meeting — Vote Required,” “The Special Meeting — Voting,” and “Other Important Information Regarding the Company — Security Ownership of Certain Beneficial Owners and Management.”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ind w:right="20" w:firstLine="569"/>
        <w:spacing w:after="0" w:line="283" w:lineRule="auto"/>
        <w:tabs>
          <w:tab w:leader="none" w:pos="79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Trading Market and Price. </w:t>
      </w:r>
      <w:r>
        <w:rPr>
          <w:rFonts w:ascii="Times New Roman" w:cs="Times New Roman" w:eastAsia="Times New Roman" w:hAnsi="Times New Roman"/>
          <w:sz w:val="16"/>
          <w:szCs w:val="16"/>
          <w:color w:val="auto"/>
        </w:rPr>
        <w:t>The information set forth in the Proxy Statement under the caption “Other Important Information Regarding the Company —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Price of Shares and Dividends” is incorporated herein by reference.</w:t>
      </w:r>
    </w:p>
    <w:p>
      <w:pPr>
        <w:spacing w:after="0" w:line="139" w:lineRule="exact"/>
        <w:rPr>
          <w:rFonts w:ascii="Times New Roman" w:cs="Times New Roman" w:eastAsia="Times New Roman" w:hAnsi="Times New Roman"/>
          <w:sz w:val="16"/>
          <w:szCs w:val="16"/>
          <w:color w:val="auto"/>
        </w:rPr>
      </w:pPr>
    </w:p>
    <w:p>
      <w:pPr>
        <w:ind w:right="20" w:firstLine="569"/>
        <w:spacing w:after="0" w:line="283" w:lineRule="auto"/>
        <w:tabs>
          <w:tab w:leader="none" w:pos="79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The information set forth in the Proxy Statement under the caption “Other Important Information Regarding the Company — Market Price of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Dividends” is incorporated herein by reference.</w:t>
      </w:r>
    </w:p>
    <w:p>
      <w:pPr>
        <w:spacing w:after="0" w:line="139" w:lineRule="exact"/>
        <w:rPr>
          <w:rFonts w:ascii="Times New Roman" w:cs="Times New Roman" w:eastAsia="Times New Roman" w:hAnsi="Times New Roman"/>
          <w:sz w:val="16"/>
          <w:szCs w:val="16"/>
          <w:color w:val="auto"/>
        </w:rPr>
      </w:pPr>
    </w:p>
    <w:p>
      <w:pPr>
        <w:ind w:firstLine="569"/>
        <w:spacing w:after="0" w:line="283" w:lineRule="auto"/>
        <w:tabs>
          <w:tab w:leader="none" w:pos="79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Prior Public Offerings. </w:t>
      </w:r>
      <w:r>
        <w:rPr>
          <w:rFonts w:ascii="Times New Roman" w:cs="Times New Roman" w:eastAsia="Times New Roman" w:hAnsi="Times New Roman"/>
          <w:sz w:val="16"/>
          <w:szCs w:val="16"/>
          <w:color w:val="auto"/>
        </w:rPr>
        <w:t>The information set forth in the Proxy Statement under the caption “Other Important Information Regarding the Company — Prior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Offerings” is incorporated herein by reference.</w:t>
      </w:r>
    </w:p>
    <w:p>
      <w:pPr>
        <w:spacing w:after="0" w:line="139" w:lineRule="exact"/>
        <w:rPr>
          <w:rFonts w:ascii="Times New Roman" w:cs="Times New Roman" w:eastAsia="Times New Roman" w:hAnsi="Times New Roman"/>
          <w:sz w:val="16"/>
          <w:szCs w:val="16"/>
          <w:color w:val="auto"/>
        </w:rPr>
      </w:pPr>
    </w:p>
    <w:p>
      <w:pPr>
        <w:ind w:right="20" w:firstLine="569"/>
        <w:spacing w:after="0" w:line="283" w:lineRule="auto"/>
        <w:tabs>
          <w:tab w:leader="none" w:pos="79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Prior Stock Purchases. </w:t>
      </w:r>
      <w:r>
        <w:rPr>
          <w:rFonts w:ascii="Times New Roman" w:cs="Times New Roman" w:eastAsia="Times New Roman" w:hAnsi="Times New Roman"/>
          <w:sz w:val="16"/>
          <w:szCs w:val="16"/>
          <w:color w:val="auto"/>
        </w:rPr>
        <w:t>The information set forth in the Proxy Statement under the following captions is incorporated herein by reference: “Other Important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Regarding the Company — Certain Transactions in the Shares.”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Identity and Background of Filing Person</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(a)–(c) Name and Address; Business and Background of Entities; Business and Background of Natural Persons. </w:t>
      </w:r>
      <w:r>
        <w:rPr>
          <w:rFonts w:ascii="Times New Roman" w:cs="Times New Roman" w:eastAsia="Times New Roman" w:hAnsi="Times New Roman"/>
          <w:sz w:val="16"/>
          <w:szCs w:val="16"/>
          <w:color w:val="auto"/>
        </w:rPr>
        <w:t>The information set forth in the Proxy Statement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following captions is incorporated herein by reference: “Parties to the Merger,” “Other Important Information Regarding the Company — Directors and Executive Officers of the Company,” “Other Important Information Regarding the Purchaser Filing Parties.”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Terms of the Transaction</w:t>
      </w:r>
    </w:p>
    <w:p>
      <w:pPr>
        <w:spacing w:after="0" w:line="198" w:lineRule="exact"/>
        <w:rPr>
          <w:sz w:val="20"/>
          <w:szCs w:val="20"/>
          <w:color w:val="auto"/>
        </w:rPr>
      </w:pPr>
    </w:p>
    <w:p>
      <w:pPr>
        <w:jc w:val="both"/>
        <w:ind w:firstLine="574"/>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(a)(2) Material Terms – Mergers or Similar Transactions. </w:t>
      </w:r>
      <w:r>
        <w:rPr>
          <w:rFonts w:ascii="Times New Roman" w:cs="Times New Roman" w:eastAsia="Times New Roman" w:hAnsi="Times New Roman"/>
          <w:sz w:val="16"/>
          <w:szCs w:val="16"/>
          <w:color w:val="auto"/>
        </w:rPr>
        <w:t>The information set forth in the Proxy Statement under the following captions is incorporated herein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reference: “Summary Term Sheet,” “Questions and Answers About the Proposals and the Special Meeting,” “Special Factors,” “The Merger (The Merger Agreement Proposal</w:t>
      </w:r>
    </w:p>
    <w:p>
      <w:pPr>
        <w:spacing w:after="0" w:line="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 Proposal 1),” “Special Factors — Certain Effects of the Merger; Treatment of the Shares,” “Special Factors — Interests of the Company’s Directors and Executive Officers in the Merger,” “Special Factors — Material U.S. Federal Income Tax Consequences of the Merger,” “Special Factors — Financing of the Merger,” “Special Factors — Support Agreement,” “Special Factors — Limited Guaranty,” “The Special Meeting — Vote Required,” “Effects of the Merger on Stockholder Rights,” “Merger-Related Executive Compensation Arrangements (The Golden Parachute Proposal — Proposal 2),” “Adjournment of the Special Meeting (The Adjournment Proposal — Proposal 3),” “Provisions for Unaffiliated Stockholders,” and “The Merger Agreement.”</w:t>
      </w:r>
    </w:p>
    <w:p>
      <w:pPr>
        <w:spacing w:after="0" w:line="166" w:lineRule="exact"/>
        <w:rPr>
          <w:sz w:val="20"/>
          <w:szCs w:val="20"/>
          <w:color w:val="auto"/>
        </w:rPr>
      </w:pPr>
    </w:p>
    <w:p>
      <w:pPr>
        <w:jc w:val="both"/>
        <w:ind w:firstLine="569"/>
        <w:spacing w:after="0" w:line="279" w:lineRule="auto"/>
        <w:tabs>
          <w:tab w:leader="none" w:pos="802" w:val="left"/>
        </w:tabs>
        <w:numPr>
          <w:ilvl w:val="1"/>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Different Terms. </w:t>
      </w:r>
      <w:r>
        <w:rPr>
          <w:rFonts w:ascii="Times New Roman" w:cs="Times New Roman" w:eastAsia="Times New Roman" w:hAnsi="Times New Roman"/>
          <w:sz w:val="15"/>
          <w:szCs w:val="15"/>
          <w:color w:val="auto"/>
        </w:rPr>
        <w:t>The information set forth in the Proxy Statement under the following captions is incorporated herein by reference: “Special Factors — Certain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Effects of the Merger; Treatment of the Shares,” “Special Factors — Interests of the Company’s Directors and Executive Officers in the Merger,” “Special Factors — Support Agreement,” “Special Factors — Plans for the Company After the Merger,” “Special Factors — Financing of the Merger,” “Special Factors —Limited Guaranty,” “Special Factors — Intent of the Supporting Stockholders to Vote in Favor of the Merger and Adoption of the Merger Agreement,” “The Special Meeting — Vote Required,” “The Merger Agreement — The Merger Consideration,” “The Merger Agreement — Treatment of Equity Compensation Awards” and “Effects of the Merger on Stockholder Rights.”</w:t>
      </w:r>
    </w:p>
    <w:p>
      <w:pPr>
        <w:spacing w:after="0" w:line="144" w:lineRule="exact"/>
        <w:rPr>
          <w:rFonts w:ascii="Times New Roman" w:cs="Times New Roman" w:eastAsia="Times New Roman" w:hAnsi="Times New Roman"/>
          <w:sz w:val="15"/>
          <w:szCs w:val="15"/>
          <w:i w:val="1"/>
          <w:iCs w:val="1"/>
          <w:color w:val="auto"/>
        </w:rPr>
      </w:pPr>
    </w:p>
    <w:p>
      <w:pPr>
        <w:jc w:val="both"/>
        <w:ind w:right="20" w:firstLine="569"/>
        <w:spacing w:after="0" w:line="266" w:lineRule="auto"/>
        <w:tabs>
          <w:tab w:leader="none" w:pos="808" w:val="left"/>
        </w:tabs>
        <w:numPr>
          <w:ilvl w:val="1"/>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Appraisal Rights. </w:t>
      </w:r>
      <w:r>
        <w:rPr>
          <w:rFonts w:ascii="Times New Roman" w:cs="Times New Roman" w:eastAsia="Times New Roman" w:hAnsi="Times New Roman"/>
          <w:sz w:val="16"/>
          <w:szCs w:val="16"/>
          <w:color w:val="auto"/>
        </w:rPr>
        <w:t>The information set forth in the Proxy Statement under the following captions is incorporated herein by reference: “The Special Meeting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Appraisal Rights,” “The Merger (The Merger Agreement Proposal — Proposal 1) — Appraisal Rights,” “Questions and Answers About the Proposals and the Special Meeting,” “Special Factors — Appraisal Rights,” “Effects of the Merger on Stockholder Rights” and Annex E (Section 262 of the Delaware General Corporation Law).</w:t>
      </w:r>
    </w:p>
    <w:p>
      <w:pPr>
        <w:spacing w:after="0" w:line="153" w:lineRule="exact"/>
        <w:rPr>
          <w:rFonts w:ascii="Times New Roman" w:cs="Times New Roman" w:eastAsia="Times New Roman" w:hAnsi="Times New Roman"/>
          <w:sz w:val="16"/>
          <w:szCs w:val="16"/>
          <w:i w:val="1"/>
          <w:iCs w:val="1"/>
          <w:color w:val="auto"/>
        </w:rPr>
      </w:pPr>
    </w:p>
    <w:p>
      <w:pPr>
        <w:ind w:right="20" w:firstLine="569"/>
        <w:spacing w:after="0" w:line="283" w:lineRule="auto"/>
        <w:tabs>
          <w:tab w:leader="none" w:pos="809" w:val="left"/>
        </w:tabs>
        <w:numPr>
          <w:ilvl w:val="1"/>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Provisions for Unaffiliated Security Holders. </w:t>
      </w:r>
      <w:r>
        <w:rPr>
          <w:rFonts w:ascii="Times New Roman" w:cs="Times New Roman" w:eastAsia="Times New Roman" w:hAnsi="Times New Roman"/>
          <w:sz w:val="16"/>
          <w:szCs w:val="16"/>
          <w:color w:val="auto"/>
        </w:rPr>
        <w:t>The information set forth in the Proxy Statement under the caption “Provisions for Unaffiliated Stockholders”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herein by reference.</w:t>
      </w:r>
    </w:p>
    <w:p>
      <w:pPr>
        <w:spacing w:after="0" w:line="139" w:lineRule="exact"/>
        <w:rPr>
          <w:rFonts w:ascii="Times New Roman" w:cs="Times New Roman" w:eastAsia="Times New Roman" w:hAnsi="Times New Roman"/>
          <w:sz w:val="16"/>
          <w:szCs w:val="16"/>
          <w:i w:val="1"/>
          <w:iCs w:val="1"/>
          <w:color w:val="auto"/>
        </w:rPr>
      </w:pPr>
    </w:p>
    <w:p>
      <w:pPr>
        <w:ind w:left="760" w:hanging="191"/>
        <w:spacing w:after="0"/>
        <w:tabs>
          <w:tab w:leader="none" w:pos="760" w:val="left"/>
        </w:tabs>
        <w:numPr>
          <w:ilvl w:val="1"/>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Eligibility for Listing or Trading. </w:t>
      </w:r>
      <w:r>
        <w:rPr>
          <w:rFonts w:ascii="Times New Roman" w:cs="Times New Roman" w:eastAsia="Times New Roman" w:hAnsi="Times New Roman"/>
          <w:sz w:val="16"/>
          <w:szCs w:val="16"/>
          <w:color w:val="auto"/>
        </w:rPr>
        <w:t>Not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Item 5. Past Contacts, Transactions, Negotiations and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Regulation M-A Item 1005.</w:t>
      </w:r>
    </w:p>
    <w:p>
      <w:pPr>
        <w:spacing w:after="0" w:line="196" w:lineRule="exact"/>
        <w:rPr>
          <w:sz w:val="20"/>
          <w:szCs w:val="20"/>
          <w:color w:val="auto"/>
        </w:rPr>
      </w:pPr>
    </w:p>
    <w:p>
      <w:pPr>
        <w:jc w:val="both"/>
        <w:ind w:firstLine="569"/>
        <w:spacing w:after="0" w:line="260" w:lineRule="auto"/>
        <w:tabs>
          <w:tab w:leader="none" w:pos="7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 Transactions; Significant Corporate Events. </w:t>
      </w:r>
      <w:r>
        <w:rPr>
          <w:rFonts w:ascii="Times New Roman" w:cs="Times New Roman" w:eastAsia="Times New Roman" w:hAnsi="Times New Roman"/>
          <w:sz w:val="16"/>
          <w:szCs w:val="16"/>
          <w:color w:val="auto"/>
        </w:rPr>
        <w:t>The information set forth in the Proxy Statement under the following captions is incorporated herein by reference: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“Special Factors — Background of the Merger,” “Special Factors — Reasons for the Merger; Recommendation of the Board and the Special Committee,” “Special Factors — Financing of the Merger,” “Special Factors — Interests of the Company’s Directors and Executive Officers in the Merger,” “Special Factors — Support Agreement,” “Other Important Information Regarding the Company — Certain Transactions in the Shares,” and “The Merger Agreement.”</w:t>
      </w:r>
    </w:p>
    <w:p>
      <w:pPr>
        <w:spacing w:after="0" w:line="159" w:lineRule="exact"/>
        <w:rPr>
          <w:sz w:val="20"/>
          <w:szCs w:val="20"/>
          <w:color w:val="auto"/>
        </w:rPr>
      </w:pPr>
    </w:p>
    <w:p>
      <w:pPr>
        <w:jc w:val="both"/>
        <w:ind w:firstLine="569"/>
        <w:spacing w:after="0" w:line="266" w:lineRule="auto"/>
        <w:tabs>
          <w:tab w:leader="none" w:pos="798"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Negotiations or Contacts.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Background of the Merger,” “Special Factors — Reasons for the Merger; Recommendation of the Board and the Special Committee,” “Special Factors — Support Agreement,” “Special Factors — Financing of the Merger,” “Special Factors — Limited Guaranty,” and “The Merger Agreement.”</w:t>
      </w:r>
    </w:p>
    <w:p>
      <w:pPr>
        <w:spacing w:after="0" w:line="153" w:lineRule="exact"/>
        <w:rPr>
          <w:sz w:val="20"/>
          <w:szCs w:val="20"/>
          <w:color w:val="auto"/>
        </w:rPr>
      </w:pPr>
    </w:p>
    <w:p>
      <w:pPr>
        <w:ind w:left="800" w:hanging="231"/>
        <w:spacing w:after="0"/>
        <w:tabs>
          <w:tab w:leader="none" w:pos="80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Agreements Involving the Subject Company’s Securities. </w:t>
      </w:r>
      <w:r>
        <w:rPr>
          <w:rFonts w:ascii="Times New Roman" w:cs="Times New Roman" w:eastAsia="Times New Roman" w:hAnsi="Times New Roman"/>
          <w:sz w:val="16"/>
          <w:szCs w:val="16"/>
          <w:color w:val="auto"/>
        </w:rPr>
        <w:t>The information set forth in the Proxy Statement under the following captions is incorporated herein by</w:t>
      </w:r>
    </w:p>
    <w:p>
      <w:pPr>
        <w:spacing w:after="0" w:line="25" w:lineRule="exact"/>
        <w:rPr>
          <w:rFonts w:ascii="Times New Roman" w:cs="Times New Roman" w:eastAsia="Times New Roman" w:hAnsi="Times New Roman"/>
          <w:sz w:val="16"/>
          <w:szCs w:val="16"/>
          <w:i w:val="1"/>
          <w:iCs w:val="1"/>
          <w:color w:val="auto"/>
        </w:rPr>
      </w:pPr>
    </w:p>
    <w:p>
      <w:pPr>
        <w:jc w:val="both"/>
        <w:ind w:right="20"/>
        <w:spacing w:after="0" w:line="250"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reference: “Special Factors — Financing of the Merger,” “Special Factors — Support Agreement,” “Special Factors — Limited Guaranty,” “Special Factors — Interests of the Company’s Directors and Executive Officers in the Merger,” “Special Factors — Certain Effects of the Merger; Treatment of the Shares,” “The Merger Agreement — Treatment of Equity Compensation Awards,” “Other Important Information Regarding the Company — Certain Transactions in the Shares,” “The Merger Agreement,” and “The Special Meeting — Vote Required.” In addition, concurrently with the execution of the Merger Agreement, Ultimate Parent, Parent, Merger Sub, the Majority Stockholder and Searchlight IV SAT, L.P., an affiliate of the Equity Financing Source, entered into an Interim Investors Agreement in order to establish certain terms and conditions that will govern the relationship among the parties thereto with respect to the Merger Agreement, the Equity Commitment Letter and the other agreements related thereto and the transactions contemplated thereby. The Interim Investors Agreement is incorporated by reference as Exhibit (d)(4) 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Purposes of the Transaction and Plans or Proposals</w:t>
      </w:r>
    </w:p>
    <w:p>
      <w:pPr>
        <w:spacing w:after="0" w:line="198" w:lineRule="exact"/>
        <w:rPr>
          <w:sz w:val="20"/>
          <w:szCs w:val="20"/>
          <w:color w:val="auto"/>
        </w:rPr>
      </w:pPr>
    </w:p>
    <w:p>
      <w:pPr>
        <w:jc w:val="both"/>
        <w:ind w:right="20" w:firstLine="569"/>
        <w:spacing w:after="0" w:line="266" w:lineRule="auto"/>
        <w:tabs>
          <w:tab w:leader="none" w:pos="79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Use of Securities Acquired.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Effects of the Merger; Treatment of the Shares,” “Special Factors — Certain Effects on the Company if the Merger is Not Completed,” “Effects of the Merger on Stockholder Rights,” and “The Merger Agreement — The Merger Consideration.”</w:t>
      </w:r>
    </w:p>
    <w:p>
      <w:pPr>
        <w:spacing w:after="0" w:line="153" w:lineRule="exact"/>
        <w:rPr>
          <w:rFonts w:ascii="Times New Roman" w:cs="Times New Roman" w:eastAsia="Times New Roman" w:hAnsi="Times New Roman"/>
          <w:sz w:val="16"/>
          <w:szCs w:val="16"/>
          <w:color w:val="auto"/>
        </w:rPr>
      </w:pPr>
    </w:p>
    <w:p>
      <w:pPr>
        <w:jc w:val="both"/>
        <w:ind w:firstLine="569"/>
        <w:spacing w:after="0" w:line="255" w:lineRule="auto"/>
        <w:tabs>
          <w:tab w:leader="none" w:pos="79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(1)–(8) Plans. </w:t>
      </w:r>
      <w:r>
        <w:rPr>
          <w:rFonts w:ascii="Times New Roman" w:cs="Times New Roman" w:eastAsia="Times New Roman" w:hAnsi="Times New Roman"/>
          <w:sz w:val="16"/>
          <w:szCs w:val="16"/>
          <w:color w:val="auto"/>
        </w:rPr>
        <w:t>The information set forth in the Proxy Statement under the following captions is incorporated herein by reference: “Summary Term Sheet,” “Special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Factors — Plans for the Company After the Merger,” “Special Factors — Certain Effects of the Merger; Treatment of the Shares,” “Special Factors — Financing of the Merger,” “Special Factors — Delisting of the Company’s Common Stock,” “Special Factors — No Public Market After the Merger,” “Special Factors — Reasons for the Merger; Recommendation of the Board and the Special Committee,” “Special Factors — Support Agreement,” “Special Factors — Interests of the Company’s Directors and Executive Officers in the Merger,” “Questions and Answers About the Proposals and the Special Meeting,” “Effects of the Merger on Stockholder Rights,” “The Merger Agreement,” “The Merger Agreement — Organizational Documents, Directors and Officers of the Surviving Corporation,” “Other Important Information Regarding the Company — Description of Company Debt,” “Delisting and Deregistration of Common Stock” and Annex B (Certificate of Incorporation of the Surviving Corporation).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Purposes, Alternatives, Reasons and Effects</w:t>
      </w:r>
    </w:p>
    <w:p>
      <w:pPr>
        <w:spacing w:after="0" w:line="198" w:lineRule="exact"/>
        <w:rPr>
          <w:sz w:val="20"/>
          <w:szCs w:val="20"/>
          <w:color w:val="auto"/>
        </w:rPr>
      </w:pPr>
    </w:p>
    <w:p>
      <w:pPr>
        <w:jc w:val="both"/>
        <w:ind w:firstLine="569"/>
        <w:spacing w:after="0" w:line="266" w:lineRule="auto"/>
        <w:tabs>
          <w:tab w:leader="none" w:pos="79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Purposes.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 Background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Merger,” “Special Factors — Reasons for the Merger; Recommendation of the Board and the Special Committee,” “Special Factors — Position of the Purchaser Filing Parties as to the Fairness of the Merger,” and “Special Factors — Purpose and Reasons of the Purchaser Filing Parties for the Merger.”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both"/>
        <w:ind w:firstLine="569"/>
        <w:spacing w:after="0" w:line="266" w:lineRule="auto"/>
        <w:tabs>
          <w:tab w:leader="none" w:pos="79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Alternatives.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 Background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Merger,” “Special Factors — Reasons for the Merger; Recommendation of the Board and the Special Committee,” “Special Factors — Certain Unaudited Prospective Financial Information” and “Special Factors — Certain Effects on the Company if the Merger is Not Completed.”</w:t>
      </w:r>
    </w:p>
    <w:p>
      <w:pPr>
        <w:spacing w:after="0" w:line="153" w:lineRule="exact"/>
        <w:rPr>
          <w:rFonts w:ascii="Times New Roman" w:cs="Times New Roman" w:eastAsia="Times New Roman" w:hAnsi="Times New Roman"/>
          <w:sz w:val="16"/>
          <w:szCs w:val="16"/>
          <w:color w:val="auto"/>
        </w:rPr>
      </w:pPr>
    </w:p>
    <w:p>
      <w:pPr>
        <w:jc w:val="both"/>
        <w:ind w:right="20" w:firstLine="569"/>
        <w:spacing w:after="0" w:line="266" w:lineRule="auto"/>
        <w:tabs>
          <w:tab w:leader="none" w:pos="796"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Reasons.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 Reasons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Merger; Recommendation of the Board and the Special Committee,” “Special Factors — Certain Unaudited Prospective Financial Information,” “Special Factors — Position of the Purchaser Filing Parties as to the Fairness of the Merger,” and “Special Factors — Purpose and Reasons of the Purchaser Filing Parties for the Merger.”</w:t>
      </w:r>
    </w:p>
    <w:p>
      <w:pPr>
        <w:spacing w:after="0" w:line="153" w:lineRule="exact"/>
        <w:rPr>
          <w:rFonts w:ascii="Times New Roman" w:cs="Times New Roman" w:eastAsia="Times New Roman" w:hAnsi="Times New Roman"/>
          <w:sz w:val="16"/>
          <w:szCs w:val="16"/>
          <w:i w:val="1"/>
          <w:iCs w:val="1"/>
          <w:color w:val="auto"/>
        </w:rPr>
      </w:pPr>
    </w:p>
    <w:p>
      <w:pPr>
        <w:jc w:val="both"/>
        <w:ind w:firstLine="569"/>
        <w:spacing w:after="0" w:line="254" w:lineRule="auto"/>
        <w:tabs>
          <w:tab w:leader="none" w:pos="79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Effects.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 Certain Effects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Merger; Treatment of the Shares,” “Special Factors — Certain Effects on the Company if the Merger is Not Completed,” “Special Factors — Interests of the Company’s Directors and Executive Officers in the Merger,” “Special Factors — Material U.S. Federal Income Tax Consequences of the Merger,” “Special Factors — Delisting of the Company’s Common Stock,” “Special Factors — No Public Market After the Merger,” “Special Factors — Plans for the Company After the Merger,” “Special Factors — Financing of the Merger,” “Special Factors — Support Agreement,” “Special Factors — Limited Guaranty,” “Special Factors — Accounting Treatment,” “Special Factors — Regulatory Approvals,” “Special Factors — Fees and Expenses,” “Risk Factors,” “Provisions for Unaffiliated Stockholders,” “Merger-Related Executive Compensation Arrangements (The Golden Parachute Proposal — Proposal 2),” “Delisting and Deregistration of Common Stock,” “Effects of the Merger on Stockholder Rights,” and “The Merger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Fairness of the Transaction</w:t>
      </w:r>
    </w:p>
    <w:p>
      <w:pPr>
        <w:spacing w:after="0" w:line="198"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(a)–(b) Fairness; Factors Considered in Determining Fairness. </w:t>
      </w:r>
      <w:r>
        <w:rPr>
          <w:rFonts w:ascii="Times New Roman" w:cs="Times New Roman" w:eastAsia="Times New Roman" w:hAnsi="Times New Roman"/>
          <w:sz w:val="16"/>
          <w:szCs w:val="16"/>
          <w:color w:val="auto"/>
        </w:rPr>
        <w:t>The information set forth in the Proxy Statement under the following captions is incorporated herein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reference: “Special Factors — Background of the Merger,” “Special Factors — Reasons for the Merger; Recommendation of the Board and the Special Committee,” “Special Factors — Opinion of Barclays Capital Inc.,” “Special Factors — Certain Unaudited Prospective Financial Information,” “Special Factors — Position of the Purchaser Filing Parties as to the Fairness of the Merger,” “Special Factors — Purpose and Reasons of the Purchaser Filing Parties for the Merger,” “Special Factors — Interests of the Company’s Directors and Executive Officers in the Merger,” “Special Factors — Certain Effects of the Merger; Treatment of the Shares,” “Questions and Answers About the Proposals and the Special Meeting,” “The Special Meeting — Vote Required,” and “Provisions for Unaffiliated Stockholders.”</w:t>
      </w:r>
    </w:p>
    <w:p>
      <w:pPr>
        <w:spacing w:after="0" w:line="161" w:lineRule="exact"/>
        <w:rPr>
          <w:sz w:val="20"/>
          <w:szCs w:val="20"/>
          <w:color w:val="auto"/>
        </w:rPr>
      </w:pPr>
    </w:p>
    <w:p>
      <w:pPr>
        <w:jc w:val="both"/>
        <w:ind w:firstLine="569"/>
        <w:spacing w:after="0" w:line="260" w:lineRule="auto"/>
        <w:tabs>
          <w:tab w:leader="none" w:pos="793"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Approval of Security Holders. </w:t>
      </w:r>
      <w:r>
        <w:rPr>
          <w:rFonts w:ascii="Times New Roman" w:cs="Times New Roman" w:eastAsia="Times New Roman" w:hAnsi="Times New Roman"/>
          <w:sz w:val="16"/>
          <w:szCs w:val="16"/>
          <w:color w:val="auto"/>
        </w:rPr>
        <w:t>The information set forth in the Proxy Statement under the following captions is incorporated herein by reference: “Summary Term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Sheet,” “Questions and Answers About the Proposals and the Special Meeting,” “The Special Meeting — Record Date and Quorum,” “The Special Meeting — Vote Required,” and “Provisions for Unaffiliated Stockholders.” The transaction is structured to require approval of the holders of a majority of the votes cast by the Unaffiliated Company Stockholders.</w:t>
      </w:r>
    </w:p>
    <w:p>
      <w:pPr>
        <w:spacing w:after="0" w:line="158" w:lineRule="exact"/>
        <w:rPr>
          <w:rFonts w:ascii="Times New Roman" w:cs="Times New Roman" w:eastAsia="Times New Roman" w:hAnsi="Times New Roman"/>
          <w:sz w:val="16"/>
          <w:szCs w:val="16"/>
          <w:i w:val="1"/>
          <w:iCs w:val="1"/>
          <w:color w:val="auto"/>
        </w:rPr>
      </w:pPr>
    </w:p>
    <w:p>
      <w:pPr>
        <w:jc w:val="both"/>
        <w:ind w:right="20" w:firstLine="569"/>
        <w:spacing w:after="0" w:line="266" w:lineRule="auto"/>
        <w:tabs>
          <w:tab w:leader="none" w:pos="799"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Unaffiliated Representative.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Background of the Merger,” “Special Factors — Reasons for the Merger; Recommendation of the Board and the Special Committee,” and “Provisions for Unaffiliated Stockholders.”</w:t>
      </w:r>
    </w:p>
    <w:p>
      <w:pPr>
        <w:spacing w:after="0" w:line="153" w:lineRule="exact"/>
        <w:rPr>
          <w:rFonts w:ascii="Times New Roman" w:cs="Times New Roman" w:eastAsia="Times New Roman" w:hAnsi="Times New Roman"/>
          <w:sz w:val="16"/>
          <w:szCs w:val="16"/>
          <w:i w:val="1"/>
          <w:iCs w:val="1"/>
          <w:color w:val="auto"/>
        </w:rPr>
      </w:pPr>
    </w:p>
    <w:p>
      <w:pPr>
        <w:jc w:val="both"/>
        <w:ind w:right="20" w:firstLine="569"/>
        <w:spacing w:after="0" w:line="266" w:lineRule="auto"/>
        <w:tabs>
          <w:tab w:leader="none" w:pos="803"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Approval of Directors.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Background of the Merger” and “Special Factors — Reasons for the Merger; Recommendation of the Board and the Special Committee,” and “Provisions for Unaffiliated Stockholders.” The Board (other than Mr. Priore and Mr. Crisafulli, who each recused himself) approved the Merger Agreement.</w:t>
      </w:r>
    </w:p>
    <w:p>
      <w:pPr>
        <w:spacing w:after="0" w:line="153" w:lineRule="exact"/>
        <w:rPr>
          <w:rFonts w:ascii="Times New Roman" w:cs="Times New Roman" w:eastAsia="Times New Roman" w:hAnsi="Times New Roman"/>
          <w:sz w:val="16"/>
          <w:szCs w:val="16"/>
          <w:i w:val="1"/>
          <w:iCs w:val="1"/>
          <w:color w:val="auto"/>
        </w:rPr>
      </w:pPr>
    </w:p>
    <w:p>
      <w:pPr>
        <w:ind w:right="20" w:firstLine="569"/>
        <w:spacing w:after="0" w:line="283" w:lineRule="auto"/>
        <w:tabs>
          <w:tab w:leader="none" w:pos="764"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Other Offers.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 Background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Merger” and “Special Factors — Reasons for the Merger; Recommendation of the Board and the Special Committee.”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Item 9. Reports, Opinions, Appraisals and Negotiations</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(a)–(b) Report, Opinion or Appraisal; Preparer and Summary. </w:t>
      </w:r>
      <w:r>
        <w:rPr>
          <w:rFonts w:ascii="Times New Roman" w:cs="Times New Roman" w:eastAsia="Times New Roman" w:hAnsi="Times New Roman"/>
          <w:sz w:val="16"/>
          <w:szCs w:val="16"/>
          <w:color w:val="auto"/>
        </w:rPr>
        <w:t>The information set forth in the Proxy Statement under the following captions is incorporated herein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reference: “Special Factors — Background of the Merger,” “Special Factors — Reasons for the Merger; Recommendation of the Board and the Special Committee,” “Special Factors — Opinion of Barclays Capital Inc.,” “Special Factors — Certain Other Presentations by Barclays,” “Special Factors — Position of the Purchaser Filing Parties as to the Fairness of the Merger,” “Special Factors — Purpose and Reasons of the Purchaser Filing Parties for the Merger,” and “Special Factors — Certain Unaudited Prospective Financial Information.” The full text of the written opinion of Barclays is attached to the Proxy Statement as Annex C.</w:t>
      </w:r>
    </w:p>
    <w:p>
      <w:pPr>
        <w:spacing w:after="0" w:line="162" w:lineRule="exact"/>
        <w:rPr>
          <w:sz w:val="20"/>
          <w:szCs w:val="20"/>
          <w:color w:val="auto"/>
        </w:rPr>
      </w:pPr>
    </w:p>
    <w:p>
      <w:pPr>
        <w:jc w:val="both"/>
        <w:ind w:firstLine="569"/>
        <w:spacing w:after="0" w:line="266" w:lineRule="auto"/>
        <w:tabs>
          <w:tab w:leader="none" w:pos="787"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Availability of Documents. </w:t>
      </w:r>
      <w:r>
        <w:rPr>
          <w:rFonts w:ascii="Times New Roman" w:cs="Times New Roman" w:eastAsia="Times New Roman" w:hAnsi="Times New Roman"/>
          <w:sz w:val="16"/>
          <w:szCs w:val="16"/>
          <w:color w:val="auto"/>
        </w:rPr>
        <w:t>The reports, opinions or appraisals referenced in this Item 9 will be made available for inspection and copying at the principal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offices of the Company during its regular business hours by any interested holder of Shares or representative who has been so designated in writing. The information set forth in the Proxy Statement under the caption “Where You Can Find Additional Information”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Source and Amounts of Funds or Other Consideration</w:t>
      </w:r>
    </w:p>
    <w:p>
      <w:pPr>
        <w:spacing w:after="0" w:line="198" w:lineRule="exact"/>
        <w:rPr>
          <w:sz w:val="20"/>
          <w:szCs w:val="20"/>
          <w:color w:val="auto"/>
        </w:rPr>
      </w:pPr>
    </w:p>
    <w:p>
      <w:pPr>
        <w:jc w:val="both"/>
        <w:ind w:right="20" w:firstLine="574"/>
        <w:spacing w:after="0" w:line="274" w:lineRule="auto"/>
        <w:rPr>
          <w:sz w:val="20"/>
          <w:szCs w:val="20"/>
          <w:color w:val="auto"/>
        </w:rPr>
      </w:pPr>
      <w:r>
        <w:rPr>
          <w:rFonts w:ascii="Times New Roman" w:cs="Times New Roman" w:eastAsia="Times New Roman" w:hAnsi="Times New Roman"/>
          <w:sz w:val="15"/>
          <w:szCs w:val="15"/>
          <w:i w:val="1"/>
          <w:iCs w:val="1"/>
          <w:color w:val="auto"/>
        </w:rPr>
        <w:t xml:space="preserve">(a)–(b), (d) Source of Funds; Conditions; Borrowed Funds. </w:t>
      </w:r>
      <w:r>
        <w:rPr>
          <w:rFonts w:ascii="Times New Roman" w:cs="Times New Roman" w:eastAsia="Times New Roman" w:hAnsi="Times New Roman"/>
          <w:sz w:val="15"/>
          <w:szCs w:val="15"/>
          <w:color w:val="auto"/>
        </w:rPr>
        <w:t>The information set forth in the Proxy Statement under the following captions is incorporated herein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reference: “Summary Term Sheet,” “Special Factors — Financing of the Merger,” “Special Factors — Limited Guaranty,” “The Merger Agreement — Parent Financing,” “The Merger Agreement — Conditions to the Completion of the Merger,” “The Merger Agreement — Termination Fees,” and “Other Important Information Regarding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Description of Company Debt.”</w:t>
      </w:r>
    </w:p>
    <w:p>
      <w:pPr>
        <w:spacing w:after="0" w:line="179" w:lineRule="exact"/>
        <w:rPr>
          <w:sz w:val="20"/>
          <w:szCs w:val="20"/>
          <w:color w:val="auto"/>
        </w:rPr>
      </w:pPr>
    </w:p>
    <w:p>
      <w:pPr>
        <w:ind w:firstLine="569"/>
        <w:spacing w:after="0" w:line="283" w:lineRule="auto"/>
        <w:tabs>
          <w:tab w:leader="none" w:pos="814" w:val="left"/>
        </w:tabs>
        <w:numPr>
          <w:ilvl w:val="1"/>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Expenses.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 Fees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Expenses” and “The Special Meeting — Solicitation of Proxies; Payment of Solicitation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Interest in Securities of the Subject Company</w:t>
      </w:r>
    </w:p>
    <w:p>
      <w:pPr>
        <w:spacing w:after="0" w:line="198" w:lineRule="exact"/>
        <w:rPr>
          <w:sz w:val="20"/>
          <w:szCs w:val="20"/>
          <w:color w:val="auto"/>
        </w:rPr>
      </w:pPr>
    </w:p>
    <w:p>
      <w:pPr>
        <w:jc w:val="both"/>
        <w:ind w:firstLine="569"/>
        <w:spacing w:after="0" w:line="257" w:lineRule="auto"/>
        <w:tabs>
          <w:tab w:leader="none" w:pos="823"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Securities Ownership</w:t>
      </w:r>
      <w:r>
        <w:rPr>
          <w:rFonts w:ascii="Times New Roman" w:cs="Times New Roman" w:eastAsia="Times New Roman" w:hAnsi="Times New Roman"/>
          <w:sz w:val="16"/>
          <w:szCs w:val="16"/>
          <w:color w:val="auto"/>
        </w:rPr>
        <w:t>. The information set forth in the Proxy Statement under the following captions is incorporated herein by reference: “Other Important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Regarding the Company — Security Ownership of Certain Beneficial Owners and Management,” “Special Factors — Interests of the Company’s Directors and Executive Officers in the Merger,” “Special Factors — Support Agreement,” “Special Factors — Intent of the Company’s Directors and Executive Officers to Vote in Favor of the Merger and Adoption of the Merger Agreement,” “Special Factors — Intent of the Supporting Stockholders to Vote in Favor of the Merger and Adoption of the Merger Agreement,” “The Special Meeting — Vote Required” and “The Special Meeting — Voting Intentions of the Company’s Directors and Executive Officers.”</w:t>
      </w:r>
    </w:p>
    <w:p>
      <w:pPr>
        <w:spacing w:after="0" w:line="162" w:lineRule="exact"/>
        <w:rPr>
          <w:rFonts w:ascii="Times New Roman" w:cs="Times New Roman" w:eastAsia="Times New Roman" w:hAnsi="Times New Roman"/>
          <w:sz w:val="16"/>
          <w:szCs w:val="16"/>
          <w:i w:val="1"/>
          <w:iCs w:val="1"/>
          <w:color w:val="auto"/>
        </w:rPr>
      </w:pPr>
    </w:p>
    <w:p>
      <w:pPr>
        <w:jc w:val="both"/>
        <w:ind w:right="20" w:firstLine="569"/>
        <w:spacing w:after="0" w:line="266" w:lineRule="auto"/>
        <w:tabs>
          <w:tab w:leader="none" w:pos="817"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Securities Transactions</w:t>
      </w:r>
      <w:r>
        <w:rPr>
          <w:rFonts w:ascii="Times New Roman" w:cs="Times New Roman" w:eastAsia="Times New Roman" w:hAnsi="Times New Roman"/>
          <w:sz w:val="16"/>
          <w:szCs w:val="16"/>
          <w:color w:val="auto"/>
        </w:rPr>
        <w:t>. The information set forth in the Proxy Statement under the following captions is incorporated herein by reference: “Other Important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Regarding the Company — Certain Transactions in the Shares” and “Special Factors — Interests of the Company’s Directors and Executive Officers in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The Solicitation or Recommendation</w:t>
      </w:r>
    </w:p>
    <w:p>
      <w:pPr>
        <w:spacing w:after="0" w:line="198" w:lineRule="exact"/>
        <w:rPr>
          <w:sz w:val="20"/>
          <w:szCs w:val="20"/>
          <w:color w:val="auto"/>
        </w:rPr>
      </w:pPr>
    </w:p>
    <w:p>
      <w:pPr>
        <w:ind w:left="800" w:hanging="231"/>
        <w:spacing w:after="0"/>
        <w:tabs>
          <w:tab w:leader="none" w:pos="80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Intent to Tender or Vote in a Going-Private Transaction. </w:t>
      </w:r>
      <w:r>
        <w:rPr>
          <w:rFonts w:ascii="Times New Roman" w:cs="Times New Roman" w:eastAsia="Times New Roman" w:hAnsi="Times New Roman"/>
          <w:sz w:val="16"/>
          <w:szCs w:val="16"/>
          <w:color w:val="auto"/>
        </w:rPr>
        <w:t>The information set forth in the Proxy Statement under the following captions is incorporated herein by</w:t>
      </w:r>
    </w:p>
    <w:p>
      <w:pPr>
        <w:spacing w:after="0" w:line="25" w:lineRule="exact"/>
        <w:rPr>
          <w:rFonts w:ascii="Times New Roman" w:cs="Times New Roman" w:eastAsia="Times New Roman" w:hAnsi="Times New Roman"/>
          <w:sz w:val="16"/>
          <w:szCs w:val="16"/>
          <w:i w:val="1"/>
          <w:iCs w:val="1"/>
          <w:color w:val="auto"/>
        </w:rPr>
      </w:pPr>
    </w:p>
    <w:p>
      <w:pPr>
        <w:jc w:val="both"/>
        <w:ind w:right="20"/>
        <w:spacing w:after="0" w:line="254"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reference: “Summary Term Sheet,” “Special Factors — Intent of the Company’s Directors and Executive Officers to Vote in Favor of the Merger and Adoption of the Merger Agreement,” “Special Factors — Intent of the Supporting Stockholders to Vote in Favor of the Merger and Adoption of the Merger Agreement,” “Special Factors — Support Agreement,” “The Special Meeting — Vote Required” and “The Special Meeting — Voting Intentions of the Company’s Directors and Executive Officers.”</w:t>
      </w:r>
    </w:p>
    <w:p>
      <w:pPr>
        <w:spacing w:after="0" w:line="161" w:lineRule="exact"/>
        <w:rPr>
          <w:rFonts w:ascii="Times New Roman" w:cs="Times New Roman" w:eastAsia="Times New Roman" w:hAnsi="Times New Roman"/>
          <w:sz w:val="16"/>
          <w:szCs w:val="16"/>
          <w:i w:val="1"/>
          <w:iCs w:val="1"/>
          <w:color w:val="auto"/>
        </w:rPr>
      </w:pPr>
    </w:p>
    <w:p>
      <w:pPr>
        <w:jc w:val="both"/>
        <w:ind w:firstLine="569"/>
        <w:spacing w:after="0" w:line="257" w:lineRule="auto"/>
        <w:tabs>
          <w:tab w:leader="none" w:pos="79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Recommendations of Others. </w:t>
      </w:r>
      <w:r>
        <w:rPr>
          <w:rFonts w:ascii="Times New Roman" w:cs="Times New Roman" w:eastAsia="Times New Roman" w:hAnsi="Times New Roman"/>
          <w:sz w:val="16"/>
          <w:szCs w:val="16"/>
          <w:color w:val="auto"/>
        </w:rPr>
        <w:t>The information set forth in the Proxy Statement under the following captions is incorporated herein by reference: “Special Factors —</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Reasons for the Merger; Recommendation of the Board and the Special Committee,” “The Special Meeting — Recommendation of the Board,” “The Merger (The Merger Agreement Proposal — Proposal 1) — Vote Recommendation,” “Merger-Related Executive Compensation Arrangements (The Golden Parachute Proposal — Proposal 2) — Vote Recommendation,” “Adjournment of the Special Meeting (The Adjournment Proposal — Proposal 3) — Vote Recommendation,” “Special Factors — Position of the Purchaser Filing Parties as to the Fairness of the Merger,” and “Special Factors — Purpose and Reasons of the Purchaser Filing Parties for the Merger.”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Item 13. Financial Statements</w:t>
      </w:r>
    </w:p>
    <w:p>
      <w:pPr>
        <w:spacing w:after="0" w:line="198" w:lineRule="exact"/>
        <w:rPr>
          <w:sz w:val="20"/>
          <w:szCs w:val="20"/>
          <w:color w:val="auto"/>
        </w:rPr>
      </w:pPr>
    </w:p>
    <w:p>
      <w:pPr>
        <w:jc w:val="both"/>
        <w:ind w:right="20" w:firstLine="569"/>
        <w:spacing w:after="0" w:line="256" w:lineRule="auto"/>
        <w:tabs>
          <w:tab w:leader="none" w:pos="823"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Financial Information</w:t>
      </w:r>
      <w:r>
        <w:rPr>
          <w:rFonts w:ascii="Times New Roman" w:cs="Times New Roman" w:eastAsia="Times New Roman" w:hAnsi="Times New Roman"/>
          <w:sz w:val="16"/>
          <w:szCs w:val="16"/>
          <w:color w:val="auto"/>
        </w:rPr>
        <w:t>. The information set forth in the Proxy Statement under the following captions is incorporated herein by reference: “Other Important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Regarding the Company — Selected Historical Consolidated Financial Data,” “Other Important Information Regarding the Company — Book Value per Share,” “Other Important Information Regarding the Company — Description of Company Debt,” and “Where You Can Find Additional Information.” The audited consolidated financial statements of the Company for the fiscal years ended December 31, 2025 and December 31, 2024 are incorporated by reference into the Proxy Statement from the Company’s Annual Report on Form 10-K for the fiscal year ended December 31, 2025, and the unaudited condensed consolidated financial statements for the quarterly period ended June 30, 2026 are incorporated by reference from the Company’s Quarterly Report on Form 10-Q for such period.</w:t>
      </w:r>
    </w:p>
    <w:p>
      <w:pPr>
        <w:spacing w:after="0" w:line="160" w:lineRule="exact"/>
        <w:rPr>
          <w:rFonts w:ascii="Times New Roman" w:cs="Times New Roman" w:eastAsia="Times New Roman" w:hAnsi="Times New Roman"/>
          <w:sz w:val="16"/>
          <w:szCs w:val="16"/>
          <w:i w:val="1"/>
          <w:iCs w:val="1"/>
          <w:color w:val="auto"/>
        </w:rPr>
      </w:pPr>
    </w:p>
    <w:p>
      <w:pPr>
        <w:ind w:left="800" w:hanging="231"/>
        <w:spacing w:after="0"/>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 Forma Information. </w:t>
      </w:r>
      <w:r>
        <w:rPr>
          <w:rFonts w:ascii="Times New Roman" w:cs="Times New Roman" w:eastAsia="Times New Roman" w:hAnsi="Times New Roman"/>
          <w:sz w:val="16"/>
          <w:szCs w:val="16"/>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Persons/Assets, Retained, Employed, Compensated or Used</w:t>
      </w:r>
    </w:p>
    <w:p>
      <w:pPr>
        <w:spacing w:after="0" w:line="198" w:lineRule="exact"/>
        <w:rPr>
          <w:sz w:val="20"/>
          <w:szCs w:val="20"/>
          <w:color w:val="auto"/>
        </w:rPr>
      </w:pPr>
    </w:p>
    <w:p>
      <w:pPr>
        <w:jc w:val="both"/>
        <w:ind w:right="20" w:firstLine="569"/>
        <w:spacing w:after="0" w:line="260" w:lineRule="auto"/>
        <w:tabs>
          <w:tab w:leader="none" w:pos="81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 Solicitations or Recommendations; Employees and Corporate Assets. </w:t>
      </w:r>
      <w:r>
        <w:rPr>
          <w:rFonts w:ascii="Times New Roman" w:cs="Times New Roman" w:eastAsia="Times New Roman" w:hAnsi="Times New Roman"/>
          <w:sz w:val="16"/>
          <w:szCs w:val="16"/>
          <w:color w:val="auto"/>
        </w:rPr>
        <w:t>The information set forth in the Proxy Statement under the following captions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herein by reference: “Special Factors — Background of the Merger,” “Special Factors — Reasons for the Merger; Recommendation of the Board and the Special Committee,” “The Special Meeting — Solicitation of Proxies; Payment of Solicitation Expenses,” “The Special Meeting — Questions and Additional Information,” and “Special Factors — Fees and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Additional Information</w:t>
      </w:r>
    </w:p>
    <w:p>
      <w:pPr>
        <w:spacing w:after="0" w:line="198" w:lineRule="exact"/>
        <w:rPr>
          <w:sz w:val="20"/>
          <w:szCs w:val="20"/>
          <w:color w:val="auto"/>
        </w:rPr>
      </w:pPr>
    </w:p>
    <w:p>
      <w:pPr>
        <w:jc w:val="both"/>
        <w:ind w:firstLine="569"/>
        <w:spacing w:after="0" w:line="266" w:lineRule="auto"/>
        <w:tabs>
          <w:tab w:leader="none" w:pos="81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Golden Parachute Compensation. </w:t>
      </w:r>
      <w:r>
        <w:rPr>
          <w:rFonts w:ascii="Times New Roman" w:cs="Times New Roman" w:eastAsia="Times New Roman" w:hAnsi="Times New Roman"/>
          <w:sz w:val="16"/>
          <w:szCs w:val="16"/>
          <w:color w:val="auto"/>
        </w:rPr>
        <w:t>The information set forth in the Proxy Statement under the following captions is incorporated herein by reference: “Special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Factors — Interests of the Company’s Directors and Executive Officers in the Merger” and “Merger-Related Executive Compensation Arrangements (The Golden Parachute Proposal — Proposal 2).”</w:t>
      </w:r>
    </w:p>
    <w:p>
      <w:pPr>
        <w:spacing w:after="0" w:line="153" w:lineRule="exact"/>
        <w:rPr>
          <w:rFonts w:ascii="Times New Roman" w:cs="Times New Roman" w:eastAsia="Times New Roman" w:hAnsi="Times New Roman"/>
          <w:sz w:val="16"/>
          <w:szCs w:val="16"/>
          <w:color w:val="auto"/>
        </w:rPr>
      </w:pPr>
    </w:p>
    <w:p>
      <w:pPr>
        <w:jc w:val="both"/>
        <w:ind w:right="20" w:firstLine="569"/>
        <w:spacing w:after="0" w:line="266" w:lineRule="auto"/>
        <w:tabs>
          <w:tab w:leader="none" w:pos="80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Other Material Information. </w:t>
      </w:r>
      <w:r>
        <w:rPr>
          <w:rFonts w:ascii="Times New Roman" w:cs="Times New Roman" w:eastAsia="Times New Roman" w:hAnsi="Times New Roman"/>
          <w:sz w:val="16"/>
          <w:szCs w:val="16"/>
          <w:color w:val="auto"/>
        </w:rPr>
        <w:t>The information set forth in the Proxy Statement, including all annexes thereto, is incorporated herein by reference, including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under the captions “Cautionary Statement Regarding Forward-Looking Statements,” “Risk Factors,” “Special Factors — Regulatory Approvals” and “Special Factors — Litigation Relating to the Merger.”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(a)(1)</w:t>
            </w:r>
          </w:p>
        </w:tc>
        <w:tc>
          <w:tcPr>
            <w:tcW w:w="10240" w:type="dxa"/>
            <w:vAlign w:val="bottom"/>
            <w:tcBorders>
              <w:bottom w:val="single" w:sz="8" w:color="0000EE"/>
            </w:tcBorders>
            <w:gridSpan w:val="10"/>
            <w:shd w:val="clear" w:color="auto" w:fill="CCEEFF"/>
          </w:tcPr>
          <w:p>
            <w:pPr>
              <w:spacing w:after="0"/>
              <w:rPr>
                <w:rFonts w:ascii="Times New Roman" w:cs="Times New Roman" w:eastAsia="Times New Roman" w:hAnsi="Times New Roman"/>
                <w:sz w:val="16"/>
                <w:szCs w:val="16"/>
                <w:color w:val="0000EE"/>
              </w:rPr>
            </w:pPr>
            <w:hyperlink r:id="rId25">
              <w:r>
                <w:rPr>
                  <w:rFonts w:ascii="Times New Roman" w:cs="Times New Roman" w:eastAsia="Times New Roman" w:hAnsi="Times New Roman"/>
                  <w:sz w:val="16"/>
                  <w:szCs w:val="16"/>
                  <w:color w:val="0000EE"/>
                </w:rPr>
                <w:t>Preliminary Proxy Statement of Priority Technology Holdings, Inc. (incorporated herein by reference to the Schedule 14A filed with the SEC on October 30,</w:t>
              </w:r>
            </w:hyperlink>
          </w:p>
        </w:tc>
      </w:tr>
      <w:tr>
        <w:trPr>
          <w:trHeight w:val="187"/>
        </w:trPr>
        <w:tc>
          <w:tcPr>
            <w:tcW w:w="10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25">
              <w:r>
                <w:rPr>
                  <w:rFonts w:ascii="Times New Roman" w:cs="Times New Roman" w:eastAsia="Times New Roman" w:hAnsi="Times New Roman"/>
                  <w:sz w:val="16"/>
                  <w:szCs w:val="16"/>
                  <w:color w:val="0000EE"/>
                </w:rPr>
                <w:t>2026).</w:t>
              </w:r>
            </w:hyperlink>
          </w:p>
        </w:tc>
        <w:tc>
          <w:tcPr>
            <w:tcW w:w="40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(a)(2)</w:t>
            </w:r>
          </w:p>
        </w:tc>
        <w:tc>
          <w:tcPr>
            <w:tcW w:w="10240" w:type="dxa"/>
            <w:vAlign w:val="bottom"/>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26">
              <w:r>
                <w:rPr>
                  <w:rFonts w:ascii="Times New Roman" w:cs="Times New Roman" w:eastAsia="Times New Roman" w:hAnsi="Times New Roman"/>
                  <w:sz w:val="16"/>
                  <w:szCs w:val="16"/>
                  <w:color w:val="0000EE"/>
                </w:rPr>
                <w:t>Form of Proxy Card (included in the Proxy Statement and incorporated herein by reference).</w:t>
              </w:r>
            </w:hyperlink>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54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(a)(3)</w:t>
            </w:r>
          </w:p>
        </w:tc>
        <w:tc>
          <w:tcPr>
            <w:tcW w:w="10240" w:type="dxa"/>
            <w:vAlign w:val="bottom"/>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25">
              <w:r>
                <w:rPr>
                  <w:rFonts w:ascii="Times New Roman" w:cs="Times New Roman" w:eastAsia="Times New Roman" w:hAnsi="Times New Roman"/>
                  <w:sz w:val="16"/>
                  <w:szCs w:val="16"/>
                  <w:color w:val="0000EE"/>
                </w:rPr>
                <w:t>Letter to Stockholders (included in the Proxy Statement and incorporated herein by reference).</w:t>
              </w:r>
            </w:hyperlink>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5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(a)(4)</w:t>
            </w:r>
          </w:p>
        </w:tc>
        <w:tc>
          <w:tcPr>
            <w:tcW w:w="10240" w:type="dxa"/>
            <w:vAlign w:val="bottom"/>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25">
              <w:r>
                <w:rPr>
                  <w:rFonts w:ascii="Times New Roman" w:cs="Times New Roman" w:eastAsia="Times New Roman" w:hAnsi="Times New Roman"/>
                  <w:sz w:val="16"/>
                  <w:szCs w:val="16"/>
                  <w:color w:val="0000EE"/>
                </w:rPr>
                <w:t>Notice of Special Meeting of Stockholders (included in the Proxy Statement and incorporated herein by reference).</w:t>
              </w:r>
            </w:hyperlink>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5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(a)(5)</w:t>
            </w:r>
          </w:p>
        </w:tc>
        <w:tc>
          <w:tcPr>
            <w:tcW w:w="10240" w:type="dxa"/>
            <w:vAlign w:val="bottom"/>
            <w:tcBorders>
              <w:bottom w:val="single" w:sz="8" w:color="0000EE"/>
            </w:tcBorders>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27">
              <w:r>
                <w:rPr>
                  <w:rFonts w:ascii="Times New Roman" w:cs="Times New Roman" w:eastAsia="Times New Roman" w:hAnsi="Times New Roman"/>
                  <w:sz w:val="16"/>
                  <w:szCs w:val="16"/>
                  <w:color w:val="0000EE"/>
                </w:rPr>
                <w:t>Press release, dated September 21, 2026 (incorporated herein by reference to Exhibit 99.1 to the Company’s Current Report on Form 8-K filed September 21,</w:t>
              </w:r>
            </w:hyperlink>
          </w:p>
        </w:tc>
      </w:tr>
      <w:tr>
        <w:trPr>
          <w:trHeight w:val="187"/>
        </w:trPr>
        <w:tc>
          <w:tcPr>
            <w:tcW w:w="10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spacing w:after="0" w:line="171" w:lineRule="exact"/>
              <w:rPr>
                <w:rFonts w:ascii="Times New Roman" w:cs="Times New Roman" w:eastAsia="Times New Roman" w:hAnsi="Times New Roman"/>
                <w:sz w:val="16"/>
                <w:szCs w:val="16"/>
                <w:color w:val="0000EE"/>
              </w:rPr>
            </w:pPr>
            <w:hyperlink r:id="rId27">
              <w:r>
                <w:rPr>
                  <w:rFonts w:ascii="Times New Roman" w:cs="Times New Roman" w:eastAsia="Times New Roman" w:hAnsi="Times New Roman"/>
                  <w:sz w:val="16"/>
                  <w:szCs w:val="16"/>
                  <w:color w:val="0000EE"/>
                </w:rPr>
                <w:t>2026).</w:t>
              </w:r>
            </w:hyperlink>
          </w:p>
        </w:tc>
        <w:tc>
          <w:tcPr>
            <w:tcW w:w="40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(a)(6)</w:t>
            </w:r>
          </w:p>
        </w:tc>
        <w:tc>
          <w:tcPr>
            <w:tcW w:w="10240" w:type="dxa"/>
            <w:vAlign w:val="bottom"/>
            <w:tcBorders>
              <w:bottom w:val="single" w:sz="8" w:color="0000EE"/>
            </w:tcBorders>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Email to employees, dated September 21, 2026 (incorporated herein by reference to Exhibit 99.2 to the Company’s Current Report on Form 8-K filed</w:t>
              </w:r>
            </w:hyperlink>
          </w:p>
        </w:tc>
      </w:tr>
      <w:tr>
        <w:trPr>
          <w:trHeight w:val="187"/>
        </w:trPr>
        <w:tc>
          <w:tcPr>
            <w:tcW w:w="1020" w:type="dxa"/>
            <w:vAlign w:val="bottom"/>
            <w:shd w:val="clear" w:color="auto" w:fill="CCEEFF"/>
          </w:tcPr>
          <w:p>
            <w:pPr>
              <w:spacing w:after="0"/>
              <w:rPr>
                <w:sz w:val="16"/>
                <w:szCs w:val="16"/>
                <w:color w:val="auto"/>
              </w:rPr>
            </w:pPr>
          </w:p>
        </w:tc>
        <w:tc>
          <w:tcPr>
            <w:tcW w:w="10240" w:type="dxa"/>
            <w:vAlign w:val="bottom"/>
            <w:gridSpan w:val="10"/>
            <w:shd w:val="clear" w:color="auto" w:fill="CCEEFF"/>
          </w:tcPr>
          <w:p>
            <w:pPr>
              <w:spacing w:after="0" w:line="171"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September 21, 2026).</w:t>
              </w:r>
            </w:hyperlink>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(a)(7)</w:t>
            </w:r>
          </w:p>
        </w:tc>
        <w:tc>
          <w:tcPr>
            <w:tcW w:w="10240" w:type="dxa"/>
            <w:vAlign w:val="bottom"/>
            <w:tcBorders>
              <w:bottom w:val="single" w:sz="8" w:color="0000EE"/>
            </w:tcBorders>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Frequently Asked Questions, dated September 21, 2026 (incorporated herein by reference to Exhibit 99.3 to the Company’s Current Report on Form 8-K filed</w:t>
              </w:r>
            </w:hyperlink>
          </w:p>
        </w:tc>
      </w:tr>
      <w:tr>
        <w:trPr>
          <w:trHeight w:val="187"/>
        </w:trPr>
        <w:tc>
          <w:tcPr>
            <w:tcW w:w="1020" w:type="dxa"/>
            <w:vAlign w:val="bottom"/>
            <w:shd w:val="clear" w:color="auto" w:fill="CCEEFF"/>
          </w:tcPr>
          <w:p>
            <w:pPr>
              <w:spacing w:after="0"/>
              <w:rPr>
                <w:sz w:val="16"/>
                <w:szCs w:val="16"/>
                <w:color w:val="auto"/>
              </w:rPr>
            </w:pPr>
          </w:p>
        </w:tc>
        <w:tc>
          <w:tcPr>
            <w:tcW w:w="10240" w:type="dxa"/>
            <w:vAlign w:val="bottom"/>
            <w:gridSpan w:val="10"/>
            <w:shd w:val="clear" w:color="auto" w:fill="CCEEFF"/>
          </w:tcPr>
          <w:p>
            <w:pPr>
              <w:spacing w:after="0" w:line="171"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September 21, 2026).</w:t>
              </w:r>
            </w:hyperlink>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(b)(1)*</w:t>
            </w:r>
          </w:p>
        </w:tc>
        <w:tc>
          <w:tcPr>
            <w:tcW w:w="10240" w:type="dxa"/>
            <w:vAlign w:val="bottom"/>
            <w:tcBorders>
              <w:bottom w:val="single" w:sz="8" w:color="0000EE"/>
            </w:tcBorders>
            <w:gridSpan w:val="10"/>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Equity Commitment Letter, dated September 18, 2026, from the Searchlight Capital Partners funds party thereto (the Equity Financing Source) to Ultimate</w:t>
            </w:r>
          </w:p>
        </w:tc>
      </w:tr>
      <w:tr>
        <w:trPr>
          <w:trHeight w:val="171"/>
        </w:trPr>
        <w:tc>
          <w:tcPr>
            <w:tcW w:w="1020" w:type="dxa"/>
            <w:vAlign w:val="bottom"/>
            <w:tcBorders>
              <w:bottom w:val="single" w:sz="8" w:color="CCEEFF"/>
            </w:tcBorders>
            <w:shd w:val="clear" w:color="auto" w:fill="CCEEFF"/>
          </w:tcPr>
          <w:p>
            <w:pPr>
              <w:spacing w:after="0"/>
              <w:rPr>
                <w:sz w:val="14"/>
                <w:szCs w:val="14"/>
                <w:color w:val="auto"/>
              </w:rPr>
            </w:pPr>
          </w:p>
        </w:tc>
        <w:tc>
          <w:tcPr>
            <w:tcW w:w="10240" w:type="dxa"/>
            <w:vAlign w:val="bottom"/>
            <w:tcBorders>
              <w:bottom w:val="single" w:sz="8" w:color="0000EE"/>
            </w:tcBorders>
            <w:gridSpan w:val="10"/>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 xml:space="preserve">Parent, providing for the purchase of Series A Preferred Units of Ultimate Parent with an aggregate initial stated value of up to </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160,000,000 (but not less than</w:t>
            </w:r>
          </w:p>
        </w:tc>
      </w:tr>
      <w:tr>
        <w:trPr>
          <w:trHeight w:val="187"/>
        </w:trPr>
        <w:tc>
          <w:tcPr>
            <w:tcW w:w="102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150,000,000).</w:t>
            </w:r>
          </w:p>
        </w:tc>
        <w:tc>
          <w:tcPr>
            <w:tcW w:w="4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4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(b)(2)</w:t>
            </w:r>
          </w:p>
        </w:tc>
        <w:tc>
          <w:tcPr>
            <w:tcW w:w="10240" w:type="dxa"/>
            <w:vAlign w:val="bottom"/>
            <w:tcBorders>
              <w:bottom w:val="single" w:sz="8" w:color="0000EE"/>
            </w:tcBorders>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Credit and Guaranty Agreement, dated as of May 16, 2024, among Priority Holdings, LLC, as the sole Borrower Representative, the other Credit Parties</w:t>
              </w:r>
            </w:hyperlink>
          </w:p>
        </w:tc>
      </w:tr>
      <w:tr>
        <w:trPr>
          <w:trHeight w:val="171"/>
        </w:trPr>
        <w:tc>
          <w:tcPr>
            <w:tcW w:w="1020" w:type="dxa"/>
            <w:vAlign w:val="bottom"/>
            <w:shd w:val="clear" w:color="auto" w:fill="CCEEFF"/>
          </w:tcPr>
          <w:p>
            <w:pPr>
              <w:spacing w:after="0"/>
              <w:rPr>
                <w:sz w:val="14"/>
                <w:szCs w:val="14"/>
                <w:color w:val="auto"/>
              </w:rPr>
            </w:pPr>
          </w:p>
        </w:tc>
        <w:tc>
          <w:tcPr>
            <w:tcW w:w="10240" w:type="dxa"/>
            <w:vAlign w:val="bottom"/>
            <w:gridSpan w:val="10"/>
            <w:shd w:val="clear" w:color="auto" w:fill="CCEEFF"/>
          </w:tcPr>
          <w:p>
            <w:pPr>
              <w:spacing w:after="0" w:line="171"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thereto, and Truist Bank, as Administrative Agent, Collateral Agent, an Issuing Bank and Swing Line Lender, as amended (incorporated herein by reference to</w:t>
              </w:r>
            </w:hyperlink>
          </w:p>
        </w:tc>
      </w:tr>
      <w:tr>
        <w:trPr>
          <w:trHeight w:val="187"/>
        </w:trPr>
        <w:tc>
          <w:tcPr>
            <w:tcW w:w="102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0000EE"/>
            </w:tcBorders>
            <w:gridSpan w:val="9"/>
            <w:shd w:val="clear" w:color="auto" w:fill="CCEEFF"/>
          </w:tcPr>
          <w:p>
            <w:pPr>
              <w:spacing w:after="0" w:line="171"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the exhibits to the Company’s Annual Report on Form 10-K for the fiscal year ended December 31, 2025).</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5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(c)(1)</w:t>
            </w:r>
          </w:p>
        </w:tc>
        <w:tc>
          <w:tcPr>
            <w:tcW w:w="10240" w:type="dxa"/>
            <w:vAlign w:val="bottom"/>
            <w:gridSpan w:val="10"/>
            <w:shd w:val="clear" w:color="auto" w:fill="CCEEFF"/>
          </w:tcPr>
          <w:p>
            <w:pPr>
              <w:spacing w:after="0" w:line="155" w:lineRule="exact"/>
              <w:rPr>
                <w:rFonts w:ascii="Times New Roman" w:cs="Times New Roman" w:eastAsia="Times New Roman" w:hAnsi="Times New Roman"/>
                <w:sz w:val="16"/>
                <w:szCs w:val="16"/>
                <w:color w:val="0000EE"/>
              </w:rPr>
            </w:pPr>
            <w:hyperlink r:id="rId31">
              <w:r>
                <w:rPr>
                  <w:rFonts w:ascii="Times New Roman" w:cs="Times New Roman" w:eastAsia="Times New Roman" w:hAnsi="Times New Roman"/>
                  <w:sz w:val="16"/>
                  <w:szCs w:val="16"/>
                  <w:color w:val="0000EE"/>
                </w:rPr>
                <w:t>Opinion of Barclays Capital Inc., dated September 18, 2026 (included as Annex C to the Proxy Statement and incorporated herein by reference).</w:t>
              </w:r>
            </w:hyperlink>
          </w:p>
        </w:tc>
      </w:tr>
      <w:tr>
        <w:trPr>
          <w:trHeight w:val="601"/>
        </w:trPr>
        <w:tc>
          <w:tcPr>
            <w:tcW w:w="1020" w:type="dxa"/>
            <w:vAlign w:val="bottom"/>
            <w:tcBorders>
              <w:top w:val="single" w:sz="8" w:color="CCEEFF"/>
              <w:bottom w:val="single" w:sz="8" w:color="auto"/>
            </w:tcBorders>
          </w:tcPr>
          <w:p>
            <w:pPr>
              <w:spacing w:after="0"/>
              <w:rPr>
                <w:sz w:val="24"/>
                <w:szCs w:val="24"/>
                <w:color w:val="auto"/>
              </w:rPr>
            </w:pPr>
          </w:p>
        </w:tc>
        <w:tc>
          <w:tcPr>
            <w:tcW w:w="5900" w:type="dxa"/>
            <w:vAlign w:val="bottom"/>
            <w:tcBorders>
              <w:top w:val="single" w:sz="8" w:color="0000EE"/>
              <w:bottom w:val="single" w:sz="8" w:color="auto"/>
            </w:tcBorders>
            <w:gridSpan w:val="4"/>
          </w:tcPr>
          <w:p>
            <w:pPr>
              <w:ind w:left="456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7" w:name="page8"/>
    <w:bookmarkEnd w:id="7"/>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(c)(2)</w:t>
            </w:r>
          </w:p>
        </w:tc>
        <w:tc>
          <w:tcPr>
            <w:tcW w:w="102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0000EE"/>
              </w:rPr>
              <w:t>Preliminary Valuation Analysis prepared by Barclays Capital Inc. for the Special Committee (as defined in the Proxy Statement), dated January 2026 and</w:t>
            </w:r>
          </w:p>
        </w:tc>
      </w:tr>
      <w:tr>
        <w:trPr>
          <w:trHeight w:val="187"/>
        </w:trPr>
        <w:tc>
          <w:tcPr>
            <w:tcW w:w="1020" w:type="dxa"/>
            <w:vAlign w:val="bottom"/>
            <w:shd w:val="clear" w:color="auto" w:fill="CCEEFF"/>
          </w:tcPr>
          <w:p>
            <w:pPr>
              <w:spacing w:after="0"/>
              <w:rPr>
                <w:sz w:val="16"/>
                <w:szCs w:val="16"/>
                <w:color w:val="auto"/>
              </w:rPr>
            </w:pPr>
          </w:p>
        </w:tc>
        <w:tc>
          <w:tcPr>
            <w:tcW w:w="10240" w:type="dxa"/>
            <w:vAlign w:val="bottom"/>
            <w:gridSpan w:val="1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presented to the Special Committee on January 29, 2026.</w:t>
            </w: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(c)(3)</w:t>
            </w:r>
          </w:p>
        </w:tc>
        <w:tc>
          <w:tcPr>
            <w:tcW w:w="10240" w:type="dxa"/>
            <w:vAlign w:val="bottom"/>
            <w:tcBorders>
              <w:bottom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Preliminary Valuation Analysis prepared by Barclays Capital Inc. for the Special Committee, dated February 2026 and presented to the Special Committee on</w:t>
            </w:r>
          </w:p>
        </w:tc>
      </w:tr>
      <w:tr>
        <w:trPr>
          <w:trHeight w:val="187"/>
        </w:trPr>
        <w:tc>
          <w:tcPr>
            <w:tcW w:w="1020" w:type="dxa"/>
            <w:vAlign w:val="bottom"/>
            <w:shd w:val="clear" w:color="auto" w:fill="CCEEFF"/>
          </w:tcPr>
          <w:p>
            <w:pPr>
              <w:spacing w:after="0"/>
              <w:rPr>
                <w:sz w:val="16"/>
                <w:szCs w:val="16"/>
                <w:color w:val="auto"/>
              </w:rPr>
            </w:pPr>
          </w:p>
        </w:tc>
        <w:tc>
          <w:tcPr>
            <w:tcW w:w="10240" w:type="dxa"/>
            <w:vAlign w:val="bottom"/>
            <w:gridSpan w:val="1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February 2, 2026.</w:t>
            </w: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(c)(4)</w:t>
            </w:r>
          </w:p>
        </w:tc>
        <w:tc>
          <w:tcPr>
            <w:tcW w:w="10240" w:type="dxa"/>
            <w:vAlign w:val="bottom"/>
            <w:tcBorders>
              <w:bottom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Discussion Materials prepared by Barclays Capital Inc. for the Special Committee, dated February 2026 and presented to the Special Committee on February</w:t>
            </w:r>
          </w:p>
        </w:tc>
      </w:tr>
      <w:tr>
        <w:trPr>
          <w:trHeight w:val="187"/>
        </w:trPr>
        <w:tc>
          <w:tcPr>
            <w:tcW w:w="10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16, 2026.</w:t>
            </w:r>
          </w:p>
        </w:tc>
        <w:tc>
          <w:tcPr>
            <w:tcW w:w="2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(c)(5)</w:t>
            </w:r>
          </w:p>
        </w:tc>
        <w:tc>
          <w:tcPr>
            <w:tcW w:w="10240" w:type="dxa"/>
            <w:vAlign w:val="bottom"/>
            <w:tcBorders>
              <w:bottom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Discussion Materials prepared by Barclays Capital Inc. for the Special Committee, dated February 2026 and presented to the Special Committee on February</w:t>
            </w:r>
          </w:p>
        </w:tc>
      </w:tr>
      <w:tr>
        <w:trPr>
          <w:trHeight w:val="187"/>
        </w:trPr>
        <w:tc>
          <w:tcPr>
            <w:tcW w:w="10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23, 2026.</w:t>
            </w:r>
          </w:p>
        </w:tc>
        <w:tc>
          <w:tcPr>
            <w:tcW w:w="2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(c)(6)</w:t>
            </w:r>
          </w:p>
        </w:tc>
        <w:tc>
          <w:tcPr>
            <w:tcW w:w="10240" w:type="dxa"/>
            <w:vAlign w:val="bottom"/>
            <w:tcBorders>
              <w:bottom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Discussion Materials prepared by Barclays Capital Inc. for the Special Committee, dated February 2026 and presented to the Special Committee on February</w:t>
            </w:r>
          </w:p>
        </w:tc>
      </w:tr>
      <w:tr>
        <w:trPr>
          <w:trHeight w:val="187"/>
        </w:trPr>
        <w:tc>
          <w:tcPr>
            <w:tcW w:w="10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26, 2026.</w:t>
            </w:r>
          </w:p>
        </w:tc>
        <w:tc>
          <w:tcPr>
            <w:tcW w:w="2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(c)(7)</w:t>
            </w:r>
          </w:p>
        </w:tc>
        <w:tc>
          <w:tcPr>
            <w:tcW w:w="1024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Update Materials prepared by Barclays Capital Inc. for the Special Committee, dated May 2026 and presented to the Special Committee on May 3, 2026.</w:t>
            </w: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(c)(8)</w:t>
            </w:r>
          </w:p>
        </w:tc>
        <w:tc>
          <w:tcPr>
            <w:tcW w:w="1024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Update Materials prepared by Barclays Capital Inc. for the Special Committee, dated July 2026 and presented to the Special Committee on July 1, 2026.</w:t>
            </w: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(c)(9)</w:t>
            </w:r>
          </w:p>
        </w:tc>
        <w:tc>
          <w:tcPr>
            <w:tcW w:w="10240" w:type="dxa"/>
            <w:vAlign w:val="bottom"/>
            <w:tcBorders>
              <w:bottom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Valuation Analysis prepared by Barclays Capital Inc. for the Special Committee, dated September 2026 and presented to the Special Committee on September</w:t>
            </w:r>
          </w:p>
        </w:tc>
      </w:tr>
      <w:tr>
        <w:trPr>
          <w:trHeight w:val="187"/>
        </w:trPr>
        <w:tc>
          <w:tcPr>
            <w:tcW w:w="10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14, 2026.</w:t>
            </w:r>
          </w:p>
        </w:tc>
        <w:tc>
          <w:tcPr>
            <w:tcW w:w="2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(c)(10)</w:t>
            </w:r>
          </w:p>
        </w:tc>
        <w:tc>
          <w:tcPr>
            <w:tcW w:w="10240" w:type="dxa"/>
            <w:vAlign w:val="bottom"/>
            <w:tcBorders>
              <w:bottom w:val="single" w:sz="8" w:color="0000EE"/>
            </w:tcBorders>
            <w:gridSpan w:val="1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Valuation Analysis prepared by Barclays Capital Inc. for the Special Committee, dated September 2026 and presented to the Special Committee on September</w:t>
            </w:r>
          </w:p>
        </w:tc>
      </w:tr>
      <w:tr>
        <w:trPr>
          <w:trHeight w:val="187"/>
        </w:trPr>
        <w:tc>
          <w:tcPr>
            <w:tcW w:w="10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18, 2026.</w:t>
            </w:r>
          </w:p>
        </w:tc>
        <w:tc>
          <w:tcPr>
            <w:tcW w:w="2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(d)(1)</w:t>
            </w:r>
          </w:p>
        </w:tc>
        <w:tc>
          <w:tcPr>
            <w:tcW w:w="10240" w:type="dxa"/>
            <w:vAlign w:val="bottom"/>
            <w:tcBorders>
              <w:bottom w:val="single" w:sz="8" w:color="0000EE"/>
            </w:tcBorders>
            <w:gridSpan w:val="12"/>
            <w:shd w:val="clear" w:color="auto" w:fill="CCEEFF"/>
          </w:tcPr>
          <w:p>
            <w:pPr>
              <w:spacing w:after="0" w:line="155" w:lineRule="exact"/>
              <w:rPr>
                <w:rFonts w:ascii="Times New Roman" w:cs="Times New Roman" w:eastAsia="Times New Roman" w:hAnsi="Times New Roman"/>
                <w:sz w:val="16"/>
                <w:szCs w:val="16"/>
                <w:color w:val="0000EE"/>
              </w:rPr>
            </w:pPr>
            <w:hyperlink r:id="rId32">
              <w:r>
                <w:rPr>
                  <w:rFonts w:ascii="Times New Roman" w:cs="Times New Roman" w:eastAsia="Times New Roman" w:hAnsi="Times New Roman"/>
                  <w:sz w:val="16"/>
                  <w:szCs w:val="16"/>
                  <w:color w:val="0000EE"/>
                </w:rPr>
                <w:t>Agreement and Plan of Merger, dated as of September 18, 2026, by and among the Company, Parent and Merger Sub (incorporated herein by reference to</w:t>
              </w:r>
            </w:hyperlink>
          </w:p>
        </w:tc>
      </w:tr>
      <w:tr>
        <w:trPr>
          <w:trHeight w:val="187"/>
        </w:trPr>
        <w:tc>
          <w:tcPr>
            <w:tcW w:w="1020" w:type="dxa"/>
            <w:vAlign w:val="bottom"/>
            <w:shd w:val="clear" w:color="auto" w:fill="CCEEFF"/>
          </w:tcPr>
          <w:p>
            <w:pPr>
              <w:spacing w:after="0"/>
              <w:rPr>
                <w:sz w:val="16"/>
                <w:szCs w:val="16"/>
                <w:color w:val="auto"/>
              </w:rPr>
            </w:pPr>
          </w:p>
        </w:tc>
        <w:tc>
          <w:tcPr>
            <w:tcW w:w="10240" w:type="dxa"/>
            <w:vAlign w:val="bottom"/>
            <w:gridSpan w:val="12"/>
            <w:shd w:val="clear" w:color="auto" w:fill="CCEEFF"/>
          </w:tcPr>
          <w:p>
            <w:pPr>
              <w:spacing w:after="0" w:line="171" w:lineRule="exact"/>
              <w:rPr>
                <w:rFonts w:ascii="Times New Roman" w:cs="Times New Roman" w:eastAsia="Times New Roman" w:hAnsi="Times New Roman"/>
                <w:sz w:val="16"/>
                <w:szCs w:val="16"/>
                <w:color w:val="0000EE"/>
              </w:rPr>
            </w:pPr>
            <w:hyperlink r:id="rId32">
              <w:r>
                <w:rPr>
                  <w:rFonts w:ascii="Times New Roman" w:cs="Times New Roman" w:eastAsia="Times New Roman" w:hAnsi="Times New Roman"/>
                  <w:sz w:val="16"/>
                  <w:szCs w:val="16"/>
                  <w:color w:val="0000EE"/>
                </w:rPr>
                <w:t>Exhibit 2.1 to the Company’s Current Report on Form 8-K filed September 21, 2026, and included as Annex A to the Proxy Statement).</w:t>
              </w:r>
            </w:hyperlink>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(d)(2)</w:t>
            </w:r>
          </w:p>
        </w:tc>
        <w:tc>
          <w:tcPr>
            <w:tcW w:w="10240" w:type="dxa"/>
            <w:vAlign w:val="bottom"/>
            <w:tcBorders>
              <w:bottom w:val="single" w:sz="8" w:color="0000EE"/>
            </w:tcBorders>
            <w:gridSpan w:val="12"/>
            <w:shd w:val="clear" w:color="auto" w:fill="CCEEFF"/>
          </w:tcPr>
          <w:p>
            <w:pPr>
              <w:spacing w:after="0" w:line="155" w:lineRule="exact"/>
              <w:rPr>
                <w:rFonts w:ascii="Times New Roman" w:cs="Times New Roman" w:eastAsia="Times New Roman" w:hAnsi="Times New Roman"/>
                <w:sz w:val="16"/>
                <w:szCs w:val="16"/>
                <w:color w:val="0000EE"/>
                <w:w w:val="99"/>
              </w:rPr>
            </w:pPr>
            <w:hyperlink r:id="rId33">
              <w:r>
                <w:rPr>
                  <w:rFonts w:ascii="Times New Roman" w:cs="Times New Roman" w:eastAsia="Times New Roman" w:hAnsi="Times New Roman"/>
                  <w:sz w:val="16"/>
                  <w:szCs w:val="16"/>
                  <w:color w:val="0000EE"/>
                  <w:w w:val="99"/>
                </w:rPr>
                <w:t>Support Agreement, dated as of September 18, 2026, by and among the Company, Parent, Ultimate Parent and the Supporting Stockholders (included as Annex</w:t>
              </w:r>
            </w:hyperlink>
          </w:p>
        </w:tc>
      </w:tr>
      <w:tr>
        <w:trPr>
          <w:trHeight w:val="187"/>
        </w:trPr>
        <w:tc>
          <w:tcPr>
            <w:tcW w:w="1020" w:type="dxa"/>
            <w:vAlign w:val="bottom"/>
            <w:shd w:val="clear" w:color="auto" w:fill="CCEEFF"/>
          </w:tcPr>
          <w:p>
            <w:pPr>
              <w:spacing w:after="0"/>
              <w:rPr>
                <w:sz w:val="16"/>
                <w:szCs w:val="16"/>
                <w:color w:val="auto"/>
              </w:rPr>
            </w:pPr>
          </w:p>
        </w:tc>
        <w:tc>
          <w:tcPr>
            <w:tcW w:w="10240" w:type="dxa"/>
            <w:vAlign w:val="bottom"/>
            <w:gridSpan w:val="12"/>
            <w:shd w:val="clear" w:color="auto" w:fill="CCEEFF"/>
          </w:tcPr>
          <w:p>
            <w:pPr>
              <w:spacing w:after="0" w:line="171" w:lineRule="exact"/>
              <w:rPr>
                <w:rFonts w:ascii="Times New Roman" w:cs="Times New Roman" w:eastAsia="Times New Roman" w:hAnsi="Times New Roman"/>
                <w:sz w:val="16"/>
                <w:szCs w:val="16"/>
                <w:color w:val="0000EE"/>
              </w:rPr>
            </w:pPr>
            <w:hyperlink r:id="rId33">
              <w:r>
                <w:rPr>
                  <w:rFonts w:ascii="Times New Roman" w:cs="Times New Roman" w:eastAsia="Times New Roman" w:hAnsi="Times New Roman"/>
                  <w:sz w:val="16"/>
                  <w:szCs w:val="16"/>
                  <w:color w:val="0000EE"/>
                </w:rPr>
                <w:t>D to the Proxy Statement and incorporated herein by referenDce).</w:t>
              </w:r>
            </w:hyperlink>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(d)(3)</w:t>
            </w:r>
          </w:p>
        </w:tc>
        <w:tc>
          <w:tcPr>
            <w:tcW w:w="10240" w:type="dxa"/>
            <w:vAlign w:val="bottom"/>
            <w:gridSpan w:val="12"/>
            <w:shd w:val="clear" w:color="auto" w:fill="CCEEFF"/>
          </w:tcPr>
          <w:p>
            <w:pPr>
              <w:spacing w:after="0" w:line="155" w:lineRule="exact"/>
              <w:rPr>
                <w:rFonts w:ascii="Times New Roman" w:cs="Times New Roman" w:eastAsia="Times New Roman" w:hAnsi="Times New Roman"/>
                <w:sz w:val="16"/>
                <w:szCs w:val="16"/>
                <w:color w:val="0000EE"/>
              </w:rPr>
            </w:pPr>
            <w:hyperlink r:id="rId34">
              <w:r>
                <w:rPr>
                  <w:rFonts w:ascii="Times New Roman" w:cs="Times New Roman" w:eastAsia="Times New Roman" w:hAnsi="Times New Roman"/>
                  <w:sz w:val="16"/>
                  <w:szCs w:val="16"/>
                  <w:color w:val="0000EE"/>
                </w:rPr>
                <w:t>Form of Certificate of Incorporation of the Surviving Corporation (included as Annex B to the Proxy Statement and incorporated herein by reference).</w:t>
              </w:r>
            </w:hyperlink>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(d)(4)</w:t>
            </w:r>
          </w:p>
        </w:tc>
        <w:tc>
          <w:tcPr>
            <w:tcW w:w="10240" w:type="dxa"/>
            <w:vAlign w:val="bottom"/>
            <w:tcBorders>
              <w:bottom w:val="single" w:sz="8" w:color="0000EE"/>
            </w:tcBorders>
            <w:gridSpan w:val="12"/>
            <w:shd w:val="clear" w:color="auto" w:fill="CCEEFF"/>
          </w:tcPr>
          <w:p>
            <w:pPr>
              <w:spacing w:after="0" w:line="155" w:lineRule="exact"/>
              <w:rPr>
                <w:rFonts w:ascii="Times New Roman" w:cs="Times New Roman" w:eastAsia="Times New Roman" w:hAnsi="Times New Roman"/>
                <w:sz w:val="16"/>
                <w:szCs w:val="16"/>
                <w:color w:val="0000EE"/>
              </w:rPr>
            </w:pPr>
            <w:hyperlink r:id="rId35">
              <w:r>
                <w:rPr>
                  <w:rFonts w:ascii="Times New Roman" w:cs="Times New Roman" w:eastAsia="Times New Roman" w:hAnsi="Times New Roman"/>
                  <w:sz w:val="16"/>
                  <w:szCs w:val="16"/>
                  <w:color w:val="0000EE"/>
                </w:rPr>
                <w:t>Interim Investors Agreement, dated as of September 18, 2026, by and among WD Capital Partners Holdings LP, WD Capital Partners Parent Inc., WD Capital</w:t>
              </w:r>
            </w:hyperlink>
          </w:p>
        </w:tc>
      </w:tr>
      <w:tr>
        <w:trPr>
          <w:trHeight w:val="171"/>
        </w:trPr>
        <w:tc>
          <w:tcPr>
            <w:tcW w:w="1020" w:type="dxa"/>
            <w:vAlign w:val="bottom"/>
            <w:shd w:val="clear" w:color="auto" w:fill="CCEEFF"/>
          </w:tcPr>
          <w:p>
            <w:pPr>
              <w:spacing w:after="0"/>
              <w:rPr>
                <w:sz w:val="14"/>
                <w:szCs w:val="14"/>
                <w:color w:val="auto"/>
              </w:rPr>
            </w:pPr>
          </w:p>
        </w:tc>
        <w:tc>
          <w:tcPr>
            <w:tcW w:w="10240" w:type="dxa"/>
            <w:vAlign w:val="bottom"/>
            <w:gridSpan w:val="12"/>
            <w:shd w:val="clear" w:color="auto" w:fill="CCEEFF"/>
          </w:tcPr>
          <w:p>
            <w:pPr>
              <w:spacing w:after="0" w:line="171" w:lineRule="exact"/>
              <w:rPr>
                <w:rFonts w:ascii="Times New Roman" w:cs="Times New Roman" w:eastAsia="Times New Roman" w:hAnsi="Times New Roman"/>
                <w:sz w:val="16"/>
                <w:szCs w:val="16"/>
                <w:color w:val="0000EE"/>
              </w:rPr>
            </w:pPr>
            <w:hyperlink r:id="rId35">
              <w:r>
                <w:rPr>
                  <w:rFonts w:ascii="Times New Roman" w:cs="Times New Roman" w:eastAsia="Times New Roman" w:hAnsi="Times New Roman"/>
                  <w:sz w:val="16"/>
                  <w:szCs w:val="16"/>
                  <w:color w:val="0000EE"/>
                </w:rPr>
                <w:t>Partners Merger Sub Inc., Thomas C. Priore and Searchlight IV SAT, L.P. (incorporated herein by reference to Exhibit 99.3 to the Schedule 13D/A filed by</w:t>
              </w:r>
            </w:hyperlink>
          </w:p>
        </w:tc>
      </w:tr>
      <w:tr>
        <w:trPr>
          <w:trHeight w:val="187"/>
        </w:trPr>
        <w:tc>
          <w:tcPr>
            <w:tcW w:w="1020" w:type="dxa"/>
            <w:vAlign w:val="bottom"/>
            <w:tcBorders>
              <w:top w:val="single" w:sz="8" w:color="CCEEFF"/>
            </w:tcBorders>
            <w:shd w:val="clear" w:color="auto" w:fill="CCEEFF"/>
          </w:tcPr>
          <w:p>
            <w:pPr>
              <w:spacing w:after="0"/>
              <w:rPr>
                <w:sz w:val="16"/>
                <w:szCs w:val="16"/>
                <w:color w:val="auto"/>
              </w:rPr>
            </w:pPr>
          </w:p>
        </w:tc>
        <w:tc>
          <w:tcPr>
            <w:tcW w:w="10220" w:type="dxa"/>
            <w:vAlign w:val="bottom"/>
            <w:tcBorders>
              <w:top w:val="single" w:sz="8" w:color="0000EE"/>
            </w:tcBorders>
            <w:gridSpan w:val="11"/>
            <w:shd w:val="clear" w:color="auto" w:fill="CCEEFF"/>
          </w:tcPr>
          <w:p>
            <w:pPr>
              <w:spacing w:after="0" w:line="171" w:lineRule="exact"/>
              <w:rPr>
                <w:rFonts w:ascii="Times New Roman" w:cs="Times New Roman" w:eastAsia="Times New Roman" w:hAnsi="Times New Roman"/>
                <w:sz w:val="16"/>
                <w:szCs w:val="16"/>
                <w:color w:val="0000EE"/>
              </w:rPr>
            </w:pPr>
            <w:hyperlink r:id="rId35">
              <w:r>
                <w:rPr>
                  <w:rFonts w:ascii="Times New Roman" w:cs="Times New Roman" w:eastAsia="Times New Roman" w:hAnsi="Times New Roman"/>
                  <w:sz w:val="16"/>
                  <w:szCs w:val="16"/>
                  <w:color w:val="0000EE"/>
                </w:rPr>
                <w:t>Thomas C. Priore, John V. Priore and AESV CreditCard Consulting, LLC with the SEC on September 21, 2026).</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91"/>
        </w:trPr>
        <w:tc>
          <w:tcPr>
            <w:tcW w:w="1020" w:type="dxa"/>
            <w:vAlign w:val="bottom"/>
            <w:tcBorders>
              <w:top w:val="single" w:sz="8" w:color="CCEEFF"/>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3000" w:type="dxa"/>
            <w:vAlign w:val="bottom"/>
            <w:tcBorders>
              <w:top w:val="single" w:sz="8" w:color="0000EE"/>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(f)(1)</w:t>
            </w:r>
          </w:p>
        </w:tc>
        <w:tc>
          <w:tcPr>
            <w:tcW w:w="10240" w:type="dxa"/>
            <w:vAlign w:val="bottom"/>
            <w:gridSpan w:val="12"/>
            <w:shd w:val="clear" w:color="auto" w:fill="CCEEFF"/>
          </w:tcPr>
          <w:p>
            <w:pPr>
              <w:spacing w:after="0" w:line="155" w:lineRule="exact"/>
              <w:rPr>
                <w:rFonts w:ascii="Times New Roman" w:cs="Times New Roman" w:eastAsia="Times New Roman" w:hAnsi="Times New Roman"/>
                <w:sz w:val="16"/>
                <w:szCs w:val="16"/>
                <w:color w:val="0000EE"/>
              </w:rPr>
            </w:pPr>
            <w:hyperlink r:id="rId36">
              <w:r>
                <w:rPr>
                  <w:rFonts w:ascii="Times New Roman" w:cs="Times New Roman" w:eastAsia="Times New Roman" w:hAnsi="Times New Roman"/>
                  <w:sz w:val="16"/>
                  <w:szCs w:val="16"/>
                  <w:color w:val="0000EE"/>
                </w:rPr>
                <w:t>Section 262 of the Delaware General Corporation Law (included as Annex E to the Proxy Statement and incorporated herein by reference).</w:t>
              </w:r>
            </w:hyperlink>
          </w:p>
        </w:tc>
      </w:tr>
      <w:tr>
        <w:trPr>
          <w:trHeight w:val="36"/>
        </w:trPr>
        <w:tc>
          <w:tcPr>
            <w:tcW w:w="1020" w:type="dxa"/>
            <w:vAlign w:val="bottom"/>
            <w:shd w:val="clear" w:color="auto" w:fill="CCEEFF"/>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50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0" w:type="dxa"/>
            <w:vAlign w:val="bottom"/>
            <w:shd w:val="clear" w:color="auto" w:fill="0000EE"/>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ind w:left="1024" w:hanging="1024"/>
        <w:spacing w:after="0"/>
        <w:tabs>
          <w:tab w:leader="none" w:pos="102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ind w:left="1024" w:hanging="1024"/>
        <w:spacing w:after="0"/>
        <w:tabs>
          <w:tab w:leader="none" w:pos="102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ind w:left="284" w:right="20" w:hanging="284"/>
        <w:spacing w:after="0" w:line="280" w:lineRule="auto"/>
        <w:tabs>
          <w:tab w:leader="none" w:pos="28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Company hereby agrees to furnish supplementally a copy of any omitted schedule or exhibit to the SEC upon request.</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8" w:right="31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due inquiry and to the best of my knowledge and belief, I certify that the information set forth in this statement is true, complete and correct.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30, 2026</w:t>
      </w:r>
    </w:p>
    <w:p>
      <w:pPr>
        <w:spacing w:after="0" w:line="1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PRIORITY TECHNOLOGY HOLDINGS, INC.</w:t>
      </w:r>
    </w:p>
    <w:p>
      <w:pPr>
        <w:spacing w:after="0" w:line="200" w:lineRule="exact"/>
        <w:rPr>
          <w:sz w:val="20"/>
          <w:szCs w:val="20"/>
          <w:color w:val="auto"/>
        </w:rPr>
      </w:pPr>
    </w:p>
    <w:p>
      <w:pPr>
        <w:ind w:left="6200"/>
        <w:spacing w:after="0"/>
        <w:tabs>
          <w:tab w:leader="none" w:pos="6620" w:val="left"/>
        </w:tabs>
        <w:rPr>
          <w:sz w:val="20"/>
          <w:szCs w:val="20"/>
          <w:color w:val="auto"/>
        </w:rPr>
      </w:pPr>
      <w:r>
        <w:rPr>
          <w:rFonts w:ascii="Times New Roman" w:cs="Times New Roman" w:eastAsia="Times New Roman" w:hAnsi="Times New Roman"/>
          <w:sz w:val="16"/>
          <w:szCs w:val="16"/>
          <w:color w:val="auto"/>
        </w:rPr>
        <w:t>By:</w:t>
        <w:tab/>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15240</wp:posOffset>
            </wp:positionV>
            <wp:extent cx="257238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Timothy M. O’Leary</w:t>
      </w:r>
    </w:p>
    <w:p>
      <w:pPr>
        <w:spacing w:after="0" w:line="24" w:lineRule="exact"/>
        <w:rPr>
          <w:sz w:val="20"/>
          <w:szCs w:val="20"/>
          <w:color w:val="auto"/>
        </w:rPr>
      </w:pPr>
    </w:p>
    <w:p>
      <w:pPr>
        <w:jc w:val="center"/>
        <w:ind w:left="6740"/>
        <w:spacing w:after="0"/>
        <w:tabs>
          <w:tab w:leader="none" w:pos="20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WD CAPITAL PARTNERS PARENT INC.</w:t>
      </w:r>
    </w:p>
    <w:p>
      <w:pPr>
        <w:spacing w:after="0" w:line="200" w:lineRule="exact"/>
        <w:rPr>
          <w:sz w:val="20"/>
          <w:szCs w:val="20"/>
          <w:color w:val="auto"/>
        </w:rPr>
      </w:pPr>
    </w:p>
    <w:p>
      <w:pPr>
        <w:ind w:left="6200"/>
        <w:spacing w:after="0"/>
        <w:tabs>
          <w:tab w:leader="none" w:pos="6620" w:val="left"/>
        </w:tabs>
        <w:rPr>
          <w:sz w:val="20"/>
          <w:szCs w:val="20"/>
          <w:color w:val="auto"/>
        </w:rPr>
      </w:pPr>
      <w:r>
        <w:rPr>
          <w:rFonts w:ascii="Times New Roman" w:cs="Times New Roman" w:eastAsia="Times New Roman" w:hAnsi="Times New Roman"/>
          <w:sz w:val="16"/>
          <w:szCs w:val="16"/>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15240</wp:posOffset>
            </wp:positionV>
            <wp:extent cx="257238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Name:</w:t>
        <w:tab/>
        <w:t>Thomas C. Priore</w:t>
      </w:r>
    </w:p>
    <w:p>
      <w:pPr>
        <w:spacing w:after="0" w:line="24"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Title:</w:t>
        <w:tab/>
        <w:t>President and Secretary</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WD CAPITAL PARTNERS MERGER SUB INC.</w:t>
      </w:r>
    </w:p>
    <w:p>
      <w:pPr>
        <w:spacing w:after="0" w:line="200" w:lineRule="exact"/>
        <w:rPr>
          <w:sz w:val="20"/>
          <w:szCs w:val="20"/>
          <w:color w:val="auto"/>
        </w:rPr>
      </w:pPr>
    </w:p>
    <w:p>
      <w:pPr>
        <w:ind w:left="6200"/>
        <w:spacing w:after="0"/>
        <w:tabs>
          <w:tab w:leader="none" w:pos="6620" w:val="left"/>
        </w:tabs>
        <w:rPr>
          <w:sz w:val="20"/>
          <w:szCs w:val="20"/>
          <w:color w:val="auto"/>
        </w:rPr>
      </w:pPr>
      <w:r>
        <w:rPr>
          <w:rFonts w:ascii="Times New Roman" w:cs="Times New Roman" w:eastAsia="Times New Roman" w:hAnsi="Times New Roman"/>
          <w:sz w:val="16"/>
          <w:szCs w:val="16"/>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15240</wp:posOffset>
            </wp:positionV>
            <wp:extent cx="257238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Name:</w:t>
        <w:tab/>
        <w:t>Thomas C. Priore</w:t>
      </w:r>
    </w:p>
    <w:p>
      <w:pPr>
        <w:spacing w:after="0" w:line="24"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Title:</w:t>
        <w:tab/>
        <w:t>President and Secretary</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WD CAPITAL PARTNERS HOLDINGS LP</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By: WD Capital Partners Holdings GP LLC, its general partner</w:t>
      </w:r>
    </w:p>
    <w:p>
      <w:pPr>
        <w:spacing w:after="0" w:line="210" w:lineRule="exact"/>
        <w:rPr>
          <w:sz w:val="20"/>
          <w:szCs w:val="20"/>
          <w:color w:val="auto"/>
        </w:rPr>
      </w:pPr>
    </w:p>
    <w:p>
      <w:pPr>
        <w:ind w:left="6200"/>
        <w:spacing w:after="0"/>
        <w:tabs>
          <w:tab w:leader="none" w:pos="6620" w:val="left"/>
        </w:tabs>
        <w:rPr>
          <w:sz w:val="20"/>
          <w:szCs w:val="20"/>
          <w:color w:val="auto"/>
        </w:rPr>
      </w:pPr>
      <w:r>
        <w:rPr>
          <w:rFonts w:ascii="Times New Roman" w:cs="Times New Roman" w:eastAsia="Times New Roman" w:hAnsi="Times New Roman"/>
          <w:sz w:val="16"/>
          <w:szCs w:val="16"/>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15240</wp:posOffset>
            </wp:positionV>
            <wp:extent cx="257238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Name:</w:t>
        <w:tab/>
        <w:t>Thomas C. Priore</w:t>
      </w:r>
    </w:p>
    <w:p>
      <w:pPr>
        <w:spacing w:after="0" w:line="24"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Title:</w:t>
        <w:tab/>
        <w:t>President and Secretary</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WD CAPITAL PARTNERS HOLDINGS GP LLC</w:t>
      </w:r>
    </w:p>
    <w:p>
      <w:pPr>
        <w:spacing w:after="0" w:line="200" w:lineRule="exact"/>
        <w:rPr>
          <w:sz w:val="20"/>
          <w:szCs w:val="20"/>
          <w:color w:val="auto"/>
        </w:rPr>
      </w:pPr>
    </w:p>
    <w:p>
      <w:pPr>
        <w:ind w:left="6200"/>
        <w:spacing w:after="0"/>
        <w:tabs>
          <w:tab w:leader="none" w:pos="6620" w:val="left"/>
        </w:tabs>
        <w:rPr>
          <w:sz w:val="20"/>
          <w:szCs w:val="20"/>
          <w:color w:val="auto"/>
        </w:rPr>
      </w:pPr>
      <w:r>
        <w:rPr>
          <w:rFonts w:ascii="Times New Roman" w:cs="Times New Roman" w:eastAsia="Times New Roman" w:hAnsi="Times New Roman"/>
          <w:sz w:val="16"/>
          <w:szCs w:val="16"/>
          <w:color w:val="auto"/>
        </w:rPr>
        <w:t>By:</w:t>
        <w:tab/>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15240</wp:posOffset>
            </wp:positionV>
            <wp:extent cx="257238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Name:</w:t>
        <w:tab/>
        <w:t>Thomas C. Priore</w:t>
      </w:r>
    </w:p>
    <w:p>
      <w:pPr>
        <w:spacing w:after="0" w:line="24" w:lineRule="exact"/>
        <w:rPr>
          <w:sz w:val="20"/>
          <w:szCs w:val="20"/>
          <w:color w:val="auto"/>
        </w:rPr>
      </w:pPr>
    </w:p>
    <w:p>
      <w:pPr>
        <w:ind w:left="6640"/>
        <w:spacing w:after="0"/>
        <w:tabs>
          <w:tab w:leader="none" w:pos="7180" w:val="left"/>
        </w:tabs>
        <w:rPr>
          <w:sz w:val="20"/>
          <w:szCs w:val="20"/>
          <w:color w:val="auto"/>
        </w:rPr>
      </w:pPr>
      <w:r>
        <w:rPr>
          <w:rFonts w:ascii="Times New Roman" w:cs="Times New Roman" w:eastAsia="Times New Roman" w:hAnsi="Times New Roman"/>
          <w:sz w:val="16"/>
          <w:szCs w:val="16"/>
          <w:color w:val="auto"/>
        </w:rPr>
        <w:t>Title:</w:t>
        <w:tab/>
        <w:t>President and Secretary</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THOMAS C. PRIORE</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15240</wp:posOffset>
            </wp:positionV>
            <wp:extent cx="285305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Thomas C. Priore</w:t>
      </w:r>
    </w:p>
    <w:p>
      <w:pPr>
        <w:spacing w:after="0" w:line="3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240"/>
          </w:cols>
          <w:pgMar w:left="880" w:top="814" w:right="779" w:bottom="1440" w:gutter="0" w:footer="0" w:header="0"/>
        </w:sectPr>
      </w:pPr>
    </w:p>
    <w:bookmarkStart w:id="9" w:name="page10"/>
    <w:bookmarkEnd w:id="9"/>
    <w:p>
      <w:pPr>
        <w:ind w:left="5640"/>
        <w:spacing w:after="0"/>
        <w:rPr>
          <w:sz w:val="20"/>
          <w:szCs w:val="20"/>
          <w:color w:val="auto"/>
        </w:rPr>
      </w:pPr>
      <w:r>
        <w:rPr>
          <w:rFonts w:ascii="Times New Roman" w:cs="Times New Roman" w:eastAsia="Times New Roman" w:hAnsi="Times New Roman"/>
          <w:sz w:val="16"/>
          <w:szCs w:val="16"/>
          <w:b w:val="1"/>
          <w:bCs w:val="1"/>
          <w:color w:val="auto"/>
        </w:rPr>
        <w:t>THE THOMAS PRIORE 2019 GRAT</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Lori A.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15240</wp:posOffset>
            </wp:positionV>
            <wp:extent cx="285305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Lori A. Priore</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Trustee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THE THOMAS C. PRIORE IRREVOCABLE</w:t>
      </w:r>
    </w:p>
    <w:p>
      <w:pPr>
        <w:spacing w:after="0" w:line="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INSURANCE TRUST U/A/D 1/8/2010</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Lori A.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15240</wp:posOffset>
            </wp:positionV>
            <wp:extent cx="285305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Lori A. Priore</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Trustee</w:t>
      </w:r>
    </w:p>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Bertrand H. Smyers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15240</wp:posOffset>
            </wp:positionV>
            <wp:extent cx="285305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tab/>
        <w:t>Bertrand H. Smyers</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Trustee</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JOHN V. PRIORE</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15240</wp:posOffset>
            </wp:positionV>
            <wp:extent cx="285305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John V. Priore</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AESV CREDITCARD CONSULTING, LLC</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John V.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15240</wp:posOffset>
            </wp:positionV>
            <wp:extent cx="285305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V. Priore</w:t>
      </w:r>
    </w:p>
    <w:p>
      <w:pPr>
        <w:spacing w:after="0" w:line="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Title:</w:t>
        <w:tab/>
        <w:t>Manager</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10" w:name="page11"/>
    <w:bookmarkEnd w:id="10"/>
    <w:p>
      <w:pPr>
        <w:ind w:left="10324"/>
        <w:spacing w:after="0"/>
        <w:rPr>
          <w:sz w:val="20"/>
          <w:szCs w:val="20"/>
          <w:color w:val="auto"/>
        </w:rPr>
      </w:pPr>
      <w:r>
        <w:rPr>
          <w:rFonts w:ascii="Times New Roman" w:cs="Times New Roman" w:eastAsia="Times New Roman" w:hAnsi="Times New Roman"/>
          <w:sz w:val="15"/>
          <w:szCs w:val="15"/>
          <w:b w:val="1"/>
          <w:bCs w:val="1"/>
          <w:color w:val="auto"/>
        </w:rPr>
        <w:t>Exhibit (B)(1)</w:t>
      </w: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SEARCHLIGHT CAPITAL PARTNERS, L.P.</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745 Fifth Avenue, 27th Floor</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New York, New York 10151</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September 18, 2026</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WD Capital Partners Holdings LP</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2001 Westside Parkway, Suite 155</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Alpharetta, GA 30004</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Attn: Thomas C. Priore</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Preferred Equity Commitment Letter</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You have advised each of the entities set forth on the signature pages hereto as “Commitment Parties” (each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and a “</w:t>
      </w:r>
      <w:r>
        <w:rPr>
          <w:rFonts w:ascii="Times New Roman" w:cs="Times New Roman" w:eastAsia="Times New Roman" w:hAnsi="Times New Roman"/>
          <w:sz w:val="16"/>
          <w:szCs w:val="16"/>
          <w:u w:val="single" w:color="auto"/>
          <w:color w:val="auto"/>
        </w:rPr>
        <w:t>Commitment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Purchasers</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Commitment Parties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we</w:t>
      </w:r>
      <w:r>
        <w:rPr>
          <w:rFonts w:ascii="Times New Roman" w:cs="Times New Roman" w:eastAsia="Times New Roman" w:hAnsi="Times New Roman"/>
          <w:sz w:val="16"/>
          <w:szCs w:val="16"/>
          <w:color w:val="auto"/>
        </w:rPr>
        <w:t>”) that you intend to acquire, directly or indirectly, Priority Technology Holdings,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(as described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and consummate the other transactions described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(collectively,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Capitalized terms used but not otherwise defined herein are used with the meanings assigned to such terms in the Exhibits hereto. All references herein to Sections or Exhibits shall be construed to refer to Sections of this Commitment Letter (as defined below) and Exhibits to this Commitment Letter.</w:t>
      </w:r>
    </w:p>
    <w:p>
      <w:pPr>
        <w:spacing w:after="0" w:line="162" w:lineRule="exact"/>
        <w:rPr>
          <w:sz w:val="20"/>
          <w:szCs w:val="20"/>
          <w:color w:val="auto"/>
        </w:rPr>
      </w:pPr>
    </w:p>
    <w:p>
      <w:pPr>
        <w:ind w:left="284" w:hanging="284"/>
        <w:spacing w:after="0"/>
        <w:tabs>
          <w:tab w:leader="none" w:pos="28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Commitments</w:t>
      </w:r>
    </w:p>
    <w:p>
      <w:pPr>
        <w:spacing w:after="0" w:line="198" w:lineRule="exact"/>
        <w:rPr>
          <w:sz w:val="20"/>
          <w:szCs w:val="20"/>
          <w:color w:val="auto"/>
        </w:rPr>
      </w:pPr>
    </w:p>
    <w:p>
      <w:pPr>
        <w:jc w:val="both"/>
        <w:ind w:left="4" w:right="20"/>
        <w:spacing w:after="0" w:line="254" w:lineRule="auto"/>
        <w:rPr>
          <w:sz w:val="20"/>
          <w:szCs w:val="20"/>
          <w:color w:val="auto"/>
        </w:rPr>
      </w:pPr>
      <w:r>
        <w:rPr>
          <w:rFonts w:ascii="Times New Roman" w:cs="Times New Roman" w:eastAsia="Times New Roman" w:hAnsi="Times New Roman"/>
          <w:sz w:val="16"/>
          <w:szCs w:val="16"/>
          <w:color w:val="auto"/>
        </w:rPr>
        <w:t>In connection with the Transactions contemplated hereby, each of the Purchasers hereby, severally and not jointly, commits to purchase, and WD Capital Partners Holdings LP, a Delaware limited partnership (“</w:t>
      </w:r>
      <w:r>
        <w:rPr>
          <w:rFonts w:ascii="Times New Roman" w:cs="Times New Roman" w:eastAsia="Times New Roman" w:hAnsi="Times New Roman"/>
          <w:sz w:val="16"/>
          <w:szCs w:val="16"/>
          <w:u w:val="single" w:color="auto"/>
          <w:color w:val="auto"/>
        </w:rPr>
        <w:t>you</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hereby commits to issue and sell to such Purchaser, Series A Preferred Units (the “</w:t>
      </w:r>
      <w:r>
        <w:rPr>
          <w:rFonts w:ascii="Times New Roman" w:cs="Times New Roman" w:eastAsia="Times New Roman" w:hAnsi="Times New Roman"/>
          <w:sz w:val="16"/>
          <w:szCs w:val="16"/>
          <w:u w:val="single" w:color="auto"/>
          <w:color w:val="auto"/>
        </w:rPr>
        <w:t>Preferred Units</w:t>
      </w:r>
      <w:r>
        <w:rPr>
          <w:rFonts w:ascii="Times New Roman" w:cs="Times New Roman" w:eastAsia="Times New Roman" w:hAnsi="Times New Roman"/>
          <w:sz w:val="16"/>
          <w:szCs w:val="16"/>
          <w:color w:val="auto"/>
        </w:rPr>
        <w:t xml:space="preserve">”) with an Initial Stated Value amount set forth opposite such Purchaser’s name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hereto, and with an aggregate Initial Stated Value of up to $160,000,000 (but not less than $150,000,000), which shall be funded in cash (the “</w:t>
      </w:r>
      <w:r>
        <w:rPr>
          <w:rFonts w:ascii="Times New Roman" w:cs="Times New Roman" w:eastAsia="Times New Roman" w:hAnsi="Times New Roman"/>
          <w:sz w:val="16"/>
          <w:szCs w:val="16"/>
          <w:u w:val="single" w:color="auto"/>
          <w:color w:val="auto"/>
        </w:rPr>
        <w:t>Equity Commitment</w:t>
      </w:r>
      <w:r>
        <w:rPr>
          <w:rFonts w:ascii="Times New Roman" w:cs="Times New Roman" w:eastAsia="Times New Roman" w:hAnsi="Times New Roman"/>
          <w:sz w:val="16"/>
          <w:szCs w:val="16"/>
          <w:color w:val="auto"/>
        </w:rPr>
        <w:t xml:space="preserve">”), upon the terms set forth or referred to in this letter, the Transaction Summary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the Summary of Terms and Conditions for the Preferred Units and Common Units (as defined below)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Equity Term Sheet</w:t>
      </w:r>
      <w:r>
        <w:rPr>
          <w:rFonts w:ascii="Times New Roman" w:cs="Times New Roman" w:eastAsia="Times New Roman" w:hAnsi="Times New Roman"/>
          <w:sz w:val="16"/>
          <w:szCs w:val="16"/>
          <w:color w:val="auto"/>
        </w:rPr>
        <w:t xml:space="preserve">”). The purchase, issuance and sale of the Preferred Units is subject only to the conditions set forth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Conditions Annex</w:t>
      </w:r>
      <w:r>
        <w:rPr>
          <w:rFonts w:ascii="Times New Roman" w:cs="Times New Roman" w:eastAsia="Times New Roman" w:hAnsi="Times New Roman"/>
          <w:sz w:val="16"/>
          <w:szCs w:val="16"/>
          <w:color w:val="auto"/>
        </w:rPr>
        <w:t xml:space="preserve">”). This letter, together with </w:t>
      </w:r>
      <w:r>
        <w:rPr>
          <w:rFonts w:ascii="Times New Roman" w:cs="Times New Roman" w:eastAsia="Times New Roman" w:hAnsi="Times New Roman"/>
          <w:sz w:val="16"/>
          <w:szCs w:val="16"/>
          <w:u w:val="single" w:color="auto"/>
          <w:color w:val="auto"/>
        </w:rPr>
        <w:t>Exhibits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including the annexes thereto, collectively constitute this “</w:t>
      </w:r>
      <w:r>
        <w:rPr>
          <w:rFonts w:ascii="Times New Roman" w:cs="Times New Roman" w:eastAsia="Times New Roman" w:hAnsi="Times New Roman"/>
          <w:sz w:val="16"/>
          <w:szCs w:val="16"/>
          <w:u w:val="single" w:color="auto"/>
          <w:color w:val="auto"/>
        </w:rPr>
        <w:t>Commitment Letter</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In connection with the purchase of the Preferred Units, you shall issue to the Purchasers (directly and/or through one or more affiliates, directly or indirectly managed investment funds and accounts) common equity interests of the Issuer (the “</w:t>
      </w:r>
      <w:r>
        <w:rPr>
          <w:rFonts w:ascii="Times New Roman" w:cs="Times New Roman" w:eastAsia="Times New Roman" w:hAnsi="Times New Roman"/>
          <w:sz w:val="16"/>
          <w:szCs w:val="16"/>
          <w:u w:val="single" w:color="auto"/>
          <w:color w:val="auto"/>
        </w:rPr>
        <w:t>Common Units</w:t>
      </w:r>
      <w:r>
        <w:rPr>
          <w:rFonts w:ascii="Times New Roman" w:cs="Times New Roman" w:eastAsia="Times New Roman" w:hAnsi="Times New Roman"/>
          <w:sz w:val="16"/>
          <w:szCs w:val="16"/>
          <w:color w:val="auto"/>
        </w:rPr>
        <w:t>”), on the terms set forth in the Equity Term Sheet (together with the purchase of the Preferred Units, the “</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You agree that no other purchasers will be appointed, no other titles will be awarded and no compensation will be paid to obtain the commitment of any person to become a purchaser of the Preferred Units unless you and we shall so reasonably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1" w:name="page12"/>
    <w:bookmarkEnd w:id="11"/>
    <w:p>
      <w:pPr>
        <w:ind w:left="284" w:hanging="284"/>
        <w:spacing w:after="0"/>
        <w:tabs>
          <w:tab w:leader="none" w:pos="28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Covenants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color w:val="auto"/>
        </w:rPr>
        <w:t>Each Commitment Party hereby covenants, represents and warrants to the Issuer that: (a) it is a legal entity duly formed or organized, validly existing and (to the extent such concept is recognized under the laws of such jurisdiction) in good standing under the laws of its jurisdiction of formation or organization; (b) it has all necessary limited partnership power and authority to execute, deliver and perform this Commitment Letter; (c) the execution, delivery and performance of this Commitment Letter by it has been duly authorized and approved by all necessary action by it and no other action on the part of such Commitment Party or any equity holder of such Commitment Party is necessary to authorize the execution, delivery and performance by such Commitment Party of this Commitment Letter and such execution, delivery and performance does not contravene any provisions of such Commitment Party’s partnership agreement or other organizational documents or side letter thereto or any law binding on such Commitment Party or its assets; (d) this Commitment Letter has been duly and validly executed and delivered by it and constitutes a legal, valid and binding obligation of such Commitment Party, enforceable against it in accordance with the terms of this Commitment Letter, subject to the effects of bankruptcy, insolvency, fraudulent transfer, reorganization, moratorium or other similar laws of general applicability affecting creditors’ rights generally and to general equity principles (whether considered in a proceeding in equity or at law); (e) all consents, approvals, authorizations, permits of, filings with and notifications to, any Governmental Entity (as defined in the Merger Agreement) necessary for the due execution, delivery and performance of this Commitment Letter by such Commitment Party have been obtained or made and all conditions thereof have been duly complied with; (f) such Commitment Party has, as of the date hereof and at Closing, will have the enforceable right to obtain sufficient liquid and unencumbered assets from its limited partners, available lines of credit or other sources of immediately available funds in an amount equal to the Equity Commitment (for purposes of clarity, it is hereby acknowledged that such funds may not be in the possession of such Commitment Party at all times but such Commitment Party has and shall have the ability to timely call such funds in order to effect the Closing (as defined in the Merger Agreement) in accordance with the terms of the Merger Agreement); (g) its execution, delivery and performance of this Commitment Letter does not and will not violate, contravene, conflict with or result in any violation of, or default (with or without notice or lapse of time or both) under any contract to which it is a party, except as would not prevent, impair or delay its ability to perform its obligations hereunder; and (h) each Commitment Party’s pro rata Equity Commitment does not exceed the maximum amount such Commitment Party is permitted to invest in any one portfolio investment pursuant to the terms of its organizational documents or otherwise, or no such restriction exists.</w:t>
      </w:r>
    </w:p>
    <w:p>
      <w:pPr>
        <w:spacing w:after="0" w:line="168"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The Issuer hereby covenants, represents and warrants to Commitment Parties that: (a) it is a legal entity duly formed or organized, validly existing and in good standing under the laws of the State of Delaware; (b) it has all necessary limited partnership power and authority to execute, deliver and perform this Letter; (c) the execution, delivery and performance of this Commitment Letter by it has been duly and validly authorized and approved by all necessary action by it and no other action on the part of the Issuer or any equity holder of the Issuer is necessary to authorize the execution, delivery and performance by the Issuer of this Commitment Letter and such execution, delivery and performance does not contravene any provision of the Issuer’s partnership agreement or other organizational documents or side letter thereto or any law binding on the Issuer or its assets; (d) this Commitment Letter has been duly and validly executed and delivered by it and constitutes a legal, valid and binding obligation of the Issuer, enforceable against the Issuer in accordance with the terms of this Commitment Letter, subject to the effects of bankruptcy, insolvency, fraudulent transfer, reorganization, moratorium or other similar laws of general applicability affecting creditors’ rights generally and to general equity principles (whether considered in a proceeding in equity or at law); and (e) all consents, approvals, authorizations, permits of, filings with and notifications to, any Governmental Entity necessary for the due execution, delivery and performance of this Commitment Letter by the Issuer have been obtained or made and all conditions thereof have been duly complied with.</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2" w:name="page13"/>
    <w:bookmarkEnd w:id="12"/>
    <w:p>
      <w:pPr>
        <w:jc w:val="both"/>
        <w:ind w:left="4" w:right="20"/>
        <w:spacing w:after="0" w:line="252" w:lineRule="auto"/>
        <w:rPr>
          <w:sz w:val="20"/>
          <w:szCs w:val="20"/>
          <w:color w:val="auto"/>
        </w:rPr>
      </w:pPr>
      <w:r>
        <w:rPr>
          <w:rFonts w:ascii="Times New Roman" w:cs="Times New Roman" w:eastAsia="Times New Roman" w:hAnsi="Times New Roman"/>
          <w:sz w:val="16"/>
          <w:szCs w:val="16"/>
          <w:color w:val="auto"/>
        </w:rPr>
        <w:t xml:space="preserve">Each Commitment Party shall provide to the Company for inclusion in the Restructuring Notices (as defined in the Merger Agreement) all information regarding the relevant persons or entities of Searchlight Capital Partners, L.P. (as determined by counsel for such entities or requested by the applicable Governmental Entity (as defined in the Merger Agreement)) as if such entities were deemed, as of the Closing to exercise “Control” as set forth in each relevant state’s money transmission statute within forty-five (45) days following the execution of this Commitment Letter (in the case of preparation and submission) or the date the Governmental Entity’s request is communicated to such Commitment Party (in the case of supplementation);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personal, financial, fingerprinting, background check or other sensitive information that is required to be provided, such Commitment Party may provide such information directly to the applicable Governmental Entity or applicable regulatory filing system, and such Commitment Party shall keep the Company reasonably informed of the status of such submission and provide such evidence of submission as may be reasonably requested by the Company and lawfully provided;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with respect to any such information that is not available with such forty-five (45) days period, such Commitment Party shall cause such information to be provided as promptly as practicable thereafter and shall keep the Company reasonably informed of the status of obtaining such information.</w:t>
      </w:r>
    </w:p>
    <w:p>
      <w:pPr>
        <w:spacing w:after="0" w:line="171" w:lineRule="exact"/>
        <w:rPr>
          <w:sz w:val="20"/>
          <w:szCs w:val="20"/>
          <w:color w:val="auto"/>
        </w:rPr>
      </w:pPr>
    </w:p>
    <w:p>
      <w:pPr>
        <w:ind w:left="284" w:hanging="284"/>
        <w:spacing w:after="0"/>
        <w:tabs>
          <w:tab w:leader="none" w:pos="28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 Payment</w:t>
      </w:r>
    </w:p>
    <w:p>
      <w:pPr>
        <w:spacing w:after="0" w:line="198"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You agree to pay (or cause to be paid) to the Commitment Parties a closing payment (the “</w:t>
      </w:r>
      <w:r>
        <w:rPr>
          <w:rFonts w:ascii="Times New Roman" w:cs="Times New Roman" w:eastAsia="Times New Roman" w:hAnsi="Times New Roman"/>
          <w:sz w:val="16"/>
          <w:szCs w:val="16"/>
          <w:u w:val="single" w:color="auto"/>
          <w:color w:val="auto"/>
        </w:rPr>
        <w:t>Closing Payment</w:t>
      </w:r>
      <w:r>
        <w:rPr>
          <w:rFonts w:ascii="Times New Roman" w:cs="Times New Roman" w:eastAsia="Times New Roman" w:hAnsi="Times New Roman"/>
          <w:sz w:val="16"/>
          <w:szCs w:val="16"/>
          <w:color w:val="auto"/>
        </w:rPr>
        <w:t xml:space="preserve">”) in respect of the Preferred Units funded in cash on the Closing Date as expressly set forth in the Equity Term Sheet under the section labeled “Closing Payment,” which Closing Payment shall be allocated among the Commitment Parties based on their pro rata share of the Equity Commitment as set forth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and which the parties hereto agree to treat for U.S. federal and other applicable tax purposes as an adjustment (i.e., discount) to the purchase price of the Preferred Units and/or Common Units. Once paid, except as agreed in writing by the parties hereto, such amount shall not be refundable under any circumstances.</w:t>
      </w:r>
    </w:p>
    <w:p>
      <w:pPr>
        <w:spacing w:after="0" w:line="162" w:lineRule="exact"/>
        <w:rPr>
          <w:sz w:val="20"/>
          <w:szCs w:val="20"/>
          <w:color w:val="auto"/>
        </w:rPr>
      </w:pPr>
    </w:p>
    <w:p>
      <w:pPr>
        <w:ind w:left="284" w:hanging="284"/>
        <w:spacing w:after="0"/>
        <w:tabs>
          <w:tab w:leader="none" w:pos="28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Shop; Alternate Transaction</w:t>
      </w:r>
    </w:p>
    <w:p>
      <w:pPr>
        <w:spacing w:after="0" w:line="198"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You agree and acknowledge that, in connection with the consummation of the Acquisition and subject to our compliance with the terms and conditions of this Commitment Letter, in no event shall the Acquisition be consummated without simultaneously consummating the Investment (and we may specifically enforce the foregoing).</w:t>
      </w:r>
    </w:p>
    <w:p>
      <w:pPr>
        <w:spacing w:after="0" w:line="144"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 xml:space="preserve">From the date hereof until the earliest of: (a) the consummation of the Acquisition; and (b) the valid termination of the Merger Agreement in accordance with its terms (or such later date as you and the Purchasers shall have mutually agreed to extent the Purchasers’ commitments hereunder), you (i) shall not, and shall cause your affiliates (excluding the Company and its subsidiaries), agents, representatives, counsel, consultants and advisors and any other person acting on your or their behalf not to, directly or indirectly solicit, participate in any negotiations or discussions with, or provide or afford access to information to any third party with respect to, or otherwise facilitate, encourage or accept any offers for the purchase of Preferred Units or any alternative preferred equity, equity or debt financing arrangements in connection with the Transactions (other than in connection with the Closing Date Debt Incurrence (as defined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or rollover by existing equity holders of the Company) and (ii) shall terminate or have terminated prior to the date hereof any agreement or arrangement related to the foregoing to which you or your affiliates are parties, as well as any activities and discussions related to the foregoing and may be continuing on the date hereof with any party other than the Purchasers and their representatives.</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3" w:name="page14"/>
    <w:bookmarkEnd w:id="13"/>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 xml:space="preserve">If the Acquisition is not consummated on the date that is on or prior to the Expiration Date, and during the period from the Expiration Date until the date that is six months after the Expiration Date, you or any of your affiliates consummate an acquisition (or any similar transaction) that is substantially similar to the Transaction described in the Transaction Summary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in any case, includes an acquisition of the equity interests of the Company by entities affiliated with Thomas C. Priore following which the Company ceases to be listed on any national securities exchange (any such transaction, an “</w:t>
      </w:r>
      <w:r>
        <w:rPr>
          <w:rFonts w:ascii="Times New Roman" w:cs="Times New Roman" w:eastAsia="Times New Roman" w:hAnsi="Times New Roman"/>
          <w:sz w:val="16"/>
          <w:szCs w:val="16"/>
          <w:u w:val="single" w:color="auto"/>
          <w:color w:val="auto"/>
        </w:rPr>
        <w:t>Alternate Transaction</w:t>
      </w:r>
      <w:r>
        <w:rPr>
          <w:rFonts w:ascii="Times New Roman" w:cs="Times New Roman" w:eastAsia="Times New Roman" w:hAnsi="Times New Roman"/>
          <w:sz w:val="16"/>
          <w:szCs w:val="16"/>
          <w:color w:val="auto"/>
        </w:rPr>
        <w:t>”), in each case, with preferred equity or holding company indebtedness as a financing source, which for the avoidance of doubt may be provided to the Company or one or more of its subsidiaries to effect such Alternate Transaction, then you agree that you shall offer the Purchasers the bona fide reasonable opportunity to provide preferred equity financing or holding company indebtedness for such Alternate Transaction on substantially the same terms and conditions contemplated by this Commitment Letter, except that the amount of such financing shall be proportionately adjusted upward or downward, as applicable, to reflect the actual amount of preferred equity or holding company indebtedness financing required to consummate such Alternate Transaction as of the date thereof.</w:t>
      </w:r>
    </w:p>
    <w:p>
      <w:pPr>
        <w:spacing w:after="0" w:line="166"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 xml:space="preserve">If the Acquisition is not consummated on or prior to the Expiration Date and, following the date that is six months after the Expiration Date, you or any of your affiliates propose to consummate an Alternate Transaction with preferred equity or holding company indebtedness as a financing source provided by any unaffiliated third-party, which for the avoidance of doubt may be provided to the Company or one or more of its subsidiaries to effect such Alternate Transaction, then you agree that, prior to entering into any binding agreement with such unaffiliated third-party with respect to such financing, you shall first offer the Purchasers the right, but not the obligation, to provide such financing on the same terms and conditions offered or proposed to be offered to such unaffiliated third-party. The Purchasers shall have ten business days from receipt of such offer (which offer shall include all material terms thereof in reasonable detail) to notify you of their election to provide such financing on such terms. If the Purchasers do not so notify you of their election within such period, you shall be free to consummate such Alternate Transaction with such unaffiliated third-party on terms no more favorable in the aggregate to such financing source than those offered to the Purchasers;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the terms of such financing are subsequently modified to be more favorable in the aggregate to such third-party, then you shall re-offer the Purchasers the right of first offer on such modified terms in accordance with this paragraph.</w:t>
      </w:r>
    </w:p>
    <w:p>
      <w:pPr>
        <w:spacing w:after="0" w:line="166"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 xml:space="preserve">If an Alternate Transaction is completed using preferred equity or holding company indebtedness as a financing source and you were required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to offer the Purchasers the bona fide reasonable opportunity to provide such financing but did not so offer a bona fide reasonable opportunity, then you agree to pay (or cause to be paid), upon the closing of such Alternate Transaction, in cash to the Purchasers, an aggregate amount equal to 50% of the Closing Payment, based on the stated value of such preferred equity or holding company indebtedness funding, and allocated among the Purchasers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w:t>
      </w:r>
    </w:p>
    <w:p>
      <w:pPr>
        <w:spacing w:after="0" w:line="162" w:lineRule="exact"/>
        <w:rPr>
          <w:sz w:val="20"/>
          <w:szCs w:val="20"/>
          <w:color w:val="auto"/>
        </w:rPr>
      </w:pPr>
    </w:p>
    <w:p>
      <w:pPr>
        <w:ind w:left="284" w:hanging="284"/>
        <w:spacing w:after="0"/>
        <w:tabs>
          <w:tab w:leader="none" w:pos="28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w:t>
      </w:r>
    </w:p>
    <w:p>
      <w:pPr>
        <w:spacing w:after="0" w:line="198" w:lineRule="exact"/>
        <w:rPr>
          <w:sz w:val="20"/>
          <w:szCs w:val="20"/>
          <w:color w:val="auto"/>
        </w:rPr>
      </w:pPr>
    </w:p>
    <w:p>
      <w:pPr>
        <w:ind w:left="4" w:right="20"/>
        <w:spacing w:after="0" w:line="280" w:lineRule="auto"/>
        <w:rPr>
          <w:sz w:val="20"/>
          <w:szCs w:val="20"/>
          <w:color w:val="auto"/>
        </w:rPr>
      </w:pPr>
      <w:r>
        <w:rPr>
          <w:rFonts w:ascii="Times New Roman" w:cs="Times New Roman" w:eastAsia="Times New Roman" w:hAnsi="Times New Roman"/>
          <w:sz w:val="16"/>
          <w:szCs w:val="16"/>
          <w:color w:val="auto"/>
        </w:rPr>
        <w:t>The Purchasers’ commitment to purchase the Preferred Units on the Closing Date is subject only to the conditions set forth in the Conditions Annex, and upon satisfaction (or waiver by the Purchasers) of the conditions set forth therein, the making of the Investment on the Closing Date shall occur.</w:t>
      </w:r>
    </w:p>
    <w:p>
      <w:pPr>
        <w:spacing w:after="0" w:line="144" w:lineRule="exact"/>
        <w:rPr>
          <w:sz w:val="20"/>
          <w:szCs w:val="20"/>
          <w:color w:val="auto"/>
        </w:rPr>
      </w:pPr>
    </w:p>
    <w:p>
      <w:pPr>
        <w:ind w:left="284" w:hanging="284"/>
        <w:spacing w:after="0"/>
        <w:tabs>
          <w:tab w:leader="none" w:pos="28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Limited Guaranty</w:t>
      </w:r>
    </w:p>
    <w:p>
      <w:pPr>
        <w:spacing w:after="0" w:line="198"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color w:val="auto"/>
        </w:rPr>
        <w:t xml:space="preserve">Concurrently with the execution and delivery of this Commitment Letter, the Commitment Parties are executing and delivering to the Company a limited guaranty related to certain of Parent’s obligations under the Merger Agreement (the “Limited Guaranty”). Notwithstanding anything to the contrary set forth in this Commitment Letter, the Merger Agreement or the Limited Guaranty, (a) the Company’s or any of its Related Parties’ (as defined in the Limited Guaranty) right to assert any Permitted Claim (as defined in the Limited Guaranty) against the applicable Person (including the Company’s rights to enforce this Commitment Letter pursuant to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and (b) the Company or any of its Related Parties’ right to assert a claim arising out of or relating to fraud of the Commitment Parties (collectively, the claims set forth in clauses (a) and (b), the “</w:t>
      </w:r>
      <w:r>
        <w:rPr>
          <w:rFonts w:ascii="Times New Roman" w:cs="Times New Roman" w:eastAsia="Times New Roman" w:hAnsi="Times New Roman"/>
          <w:sz w:val="16"/>
          <w:szCs w:val="16"/>
          <w:u w:val="single" w:color="auto"/>
          <w:color w:val="auto"/>
        </w:rPr>
        <w:t>Retained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Claims</w:t>
      </w:r>
      <w:r>
        <w:rPr>
          <w:rFonts w:ascii="Times New Roman" w:cs="Times New Roman" w:eastAsia="Times New Roman" w:hAnsi="Times New Roman"/>
          <w:sz w:val="16"/>
          <w:szCs w:val="16"/>
          <w:color w:val="auto"/>
        </w:rPr>
        <w:t xml:space="preserve">”), shall be, and are intended to, be the sole and exclusive direct or indirect remedies available to the Company, its affiliates or its or their respective Related Parties and any other Person, directly or indirectly, claiming by, through or for the benefit of any of the foregoing, against the Commitment Parties or any Related Party of the Commitment Parties in its capacity as such for any liability, obligation, loss, damage or recovery of any kind whatsoever (including any multiple, consequential, indirect, special, statutory, exemplary or punitive damages or damages arising from loss of profits, business opportunities or goodwill, diminution in value or any other losses, whether at law, in equity, in contract, in tort or otherwise) arising under or in connection with any breach of this Commitment Letter, the Merger Agreement, the Limited Guaranty, or any documents or instruments delivered in connection herewith or therewith or the transactions contemplated hereby or thereby (including the termination or abandonment thereof) or otherwise (in each case, whether willfully, intentionally, unintentionally or otherwise) or the failure of the Merger to be consummated for any reason or otherwise in connection with the transactions contemplated hereby and thereby or otherwise or in respect of any oral representations made or alleged to have been made in connection herewith or therewith, it being expressly agreed and acknowledged that no personal liability whatsoever shall attach to, be imposed on, or otherwise be incurred by any Related Party of the Commitment Parties (other than the applicable Persons pursuant to Permitted Claims), as such, for any obligations under the Merger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the Commitment Parties’ purchase of the Preferred Units as contemplated hereunder and the closing of the Merger occurs, none of the Company or any of its affiliates or Related Parties, or any other Person, directly or indirectly, claiming by, through or for the benefit of any of the foregoing, may recover any amount whatsoever under the Limited Guaranty. Notwithstanding the foregoing, the preceding sentence shall not in any respect limit claims of the Issuer against the Commitment Parties arising directly out of the Commitment Parties’ obligations under this Commitment Letter.</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 w:name="page15"/>
    <w:bookmarkEnd w:id="14"/>
    <w:p>
      <w:pPr>
        <w:ind w:left="284" w:hanging="284"/>
        <w:spacing w:after="0"/>
        <w:tabs>
          <w:tab w:leader="none" w:pos="28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Parties in Interest; Third Party Beneficiaries</w:t>
      </w:r>
    </w:p>
    <w:p>
      <w:pPr>
        <w:spacing w:after="0" w:line="19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 xml:space="preserve">Each of the parties hereto hereby agrees that its respective agreements and obligations set forth herein are solely for the benefit of the other parties hereto and each of its respective successors and permitted assigns, in accordance with and subject to the terms of this Commitment Letter. This Commitment Letter is not intended to, and does not, confer upon any Person other than the parties hereto and their respective successors and permitted assigns any benefits, rights or remedies under or by reason of, or any rights to enforce or cause the Issuer to enforce, the obligations set forth herein, except that (a) the Company (i) is an express third-party beneficiary of the last paragraph of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and is intended to benefit therefrom and (ii) shall expressly be entitled to enforce the rights of the Issuer under this Commitment Letter, solely with respect to the Company’s right to seek specific performance pursuant to Section 9.9(b) of the Merger Agreement in accordance with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of this Commitment Letter, and (b) each of the Commitment Parties’ Related Parties is an express third-party beneficiary of this Commitment Letter for the purposes of relying on and enforcing the provisions of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The Commitment Parties acknowledge that the Company has specifically relied on this Commitment Letter in determining to enter into the Merger Agreement.</w:t>
      </w:r>
    </w:p>
    <w:p>
      <w:pPr>
        <w:spacing w:after="0" w:line="166" w:lineRule="exact"/>
        <w:rPr>
          <w:sz w:val="20"/>
          <w:szCs w:val="20"/>
          <w:color w:val="auto"/>
        </w:rPr>
      </w:pPr>
    </w:p>
    <w:p>
      <w:pPr>
        <w:ind w:left="284" w:hanging="284"/>
        <w:spacing w:after="0"/>
        <w:tabs>
          <w:tab w:leader="none" w:pos="28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Enforceability</w:t>
      </w:r>
    </w:p>
    <w:p>
      <w:pPr>
        <w:spacing w:after="0" w:line="198"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color w:val="auto"/>
        </w:rPr>
        <w:t xml:space="preserve">This Commitment Letter may only be enforced by (a) the Issuer or (b) the Company (and, pursuant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the Company is an express third-party beneficiary of this Commitment Letter and may rely on and enforce the provisions of this Commitment Letter accordingly) pursuant to or in connection with the Company’s rights, solely pursuant to and following the satisfaction of the terms and conditions of Section 9.9(b) of the Merger Agreement to obtain specific performance or other equitable relief to enforce Parent’s obligation to cause the Commitment Parties (and its successors and permitted assigns (solely if and to the extent an assignment has occurred in accordance with the terms of this Commitment Letter)) to fund (or to directly enforce the Commitment Parties’ obligation to fund) the Equity Commitment in accordance with the terms hereof, pursuant to, and subject to, and solely in accordance with, the terms of </w:t>
      </w:r>
      <w:r>
        <w:rPr>
          <w:rFonts w:ascii="Times New Roman" w:cs="Times New Roman" w:eastAsia="Times New Roman" w:hAnsi="Times New Roman"/>
          <w:sz w:val="16"/>
          <w:szCs w:val="16"/>
          <w:u w:val="single" w:color="auto"/>
          <w:color w:val="auto"/>
        </w:rPr>
        <w:t>Section 9.9</w:t>
      </w:r>
      <w:r>
        <w:rPr>
          <w:rFonts w:ascii="Times New Roman" w:cs="Times New Roman" w:eastAsia="Times New Roman" w:hAnsi="Times New Roman"/>
          <w:sz w:val="16"/>
          <w:szCs w:val="16"/>
          <w:color w:val="auto"/>
        </w:rPr>
        <w:t xml:space="preserve"> of the Merger Agreement and the rights and obligations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notwithstanding the foregoing, the Company’s right to enforce the Commitment Parties’ obligation to fund the Equity Commitment shall arise solely pursuant and subject to the conditions set forth in </w:t>
      </w:r>
      <w:r>
        <w:rPr>
          <w:rFonts w:ascii="Times New Roman" w:cs="Times New Roman" w:eastAsia="Times New Roman" w:hAnsi="Times New Roman"/>
          <w:sz w:val="16"/>
          <w:szCs w:val="16"/>
          <w:u w:val="single" w:color="auto"/>
          <w:color w:val="auto"/>
        </w:rPr>
        <w:t>Section 9.9(b)</w:t>
      </w:r>
      <w:r>
        <w:rPr>
          <w:rFonts w:ascii="Times New Roman" w:cs="Times New Roman" w:eastAsia="Times New Roman" w:hAnsi="Times New Roman"/>
          <w:sz w:val="16"/>
          <w:szCs w:val="16"/>
          <w:color w:val="auto"/>
        </w:rPr>
        <w:t xml:space="preserve"> of the Merger Agreement. Neither the Issuer’s creditors nor any other Person (other than the Company to the extent provided herein) shall have any right to enforce this Commitment Letter or to cause the Issuer to enforce this Commitment Letter. Each party hereto hereby waives any requirement for the security or posting of any bond in connection with such remedies. The election to pursue an injunction, specific performance or other equitable relief shall not restrict, impair or otherwise limit the Company from, in the alternative, seeking to terminate the Merger Agreement and pursuing payment of the Parent Termination Fee, solely to the extent payable pursuant to the terms of the Merger Agreement. Notwithstanding anything to the contrary contained in this Commitment Letter or in the Limited Guaranty, under no circumstance shall the Company be permitted or entitled to receive both (a) a grant of specific performance hereunder or under the Merger Agreement to cause the Closing to occur or to cause the Issuer to enforce the funding of the Equity Commitment under this Commitment Letter, and (b) payment of the Parent Termination Fee or any monetary damages for breach of the Merger Agreement or this Commitment Letter.</w:t>
      </w:r>
    </w:p>
    <w:p>
      <w:pPr>
        <w:spacing w:after="0" w:line="3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5" w:name="page16"/>
    <w:bookmarkEnd w:id="15"/>
    <w:p>
      <w:pPr>
        <w:ind w:left="284" w:hanging="284"/>
        <w:spacing w:after="0"/>
        <w:tabs>
          <w:tab w:leader="none" w:pos="28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p>
    <w:p>
      <w:pPr>
        <w:spacing w:after="0" w:line="198"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 xml:space="preserve">You agree that you will not disclose the contents of this Commitment Letter or any of its terms or substance to any third party (including, without limitation, any financial institution or intermediary) without the Purchasers’ prior written consent, except the Commitment Letter may be disclosed (a) to your affiliates, equityholders, members, partners, and the directors, officers, employees, attorneys, accountants, independent auditors, agents and other advisors of any of the foregoing, in connection with the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Commitment Letter may also be disclosed to the Company and its equity holders, directors, officers, employees, affiliates, members, partners, stockholders, attorneys, accountants, independent auditors, agents and other advisors, in each case on a confidential and need-to-know basis, (b) to the extent compelled in a judicial or administrative proceeding or as otherwise required by law (in which case you agree, to the extent permitted by law and reasonably practicable, to (i) promptly inform the Purchasers prior to any such disclosure or such later time as may be required by law and (ii) use commercially reasonable efforts to ensure that any such information so disclosed is accorded confidential treatment), (c) in any proxy statement or other filing relating to the Merger or the Transactions, (d) to prospective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additional investors, (e) to the extent such information becomes publicly available other than by reason of improper disclosure by you in violation of any confidentiality obligations hereunder, (f) if the Purchasers consent to such proposed disclosure (such consent not to be unreasonably withheld, delayed or conditioned) and (g) in connection with the enforcement of any rights or remedies under this Commitment Letter, the Merger Agreement or the Limited Guaranty. You agree to inform all such persons who receive non-public information concerning the Purchasers or this Commitment Letter that such information is confidential and may not be used for any purpose other than in connection with the Transactions and may not be disclosed to any other person, except pursuant to any of the exceptions in the immediately preceding sentence.</w:t>
      </w:r>
    </w:p>
    <w:p>
      <w:pPr>
        <w:spacing w:after="0" w:line="165"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6"/>
          <w:szCs w:val="16"/>
          <w:color w:val="auto"/>
        </w:rPr>
        <w:t>The Purchasers hereby acknowledge, confirm and agree to be bound by, and that the terms of this Commitment Letter are subject to in all cases, the terms of that certain Joinder to Confidentiality Agreement, dated June 23, 2026, by and between Searchlight Capital Partners, L.P. and Thomas Priore (the “</w:t>
      </w:r>
      <w:r>
        <w:rPr>
          <w:rFonts w:ascii="Times New Roman" w:cs="Times New Roman" w:eastAsia="Times New Roman" w:hAnsi="Times New Roman"/>
          <w:sz w:val="16"/>
          <w:szCs w:val="16"/>
          <w:u w:val="single" w:color="auto"/>
          <w:color w:val="auto"/>
        </w:rPr>
        <w:t>NDA Joinder</w:t>
      </w:r>
      <w:r>
        <w:rPr>
          <w:rFonts w:ascii="Times New Roman" w:cs="Times New Roman" w:eastAsia="Times New Roman" w:hAnsi="Times New Roman"/>
          <w:sz w:val="16"/>
          <w:szCs w:val="16"/>
          <w:color w:val="auto"/>
        </w:rPr>
        <w:t>”) as though the Purchasers were an original party thereto and acknowledge and agree that the Purchasers are “Receiving Party Representatives” (as defined in the NDA Joinder) thereunder. Notwithstanding anything to the contrary in the NDA Joinder, each Purchaser shall be permitted to disclose any information received by it in connection with the Transactions and related transactions (including any information obtained by it based on a review of any books and records relating to the Issuer and the Company or any of their respective subsidiaries and affiliates) to its managed funds, managed accounts, limited partners and current and prospective direct or indirect investors on a “need to know” basis solely in connection with the transactions contemplated hereby, in each case, who are bound by confidentiality or similar agreements with the Purchasers or their affiliates.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6" w:name="page17"/>
    <w:bookmarkEnd w:id="16"/>
    <w:p>
      <w:pPr>
        <w:ind w:left="284" w:hanging="284"/>
        <w:spacing w:after="0"/>
        <w:tabs>
          <w:tab w:leader="none" w:pos="28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Expenses</w:t>
      </w:r>
    </w:p>
    <w:p>
      <w:pPr>
        <w:spacing w:after="0" w:line="198"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16"/>
          <w:szCs w:val="16"/>
          <w:color w:val="auto"/>
        </w:rPr>
        <w:t>You agree (a) to indemnify and hold harmless each of the Purchasers, their respective affiliates and controlling persons and the respective directors, officers, employees, partners, equityholders, agents, advisors and other representatives of each of the foregoing (each, an “</w:t>
      </w:r>
      <w:r>
        <w:rPr>
          <w:rFonts w:ascii="Times New Roman" w:cs="Times New Roman" w:eastAsia="Times New Roman" w:hAnsi="Times New Roman"/>
          <w:sz w:val="16"/>
          <w:szCs w:val="16"/>
          <w:u w:val="single" w:color="auto"/>
          <w:color w:val="auto"/>
        </w:rPr>
        <w:t>indemnified person</w:t>
      </w:r>
      <w:r>
        <w:rPr>
          <w:rFonts w:ascii="Times New Roman" w:cs="Times New Roman" w:eastAsia="Times New Roman" w:hAnsi="Times New Roman"/>
          <w:sz w:val="16"/>
          <w:szCs w:val="16"/>
          <w:color w:val="auto"/>
        </w:rPr>
        <w:t>”) from and against any and all losses, claims, damages and liabilities to which any such indemnified person may become subject arising out of or in connection with this Commitment Letter, the Investment, the use of the proceeds thereof and the Transactions or any claim, litigation, investigation, inquiry or proceeding relating to any of the foregoing (a “</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xml:space="preserve">”), regardless of whether any indemnified person is a party thereto or whether such Proceeding is brought by you, any of your affiliates, your equityholders or creditors or any third party, and to reimburse each indemnified person within 30 days following written demand therefor (together with reasonable backup documentation supporting such reimbursement request) for any reasonable and documented legal or other out-of-pocket expenses incurred in connection with investigating or defending any Proceeding (but limited, in the case of legal fees and expenses, to one counsel to such indemnified person, taken as a whole, and, solely in the case of an actual or potential conflict of interest, one additional counsel to all affected indemnified persons, taken as a whole (and, if reasonably necessary, of one local counsel in any relevant material jurisdiction to all such persons, taken as a whole and, solely in the case of an actual or potential conflict of interest, one additional local counsel to all affected indemnified persons, taken as a whole, in each such material relevant jurisdiction));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foregoing indemnity will not, as to any indemnified person, apply to losses, claims, damages, liabilities or related expenses to the extent they arise from (i) the willful misconduct, bad faith or gross negligence of, or material breach of this Commitment Letter, the Limited Guaranty or the Equity Documentation by, such indemnified person (or any of its Related Parties), in each case, as determined by a final non-appealable judgment of a court of competent jurisdiction, or (ii) any dispute solely among indemnified persons which does not arise out of any act or omission of the Issuer or any of its subsidiaries or affiliates, and (b) if the Closing Date occurs, to reimburse each Purchaser on the Closing Date (to the extent an invoice therefor is received at least two business days prior to the Closing Date, or if invoiced after such date, within 30 days following receipt of the relevant invoice), for all reasonable and documented out-of-pocket expenses (including due diligence expenses, but limited, in the case of legal fees and expenses, to (i) the reasonable fees, charges and disbursements of Latham &amp; Watkins LLP, acting as legal counsel to the Purchasers and (ii) if reasonably necessary, the fees, charges and disbursements of one local counsel in any relevant material local jurisdiction for all such persons, taken as a whole), incurred in connection with the Preferred Units and any related documentation (including this Commitment Letter and the Equity Documentation), which amounts (not including indemnification amounts) shall not exceed $1,000,000 without your consent. The foregoing provisions of this paragraph shall be superseded, in each case, to the extent covered thereby by the applicable provisions of the Equity Documentation upon execution thereof and thereafter shall have no further force and effect.</w:t>
      </w:r>
    </w:p>
    <w:p>
      <w:pPr>
        <w:spacing w:after="0" w:line="182"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 xml:space="preserve">None of the indemnified persons, you or the Target or any of your or their respective affiliates or the respective directors, officers, employees, agents, advisors or other representatives of any of the foregoing shall be liable for any special, indirect, consequential (including lost profits or diminution of value) or punitive damages in connection with this Commitment Letter or the Preferred Units (including the use or intended use of the proceeds of the Preferred Units) or the transactions contemplated hereby or thereby;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nothing contained in this sentence shall limit your indemnification obligations hereinabove to the extent such punitive damages are awarded to a third party in connection with a claim for which such indemnified person is otherwise entitled to indemnification hereunder.</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 w:name="page18"/>
    <w:bookmarkEnd w:id="17"/>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 xml:space="preserve">No indemnified person or any other party hereto shall be liable for any damages arising from the use by any person (other than such indemnified person (or its Related Parties) or any other party hereto) of written information with respect to the Issuer, the Company and each of their respective subsidiaries in connection with the Transactions, or other materials obtained through electronic, telecommunications or other information transmission systems, except to the extent of direct, as opposed to indirect, consequential or punitive, damages arising from gross negligence, bad faith or willful misconduct of, or material breach of this Commitment Letter, the Limited Guaranty or the Equity Documentation by, such indemnified person (or any of its Related Parties), or such other party hereto, as applicable, in each case, as determined by a final non-appealable judgment of a court of competent jurisdiction;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contained in this sentence shall limit your indemnification obligations hereinabove to the extent any such punitive damages are included in any third party claim in connection with which such indemnified person is otherwise entitled to indemnification hereunder. In the event that any Proceeding is instituted involving any indemnified person for which indemnification is to be sought hereunder, then such indemnified person will promptly notify you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failure of any indemnified person to so notify you shall not affect any of your obligations under this Section, except to the extent that you are actually and materially prejudiced by such failure to so notify you.</w:t>
      </w:r>
    </w:p>
    <w:p>
      <w:pPr>
        <w:spacing w:after="0" w:line="171"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You shall not be liable for, and the indemnification obligation in the preceding paragraph shall not apply to, any settlement of any Proceeding effected by any indemnified person without your consent (which consent shall not be unreasonably withheld, conditioned or delayed) or any other loss, claim, damage, liability and/or expense incurred in connection therewith, but if any such Proceeding is settled with your written consent, or if there is a final non-appealable judgment of a court of competent jurisdiction against an indemnified person in any such Proceeding, you agree to indemnify and hold harmless such indemnified person in the manner set forth above. You shall not, without the prior written consent of the affected indemnified person (which consent shall not be unreasonably withheld, conditioned or delayed), effect any settlement of any pending or threatened Proceeding against any indemnified person in respect of which indemnity could have been sought hereunder by such indemnified person unless such settlement (a) includes an unconditional release of such indemnified person from all liability or claims that are the subject matter of such Proceeding and (b) does not include any statement as to any admission of fault or culpability.</w:t>
      </w:r>
    </w:p>
    <w:p>
      <w:pPr>
        <w:spacing w:after="0" w:line="169" w:lineRule="exact"/>
        <w:rPr>
          <w:sz w:val="20"/>
          <w:szCs w:val="20"/>
          <w:color w:val="auto"/>
        </w:rPr>
      </w:pPr>
    </w:p>
    <w:p>
      <w:pPr>
        <w:ind w:left="284" w:hanging="284"/>
        <w:spacing w:after="0"/>
        <w:tabs>
          <w:tab w:leader="none" w:pos="28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Sharing Information; Absence of Fiduciary Relationship</w:t>
      </w:r>
    </w:p>
    <w:p>
      <w:pPr>
        <w:spacing w:after="0" w:line="19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You acknowledge that the Purchasers and their respective affiliates may have economic interests that conflict with those of you, the Company and your and its respective affiliates, and are under no obligation to disclose any conflicting interest to you. You further acknowledge and agree that (a) the Purchasers will act under this Commitment Letter as independent contractors and no fiduciary, advisory or agency relationship or implied duty between you and the Purchasers has been or will be created in respect of any of the transactions contemplated by this Commitment Letter, irrespective of whether the Purchasers or their respective affiliates have advised or are advising you on other matters and (b) you will not assert any claim against any Purchaser for breach or alleged breach of fiduciary duty and agree that such Purchaser shall not have any direct or indirect liability to you in respect of such a fiduciary duty claim or to any person asserting a fiduciary duty claim on behalf of or in right of you, including your stockholders, employees or creditors. Neither the Purchasers nor their respective affiliates will use information obtained from you or your affiliates in connection with the Investment or the other Transactions in connection with the performance by the Purchasers and their respective affiliates of services for other companies or other persons.</w:t>
      </w:r>
    </w:p>
    <w:p>
      <w:pPr>
        <w:spacing w:after="0" w:line="169"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6"/>
          <w:szCs w:val="16"/>
          <w:color w:val="auto"/>
        </w:rPr>
        <w:t>As you know, certain affiliates of the Purchasers are full service securities firms engaged, either directly or through their affiliates, in various activities, which may include securities trading, commodities trading, investment management, financing and brokerage activities and financial planning and benefits counseling for both companies and individuals. In the ordinary course of these activities, certain affiliates of the Purchasers may actively engage in commodities trading or trade the debt and equity securities (or related derivative securities) and financial instruments (including bank loans and other obligations) of, and the Purchasers and their affiliates may be providing debt financing or equity capital to, you and your affiliates, the Company and its affiliates, the Company’s customers or competitors and other companies which may be the subject of the arrangements contemplated by this Commitment Letter for their own account and for the accounts of their customers and may at any time hold long and short positions in such securities.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 w:name="page19"/>
    <w:bookmarkEnd w:id="18"/>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The Purchasers and their respective affiliates may also co-invest with, make direct investments in, and invest or co-invest client monies in or with funds or other investment vehicles managed by other parties, and such funds or other investment vehicles may trade or make investments in securities of you and your affiliates, the Company and its affiliates or other companies which may be the subject of the arrangements contemplated by this Commitment Letter or engage in commodities or other trading with any thereof.</w:t>
      </w:r>
    </w:p>
    <w:p>
      <w:pPr>
        <w:spacing w:after="0" w:line="162"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You acknowledge and agree that (i) the transactions contemplated by this Commitment Letter are arm’s-length commercial transactions between the Purchasers and their respective affiliates, on the one hand, and you, on the other, (ii) in connection therewith and with the process leading to such transaction each of the Company and its applicable affiliates (as the case may be) is acting solely as a principal and not as an agent or fiduciary of you, the Company, your and their respective subsidiaries, management, equity holders, creditors, affiliates or any other person, (iii) each of the Purchasers and its applicable affiliates (as the case may be) have not assumed an advisory or fiduciary responsibility or any other obligation in favor of you or your respective affiliates with respect to the financing transactions contemplated hereby, the exercise of the remedies with respect thereto or the process leading thereto (irrespective of whether the Purchasers or any of their respective affiliates have advised or are currently advising you or the Company on other matters) and the Purchasers have no obligation to you or your or their affiliates with respect to the transactions contemplated hereby except the obligations expressly set forth in this Commitment Letter and (iv) the Purchasers and their respective affiliates have not provided any legal, accounting, regulatory or tax advice and you have consulted your own legal and financial advisors to the extent you deemed appropriate.</w:t>
      </w:r>
    </w:p>
    <w:p>
      <w:pPr>
        <w:spacing w:after="0" w:line="166"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You further acknowledge and agree that you are responsible for making your own independent judgment with respect to any transactions contemplated by this Commitment Letter and the process leading thereto. You agree that you will not claim that the Purchasers or their applicable affiliates, as the case may be, have rendered advisory services of any nature or respect, or owe a fiduciary or similar duty to you or your affiliates, in connection with any transactions contemplated by this Commitment Letter or the process leading thereto.</w:t>
      </w:r>
    </w:p>
    <w:p>
      <w:pPr>
        <w:spacing w:after="0" w:line="162" w:lineRule="exact"/>
        <w:rPr>
          <w:sz w:val="20"/>
          <w:szCs w:val="20"/>
          <w:color w:val="auto"/>
        </w:rPr>
      </w:pPr>
    </w:p>
    <w:p>
      <w:pPr>
        <w:ind w:left="284" w:hanging="284"/>
        <w:spacing w:after="0"/>
        <w:tabs>
          <w:tab w:leader="none" w:pos="28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Assignments and Amendments</w:t>
      </w:r>
    </w:p>
    <w:p>
      <w:pPr>
        <w:spacing w:after="0" w:line="198"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6"/>
          <w:szCs w:val="16"/>
          <w:color w:val="auto"/>
        </w:rPr>
        <w:t xml:space="preserve">This Commitment Letter and the commitments hereunder are not assignable without the prior written consent of each other party hereto and the Company and any attempted assignment without such consent will be null and void;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Purchasers shall have the right to reallocate, assign, sell or otherwise transfer all or a portion of their respective commitment in respect of the Investment and their respective rights and obligations hereunder (without the consent of any person or entity but with notice to the Issuer and the Company) to one or more investment funds, alternative investment vehicles, accounts or special purpose vehicles managed exclusively by Searchlight Capital Partners, LP;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no such reallocation, assignment, sale or transfer shall reduce or release any Purchaser from its obligations hereunder (including the applicable commitment to fund the Equity Commitment) unless and until such obligations are satisfied in full. This Commitment Letter may not be amended or waived except in a written instrument signed by you, the Company and the Purchasers.</w:t>
      </w:r>
    </w:p>
    <w:p>
      <w:pPr>
        <w:spacing w:after="0" w:line="167"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This Commitment Letter is the only agreement that has been entered into among us and you solely with respect to the Preferred Units and the Common Units and sets forth the entire understanding of the parties with respect hereto and thereto, and supersedes all prior agreements and understandings related to the subject matter hereof.</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9" w:name="page20"/>
    <w:bookmarkEnd w:id="19"/>
    <w:p>
      <w:pPr>
        <w:ind w:left="284" w:hanging="284"/>
        <w:spacing w:after="0"/>
        <w:tabs>
          <w:tab w:leader="none" w:pos="28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and Governing Law</w:t>
      </w:r>
    </w:p>
    <w:p>
      <w:pPr>
        <w:spacing w:after="0" w:line="19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6"/>
          <w:szCs w:val="16"/>
          <w:color w:val="auto"/>
        </w:rPr>
        <w:t>This Commitment Letter may be executed in counterparts, each of which shall be deemed an original and all of which counterparts shall constitute one and the same document. Delivery of an executed signature page of this Commitment Letter by electronic (including “PDF”) transmission shall be effective as delivery of a manually executed counterpart hereof. This Commitment Letter shall not be denied legal effect merely because the signatures thereto were delivered by electronic (including “PDF”) transmission and each party hereto agrees not to contest the validity or enforceability of this Commitment Letter merely because it is made electronically. The words “execution,” “signed,” “signature,” “delivery,” and words of like import in or relating to this Commitment Letter and/or any document to be signed in connection with this letter agreement and the transactions contemplated hereby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6"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This Commitment Letter and any claim, controversy or dispute arising under or related to this Commitment Letter (whether in tort, contract (at law or in equity) or otherwise), shall be governed by, and construed and interpreted in accordance with, the laws of the State of Delaware.</w:t>
      </w:r>
    </w:p>
    <w:p>
      <w:pPr>
        <w:spacing w:after="0" w:line="144" w:lineRule="exact"/>
        <w:rPr>
          <w:sz w:val="20"/>
          <w:szCs w:val="20"/>
          <w:color w:val="auto"/>
        </w:rPr>
      </w:pPr>
    </w:p>
    <w:p>
      <w:pPr>
        <w:ind w:left="284" w:hanging="284"/>
        <w:spacing w:after="0"/>
        <w:tabs>
          <w:tab w:leader="none" w:pos="28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Venue and Submission to Jurisdiction</w:t>
      </w:r>
    </w:p>
    <w:p>
      <w:pPr>
        <w:spacing w:after="0" w:line="198"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6"/>
          <w:szCs w:val="16"/>
          <w:color w:val="auto"/>
        </w:rPr>
        <w:t>Each of the parties hereto irrevocably and unconditionally (a) submits to the exclusive jurisdiction of any state or federal court sitting in New Castle County in the State of Delaware (or any appellate court therefrom) over any suit, action or proceeding arising out of or relating to this Commitment Letter, (b) agrees that all claims in respect of any such action or proceeding shall be heard and determined in such Delaware state or, to the extent permitted by law, federal court and (c) agrees that a final, non-appealable judgment in any such action may be enforced in other jurisdictions in any manner provided by law. You and we agree that service of any process, summons, notice or document by registered mail addressed to such person shall be effective service of process against such person for any suit, action or proceeding brought in any such court. Each of the parties hereto hereby irrevocably and unconditionally waives any objection to the laying of venue of any such suit, action or proceeding brought in any such court and any claim that any such suit, action or proceeding has been brought in an inconvenient forum.</w:t>
      </w:r>
    </w:p>
    <w:p>
      <w:pPr>
        <w:spacing w:after="0" w:line="167" w:lineRule="exact"/>
        <w:rPr>
          <w:sz w:val="20"/>
          <w:szCs w:val="20"/>
          <w:color w:val="auto"/>
        </w:rPr>
      </w:pPr>
    </w:p>
    <w:p>
      <w:pPr>
        <w:ind w:left="284" w:hanging="284"/>
        <w:spacing w:after="0"/>
        <w:tabs>
          <w:tab w:leader="none" w:pos="28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p>
    <w:p>
      <w:pPr>
        <w:spacing w:after="0" w:line="198"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5"/>
          <w:szCs w:val="15"/>
          <w:color w:val="auto"/>
        </w:rPr>
        <w:t>EACH OF THE PARTIES HERETO IRREVOCABLY AGREES TO WAIVE, TO THE FULLEST EXTENT PERMITTED BY APPLICABLE LAW, ALL RIGHT TO TRIAL BY JURY IN ANY SUIT, ACTION, PROCEEDING OR COUNTERCLAIM (WHETHER BASED UPON CONTRACT, TORT OR OTHERWISE) RELATED TO OR ARISING OUT OF THE MERGER, THIS COMMITMENT LETTER OR THE PERFORMANCE BY US OR ANY OF OUR AFFILIATES OF THE SERVICES CONTEMPLATED HEREBY. THIS WAIVER APPLIES TO ANY ACTION, SUIT OR PROCEEDING WHETHER SOUNDING IN TORT, CONTRACT OR OTHERWISE.</w:t>
      </w:r>
    </w:p>
    <w:p>
      <w:pPr>
        <w:spacing w:after="0" w:line="145" w:lineRule="exact"/>
        <w:rPr>
          <w:sz w:val="20"/>
          <w:szCs w:val="20"/>
          <w:color w:val="auto"/>
        </w:rPr>
      </w:pPr>
    </w:p>
    <w:p>
      <w:pPr>
        <w:ind w:left="284" w:hanging="284"/>
        <w:spacing w:after="0"/>
        <w:tabs>
          <w:tab w:leader="none" w:pos="28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p>
    <w:p>
      <w:pPr>
        <w:spacing w:after="0" w:line="198"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 xml:space="preserve">The provisions of this Commitment Letter set forth under this heading and the headings “No Shop; Alternate Transaction”, “Confidentiality”, “Indemnification; Expenses”, “Sharing Information; Absence of Fiduciary Relationship”, “Assignments and Amendments”, “Counterparts and Governing Law”, “Venue and Submission to Jurisdiction” and “Waiver of Jury Trial” shall survive the termination or expiration of this Commitment Letter and shall remain in full force and effect regardless of whether the Investment closes;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the Investment is consummated, the provisions under the headings “Confidentiality”, “Indemnification; Expenses”, and “Sharing Information; Absence of Fiduciary Relationship” shall be superseded and deemed replaced by the terms of the Equity Documentation governing such matters.</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 w:name="page21"/>
    <w:bookmarkEnd w:id="20"/>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p>
    <w:p>
      <w:pPr>
        <w:spacing w:after="0" w:line="198"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This Commitment Letter supersedes any and all discussions, negotiations, understandings or agreements, written or oral, express or implied, between or among the parties hereto and their affiliates as to the subject matter hereof.</w:t>
      </w:r>
    </w:p>
    <w:p>
      <w:pPr>
        <w:spacing w:after="0" w:line="14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This Commitment Letter constitutes a legal, valid and binding obligation, enforceable against each of the parties hereto and thereto in accordance with their respective terms (subject to the effects of bankruptcy, insolvency, fraudulent conveyance, reorganization and other similar laws relating to or affecting creditors’ rights generally and general principles of equity (whether considered in a proceeding in equity or law)) and with respect to the subject matter contained herein and therein (including an obligation to negotiate in good faith), it being acknowledged and agreed that the obligation to consummate the Investment on the Closing Date pursuant to the commitments provided hereunder is subject only to those conditions set forth in the Conditions Annex.</w:t>
      </w:r>
    </w:p>
    <w:p>
      <w:pPr>
        <w:spacing w:after="0" w:line="162" w:lineRule="exact"/>
        <w:rPr>
          <w:sz w:val="20"/>
          <w:szCs w:val="20"/>
          <w:color w:val="auto"/>
        </w:rPr>
      </w:pPr>
    </w:p>
    <w:p>
      <w:pPr>
        <w:ind w:left="284" w:hanging="284"/>
        <w:spacing w:after="0"/>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Underwriter or Similar Role</w:t>
      </w:r>
    </w:p>
    <w:p>
      <w:pPr>
        <w:spacing w:after="0" w:line="198"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6"/>
          <w:szCs w:val="16"/>
          <w:color w:val="auto"/>
        </w:rPr>
        <w:t>NOTWITHSTANDING ANYTHING CONTAINED HEREIN TO THE CONTRARY, NEITHER THE PURCHASERS NOR ANY OF THEIR AFFILIATES ARE ACTING AS AN UNDERWRITER, ARRANGER, TRUSTEE, AGENT OR IN A SIMILAR ROLE OR OTHERWISE PERFORMING ANY SERVICES HEREUNDER AND THE ROLE OF THE PURCHASER AND ITS AFFILIATES HEREUNDER SHALL BE LIMITED TO THEIR COMMITMENT TO PURCHASE THE PREFERRED UNITS AS</w:t>
      </w:r>
    </w:p>
    <w:p>
      <w:pPr>
        <w:spacing w:after="0" w:line="2" w:lineRule="exact"/>
        <w:rPr>
          <w:sz w:val="20"/>
          <w:szCs w:val="20"/>
          <w:color w:val="auto"/>
        </w:rPr>
      </w:pPr>
    </w:p>
    <w:p>
      <w:pPr>
        <w:jc w:val="both"/>
        <w:ind w:left="4" w:right="10260" w:hanging="4"/>
        <w:spacing w:after="0" w:line="520" w:lineRule="auto"/>
        <w:tabs>
          <w:tab w:leader="none" w:pos="15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PRINCIPAL. 19. </w:t>
      </w:r>
      <w:r>
        <w:rPr>
          <w:rFonts w:ascii="Times New Roman" w:cs="Times New Roman" w:eastAsia="Times New Roman" w:hAnsi="Times New Roman"/>
          <w:sz w:val="15"/>
          <w:szCs w:val="15"/>
          <w:u w:val="single" w:color="auto"/>
          <w:color w:val="auto"/>
        </w:rPr>
        <w:t>Patriot Act</w:t>
      </w:r>
    </w:p>
    <w:p>
      <w:pPr>
        <w:spacing w:after="0" w:line="1"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The Purchasers hereby notify you that pursuant to the requirements of the USA PATRIOT Act, Title III of Pub. L. 107-56 (signed into law October 26, 2001) (the “</w:t>
      </w:r>
      <w:r>
        <w:rPr>
          <w:rFonts w:ascii="Times New Roman" w:cs="Times New Roman" w:eastAsia="Times New Roman" w:hAnsi="Times New Roman"/>
          <w:sz w:val="16"/>
          <w:szCs w:val="16"/>
          <w:u w:val="single" w:color="auto"/>
          <w:color w:val="auto"/>
        </w:rPr>
        <w:t>PATRIOT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the Purchasers may be required to obtain, verify and record information that identifies the Company, which information includes the name, address, tax identification number and other information regarding the Company that will allow the Purchaser to identify the Company in accordance with the PATRIOT Act. This notice is given in accordance with the requirements of the PATRIOT Act and is effective as to the Purchaser.</w:t>
      </w:r>
    </w:p>
    <w:p>
      <w:pPr>
        <w:spacing w:after="0" w:line="162" w:lineRule="exact"/>
        <w:rPr>
          <w:sz w:val="20"/>
          <w:szCs w:val="20"/>
          <w:color w:val="auto"/>
        </w:rPr>
      </w:pPr>
    </w:p>
    <w:p>
      <w:pPr>
        <w:ind w:left="284" w:hanging="284"/>
        <w:spacing w:after="0"/>
        <w:tabs>
          <w:tab w:leader="none" w:pos="28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Acceptance and Termination</w:t>
      </w:r>
    </w:p>
    <w:p>
      <w:pPr>
        <w:spacing w:after="0" w:line="198"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color w:val="auto"/>
        </w:rPr>
        <w:t xml:space="preserve">If the foregoing correctly sets forth our agreement, please indicate your acceptance of our offer by returning to us executed counterparts of the Commitment Letter. If you do so execute and deliver to us this Commitment Letter, we agree to hold our commitment to purchase the Preferred Units available for you until the earliest of: (a) after the execution of the Merger Agreement and prior to the time of the consummation of the Merger, the valid termination of the Merger Agreement in accordance with its terms; (b) the consummation of the Closing and funding of the Equity Commitment (at which time the Commitment Parties’ obligations hereunder shall be deemed fulfilled); (c) the assertion, in writing, in any litigation or any arbitration proceeding, by the Company or any of its Subsidiaries or any of its or their respective authorized Representatives, of any Non-Permitted Claim (as defined in the Limited Guaranty); provided, further, that for the avoidance of doubt, neither the pursuit of specific performance or other equitable relief pursuant to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of this Commitment Letter or Section 9.9(b) of the Merger Agreement, nor the subsequent or alternative pursuit of the Parent Termination Fee or Guaranteed Obligations under and solely in accordance with the Merger Agreement or the Limited Guaranty, shall constitute a claim that triggers termination of this Commitment Letter pursuant to this clause (c) or a Non-Permitted Claim (as defined in the Limited Guaranty), and the exercise of any such remedy shall not prejudice, limit or otherwise affect the Company’s right to pursue any other remedy expressly permitted hereunder, under the Merger Agreement or under the Limited Guaranty; (d) the payment by the Purchasers of their Guaranteed Obligations (as defined in the Limited Guaranty) pursuant to the Limited Guaranty; and (e) 11:59 p.m., New York City time on the date which is 90 days after the Outside Date (as defined in, and as it may be extended pursuant to the express provisions of, the Merger Agreement as in effect on the date hereof) (such earliest time, the “</w:t>
      </w:r>
      <w:r>
        <w:rPr>
          <w:rFonts w:ascii="Times New Roman" w:cs="Times New Roman" w:eastAsia="Times New Roman" w:hAnsi="Times New Roman"/>
          <w:sz w:val="16"/>
          <w:szCs w:val="16"/>
          <w:u w:val="single" w:color="auto"/>
          <w:color w:val="auto"/>
        </w:rPr>
        <w:t>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termination of any commitment pursuant to this sentence shall not prejudice your rights and remedies in respect of any breach of this Commitment Letter. Upon the occurrence of any of the events referred to in the preceding sentence, this Commitment Letter and the commitments of each of the Purchasers hereunder shall automatically terminate unless the Purchasers shall, in their sole discretion, agree to an extension in writing.</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THE REMAINDER OF THIS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COMMITMENT PARTIES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SEARCHLIGHT CAPITAL IV, L.P.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Partners IV GP, L.P.,</w:t>
            </w:r>
          </w:p>
        </w:tc>
      </w:tr>
      <w:tr>
        <w:trPr>
          <w:trHeight w:val="208"/>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Partners IV GP, LLC,</w:t>
            </w:r>
          </w:p>
        </w:tc>
      </w:tr>
      <w:tr>
        <w:trPr>
          <w:trHeight w:val="208"/>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Andrew Frey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Andrew Frey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SEARCHLIGHT CAPITAL IV PV-A, L.P.</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Partners IV GP, L.P.,</w:t>
            </w:r>
          </w:p>
        </w:tc>
      </w:tr>
      <w:tr>
        <w:trPr>
          <w:trHeight w:val="208"/>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Partners IV GP, LLC,</w:t>
            </w:r>
          </w:p>
        </w:tc>
      </w:tr>
      <w:tr>
        <w:trPr>
          <w:trHeight w:val="208"/>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Andrew Frey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Andrew Frey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r>
        <w:trPr>
          <w:trHeight w:val="38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SEARCHLIGHT CAPITAL IV PV-B, L.P.</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Partners IV GP, L.P.,</w:t>
            </w:r>
          </w:p>
        </w:tc>
      </w:tr>
      <w:tr>
        <w:trPr>
          <w:trHeight w:val="208"/>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6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Partners IV GP, LLC,</w:t>
            </w:r>
          </w:p>
        </w:tc>
      </w:tr>
      <w:tr>
        <w:trPr>
          <w:trHeight w:val="208"/>
        </w:trPr>
        <w:tc>
          <w:tcPr>
            <w:tcW w:w="5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its general partner</w:t>
            </w:r>
          </w:p>
        </w:tc>
      </w:tr>
      <w:tr>
        <w:trPr>
          <w:trHeight w:val="386"/>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Andrew Frey</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Andrew Frey</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74"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6"/>
          <w:szCs w:val="16"/>
          <w:color w:val="auto"/>
        </w:rPr>
        <w:t>[Signature Page to Preferred Equity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color w:val="auto"/>
        </w:rPr>
        <w:t>AGREED AND ACCEPTED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THE DATE FIRST WRITTEN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ISSUER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WD CAPITAL PARTNERS HOLDINGS LP</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C. Priore</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Thomas C. Priore</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Secretary</w:t>
            </w:r>
          </w:p>
        </w:tc>
      </w:tr>
    </w:tbl>
    <w:p>
      <w:pPr>
        <w:spacing w:after="0" w:line="17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6"/>
          <w:szCs w:val="16"/>
          <w:color w:val="auto"/>
        </w:rPr>
        <w:t>[Signature Page to Preferred Equity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6480" w:type="dxa"/>
            <w:vAlign w:val="bottom"/>
            <w:gridSpan w:val="3"/>
          </w:tcPr>
          <w:p>
            <w:pPr>
              <w:jc w:val="right"/>
              <w:ind w:right="3920"/>
              <w:spacing w:after="0"/>
              <w:rPr>
                <w:sz w:val="20"/>
                <w:szCs w:val="20"/>
                <w:color w:val="auto"/>
              </w:rPr>
            </w:pPr>
            <w:r>
              <w:rPr>
                <w:rFonts w:ascii="Times New Roman" w:cs="Times New Roman" w:eastAsia="Times New Roman" w:hAnsi="Times New Roman"/>
                <w:sz w:val="16"/>
                <w:szCs w:val="16"/>
                <w:b w:val="1"/>
                <w:bCs w:val="1"/>
                <w:color w:val="auto"/>
              </w:rPr>
              <w:t>SCHEDULE I</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4"/>
        </w:trPr>
        <w:tc>
          <w:tcPr>
            <w:tcW w:w="36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Initial Stated</w:t>
            </w:r>
          </w:p>
        </w:tc>
      </w:tr>
      <w:tr>
        <w:trPr>
          <w:trHeight w:val="191"/>
        </w:trPr>
        <w:tc>
          <w:tcPr>
            <w:tcW w:w="36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14"/>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Purchaser</w:t>
            </w:r>
          </w:p>
        </w:tc>
        <w:tc>
          <w:tcPr>
            <w:tcW w:w="6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Preferred Units</w:t>
            </w:r>
          </w:p>
        </w:tc>
        <w:tc>
          <w:tcPr>
            <w:tcW w:w="120" w:type="dxa"/>
            <w:vAlign w:val="bottom"/>
            <w:tcBorders>
              <w:bottom w:val="single" w:sz="8" w:color="CCEEFF"/>
            </w:tcBorders>
          </w:tcPr>
          <w:p>
            <w:pPr>
              <w:spacing w:after="0"/>
              <w:rPr>
                <w:sz w:val="18"/>
                <w:szCs w:val="18"/>
                <w:color w:val="auto"/>
              </w:rPr>
            </w:pPr>
          </w:p>
        </w:tc>
      </w:tr>
      <w:tr>
        <w:trPr>
          <w:trHeight w:val="215"/>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Searchlight Capital IV, L.P.</w:t>
            </w:r>
          </w:p>
        </w:tc>
        <w:tc>
          <w:tcPr>
            <w:tcW w:w="6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88,679,113.00</w:t>
            </w:r>
          </w:p>
        </w:tc>
        <w:tc>
          <w:tcPr>
            <w:tcW w:w="120" w:type="dxa"/>
            <w:vAlign w:val="bottom"/>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Searchlight Capital IV PV-A, L.P.</w:t>
            </w:r>
          </w:p>
        </w:tc>
        <w:tc>
          <w:tcPr>
            <w:tcW w:w="64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63,131,638.00</w:t>
            </w:r>
          </w:p>
        </w:tc>
        <w:tc>
          <w:tcPr>
            <w:tcW w:w="120" w:type="dxa"/>
            <w:vAlign w:val="bottom"/>
          </w:tcPr>
          <w:p>
            <w:pPr>
              <w:spacing w:after="0"/>
              <w:rPr>
                <w:sz w:val="18"/>
                <w:szCs w:val="18"/>
                <w:color w:val="auto"/>
              </w:rPr>
            </w:pPr>
          </w:p>
        </w:tc>
      </w:tr>
      <w:tr>
        <w:trPr>
          <w:trHeight w:val="22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Searchlight Capital IV PV-B, L.P.</w:t>
            </w:r>
          </w:p>
        </w:tc>
        <w:tc>
          <w:tcPr>
            <w:tcW w:w="63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8,189,249.00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160,000,000.00</w:t>
            </w:r>
          </w:p>
        </w:tc>
        <w:tc>
          <w:tcPr>
            <w:tcW w:w="12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2"/>
        </w:trPr>
        <w:tc>
          <w:tcPr>
            <w:tcW w:w="36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Transaction Summary</w:t>
      </w:r>
    </w:p>
    <w:p>
      <w:pPr>
        <w:spacing w:after="0" w:line="19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WD Capital Partners Parent Inc., a Delaware corporation (the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wholly owned subsidiary of the Issuer, intends to directly acquire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all of the outstanding equity interests of the Company, all as set forth in the Merger Agreement (as defined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In connection therewith:</w:t>
      </w:r>
    </w:p>
    <w:p>
      <w:pPr>
        <w:spacing w:after="0" w:line="144" w:lineRule="exact"/>
        <w:rPr>
          <w:sz w:val="20"/>
          <w:szCs w:val="20"/>
          <w:color w:val="auto"/>
        </w:rPr>
      </w:pPr>
    </w:p>
    <w:p>
      <w:pPr>
        <w:jc w:val="both"/>
        <w:ind w:left="560" w:hanging="278"/>
        <w:spacing w:after="0" w:line="265"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Parent and WD Capital Partners Merger Sub Inc., a newly formed Delaware corporation and a direct, wholly-owned subsidiary of Parent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w:t>
      </w:r>
      <w:r>
        <w:rPr>
          <w:rFonts w:ascii="Times New Roman" w:cs="Times New Roman" w:eastAsia="Times New Roman" w:hAnsi="Times New Roman"/>
          <w:sz w:val="16"/>
          <w:szCs w:val="16"/>
          <w:color w:val="auto"/>
        </w:rPr>
        <w:t>”), will enter into the Merger Agreement, pursuant to which, among other things, on the Closing Date, Merger Sub will merge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and into the Company, with the Company the surviving the Merger as a direct, wholly-owned subsidiary of Parent;</w:t>
      </w:r>
    </w:p>
    <w:p>
      <w:pPr>
        <w:spacing w:after="0" w:line="155"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the Issuer will contribute, directly or indirectly, the proceeds of the issuance of the Preferred Units to Parent in the form of common equity;</w:t>
      </w:r>
    </w:p>
    <w:p>
      <w:pPr>
        <w:spacing w:after="0" w:line="144" w:lineRule="exact"/>
        <w:rPr>
          <w:rFonts w:ascii="Times New Roman" w:cs="Times New Roman" w:eastAsia="Times New Roman" w:hAnsi="Times New Roman"/>
          <w:sz w:val="16"/>
          <w:szCs w:val="16"/>
          <w:color w:val="auto"/>
        </w:rPr>
      </w:pPr>
    </w:p>
    <w:p>
      <w:pPr>
        <w:jc w:val="both"/>
        <w:ind w:left="560" w:right="20" w:hanging="278"/>
        <w:spacing w:after="0" w:line="259"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Closing, immediately prior to the Effective Time, certain stockholders of the Company as of immediately prior to the Effective Time (the “</w:t>
      </w:r>
      <w:r>
        <w:rPr>
          <w:rFonts w:ascii="Times New Roman" w:cs="Times New Roman" w:eastAsia="Times New Roman" w:hAnsi="Times New Roman"/>
          <w:sz w:val="16"/>
          <w:szCs w:val="16"/>
          <w:u w:val="single" w:color="auto"/>
          <w:color w:val="auto"/>
        </w:rPr>
        <w:t>Rollover Stockholders</w:t>
      </w:r>
      <w:r>
        <w:rPr>
          <w:rFonts w:ascii="Times New Roman" w:cs="Times New Roman" w:eastAsia="Times New Roman" w:hAnsi="Times New Roman"/>
          <w:sz w:val="16"/>
          <w:szCs w:val="16"/>
          <w:color w:val="auto"/>
        </w:rPr>
        <w:t>”) will contribute and transfer all of their outstanding equity interests in the Company to Holdings in exchange for a number of newly issued equity interests of Holdings (collectively, the “</w:t>
      </w:r>
      <w:r>
        <w:rPr>
          <w:rFonts w:ascii="Times New Roman" w:cs="Times New Roman" w:eastAsia="Times New Roman" w:hAnsi="Times New Roman"/>
          <w:sz w:val="16"/>
          <w:szCs w:val="16"/>
          <w:u w:val="single" w:color="auto"/>
          <w:color w:val="auto"/>
        </w:rPr>
        <w:t>Equity Rollover</w:t>
      </w:r>
      <w:r>
        <w:rPr>
          <w:rFonts w:ascii="Times New Roman" w:cs="Times New Roman" w:eastAsia="Times New Roman" w:hAnsi="Times New Roman"/>
          <w:sz w:val="16"/>
          <w:szCs w:val="16"/>
          <w:color w:val="auto"/>
        </w:rPr>
        <w:t>”), in each case, pursuant to the terms and conditions of that certain Support Agreement, dated as of the date hereof, by and among the Company, Parent, Holdings and the Rollover Stockholders (the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hanging="278"/>
        <w:spacing w:after="0" w:line="253"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Priority Holdings, LLC, as borrower under the Credit Agreement (as defined on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to the Commitment Letter) shall, (i) on or prior to the Closing Date (A) make a Borrowing (under and as defined in the Credit Agreement) in an amount sufficient, together with all available cash on hand, to make the Closing Restricted Payment (as defined below), (B) declare an irrevocable Restricted Payment (as defined in the Credit Agreement), payable at Closing, in an aggregate amount not to exceed $131,200,000 (the “</w:t>
      </w:r>
      <w:r>
        <w:rPr>
          <w:rFonts w:ascii="Times New Roman" w:cs="Times New Roman" w:eastAsia="Times New Roman" w:hAnsi="Times New Roman"/>
          <w:sz w:val="16"/>
          <w:szCs w:val="16"/>
          <w:u w:val="single" w:color="auto"/>
          <w:color w:val="auto"/>
        </w:rPr>
        <w:t>Closing Restricted Payment</w:t>
      </w:r>
      <w:r>
        <w:rPr>
          <w:rFonts w:ascii="Times New Roman" w:cs="Times New Roman" w:eastAsia="Times New Roman" w:hAnsi="Times New Roman"/>
          <w:sz w:val="16"/>
          <w:szCs w:val="16"/>
          <w:color w:val="auto"/>
        </w:rPr>
        <w:t>”), the proceeds of which shall be distributed to the Company, and (C) make an “LCT Election” under and as defined in the Credit Agreement that the Closing Restricted Payment shall, from and after the date of declaration of such Closing Restricted Payment, constitute a “Limited Condition Transaction” as defined in and in accordance with Section 1.08 of the Credit Agreement and (ii) on the Closing Date, make the Closing Restricted Payment substantially concurrently with the Closing. The Closing Restricted Payment shall be irrevocable prior to the Outside Date (as defined in, and as it may be extended pursuant to the express provisions of, the Merger Agreement as in effect on the date hereof); and</w:t>
      </w:r>
    </w:p>
    <w:p>
      <w:pPr>
        <w:spacing w:after="0" w:line="169"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fees, premiums and expenses and other transaction costs incurred in connection with the Transactions, including the Closing Payment and/or any upfront fees will be paid in accordance with the Equity Term Sheet and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Commitment Letter.</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transactions described above are collectively referred to as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For purposes of this Commitment Letter,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xml:space="preserve">” will mean the date of the consummation of the Merger and the satisfaction or waiver by the Purchasers of the conditions set forth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the purchase of the Preferred Units and the issuance of the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230505</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Conditions to Closing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availability of the Investment set forth in the Commitment Letter shall be subject solely to the satisfaction (or waiver by the Purchasers) of the following conditions:</w:t>
      </w:r>
    </w:p>
    <w:p>
      <w:pPr>
        <w:spacing w:after="0" w:line="198" w:lineRule="exact"/>
        <w:rPr>
          <w:sz w:val="20"/>
          <w:szCs w:val="20"/>
          <w:color w:val="auto"/>
        </w:rPr>
      </w:pPr>
    </w:p>
    <w:p>
      <w:pPr>
        <w:jc w:val="both"/>
        <w:ind w:left="560" w:hanging="278"/>
        <w:spacing w:after="0" w:line="252" w:lineRule="auto"/>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Substantially concurrently with the making of the Investment, the Merger shall have been consummated in accordance with that certain Agreement and Plan of Merger dated as the date hereof by and among the Company, Parent and Merger Sub (including the exhibits, schedules and all related documents,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and the conditions set forth in Section 7.1 and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of the Merger Agreement shall have been satisfied (without any amendment, modification or waiver of any of the provisions thereof that would be materially adverse to the interests of the Purchasers in their respective capacities as such, without the prior written consent of the Purchasers (such consent not to be unreasonably withheld, delayed or conditioned));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 a reduction in the purchase price under the Merger Agreement shall not be deemed to be materially adverse to the interests of the Purchasers so long as such decrease does not reduce the Initial Stated Value of the Preferred Units purchased by the Purchasers pursuant to this Commitment Letter to an amount less than $150,000,000, (ii) any amendment or waiver to or consent in respect of the terms of the Merger Agreement that has the effect of increasing the cash consideration required to be paid thereunder on the Closing Date shall not be deemed to be materially adverse to the interests of the Purchasers as long as such increase is not funded with the proceeds of indebtedness for borrowed money or equity securities ranking pari passu or senior (including structurally senior) to the Preferred Units, (iii) any purchase price adjustment expressly contemplated by the Merger Agreement (including any working capital purchase price adjustment) shall not be considered an amendment or waiver of the Merger Agreement or consent with respect thereto, and (iv) any amendment or waiver to or consent in respect of the occurrence of a Company Material Adverse Effect contained in the Merger Agreement shall be deemed materially adverse to the Purchasers.</w:t>
      </w:r>
    </w:p>
    <w:p>
      <w:pPr>
        <w:spacing w:after="0" w:line="16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Since the date of the Merger Agreement, there shall not have occurred any Company Material Adverse Effect.</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Rollover</w:t>
      </w:r>
      <w:r>
        <w:rPr>
          <w:rFonts w:ascii="Times New Roman" w:cs="Times New Roman" w:eastAsia="Times New Roman" w:hAnsi="Times New Roman"/>
          <w:sz w:val="16"/>
          <w:szCs w:val="16"/>
          <w:color w:val="auto"/>
        </w:rPr>
        <w:t>. The Equity Rollover shall have occurred in accordance with the terms of the Support Agreement as in effect on the date hereof without any amendment, modification or waiver of any of the provisions of the Support Agreement, without the prior written consent of the Purchasers (such consent not to be unreasonably withheld, delayed or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230505</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 w:name="page27"/>
    <w:bookmarkEnd w:id="26"/>
    <w:p>
      <w:pPr>
        <w:ind w:left="9180"/>
        <w:spacing w:after="0"/>
        <w:rPr>
          <w:sz w:val="20"/>
          <w:szCs w:val="20"/>
          <w:color w:val="auto"/>
        </w:rPr>
      </w:pPr>
      <w:r>
        <w:rPr>
          <w:rFonts w:ascii="Times New Roman" w:cs="Times New Roman" w:eastAsia="Times New Roman" w:hAnsi="Times New Roman"/>
          <w:sz w:val="16"/>
          <w:szCs w:val="16"/>
          <w:b w:val="1"/>
          <w:bCs w:val="1"/>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5850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65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ind w:left="9180"/>
        <w:spacing w:after="0"/>
        <w:rPr>
          <w:sz w:val="20"/>
          <w:szCs w:val="20"/>
          <w:color w:val="auto"/>
        </w:rPr>
      </w:pPr>
      <w:r>
        <w:rPr>
          <w:rFonts w:ascii="Times New Roman" w:cs="Times New Roman" w:eastAsia="Times New Roman" w:hAnsi="Times New Roman"/>
          <w:sz w:val="16"/>
          <w:szCs w:val="16"/>
          <w:b w:val="1"/>
          <w:bCs w:val="1"/>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50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65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ind w:left="9180"/>
        <w:spacing w:after="0"/>
        <w:rPr>
          <w:sz w:val="20"/>
          <w:szCs w:val="20"/>
          <w:color w:val="auto"/>
        </w:rPr>
      </w:pPr>
      <w:r>
        <w:rPr>
          <w:rFonts w:ascii="Times New Roman" w:cs="Times New Roman" w:eastAsia="Times New Roman" w:hAnsi="Times New Roman"/>
          <w:sz w:val="16"/>
          <w:szCs w:val="16"/>
          <w:b w:val="1"/>
          <w:bCs w:val="1"/>
          <w:color w:val="auto"/>
        </w:rPr>
        <w:t>Exhibit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50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65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ind w:left="9180"/>
        <w:spacing w:after="0"/>
        <w:rPr>
          <w:sz w:val="20"/>
          <w:szCs w:val="20"/>
          <w:color w:val="auto"/>
        </w:rPr>
      </w:pPr>
      <w:r>
        <w:rPr>
          <w:rFonts w:ascii="Times New Roman" w:cs="Times New Roman" w:eastAsia="Times New Roman" w:hAnsi="Times New Roman"/>
          <w:sz w:val="16"/>
          <w:szCs w:val="16"/>
          <w:b w:val="1"/>
          <w:bCs w:val="1"/>
          <w:color w:val="auto"/>
        </w:rPr>
        <w:t>Exhibit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50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65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ind w:left="9180"/>
        <w:spacing w:after="0"/>
        <w:rPr>
          <w:sz w:val="20"/>
          <w:szCs w:val="20"/>
          <w:color w:val="auto"/>
        </w:rPr>
      </w:pPr>
      <w:r>
        <w:rPr>
          <w:rFonts w:ascii="Times New Roman" w:cs="Times New Roman" w:eastAsia="Times New Roman" w:hAnsi="Times New Roman"/>
          <w:sz w:val="16"/>
          <w:szCs w:val="16"/>
          <w:b w:val="1"/>
          <w:bCs w:val="1"/>
          <w:color w:val="auto"/>
        </w:rPr>
        <w:t>Exhibit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50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65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ind w:left="9180"/>
        <w:spacing w:after="0"/>
        <w:rPr>
          <w:sz w:val="20"/>
          <w:szCs w:val="20"/>
          <w:color w:val="auto"/>
        </w:rPr>
      </w:pPr>
      <w:r>
        <w:rPr>
          <w:rFonts w:ascii="Times New Roman" w:cs="Times New Roman" w:eastAsia="Times New Roman" w:hAnsi="Times New Roman"/>
          <w:sz w:val="16"/>
          <w:szCs w:val="16"/>
          <w:b w:val="1"/>
          <w:bCs w:val="1"/>
          <w:color w:val="auto"/>
        </w:rPr>
        <w:t>Exhibit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850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7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50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5865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ind w:left="9180"/>
        <w:spacing w:after="0"/>
        <w:rPr>
          <w:sz w:val="20"/>
          <w:szCs w:val="20"/>
          <w:color w:val="auto"/>
        </w:rPr>
      </w:pPr>
      <w:r>
        <w:rPr>
          <w:rFonts w:ascii="Times New Roman" w:cs="Times New Roman" w:eastAsia="Times New Roman" w:hAnsi="Times New Roman"/>
          <w:sz w:val="16"/>
          <w:szCs w:val="16"/>
          <w:b w:val="1"/>
          <w:bCs w:val="1"/>
          <w:color w:val="auto"/>
        </w:rPr>
        <w:t>Exhibit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57137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36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20344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ind w:left="9180"/>
        <w:spacing w:after="0"/>
        <w:rPr>
          <w:sz w:val="20"/>
          <w:szCs w:val="20"/>
          <w:color w:val="auto"/>
        </w:rPr>
      </w:pPr>
      <w:r>
        <w:rPr>
          <w:rFonts w:ascii="Times New Roman" w:cs="Times New Roman" w:eastAsia="Times New Roman" w:hAnsi="Times New Roman"/>
          <w:sz w:val="16"/>
          <w:szCs w:val="16"/>
          <w:b w:val="1"/>
          <w:bCs w:val="1"/>
          <w:color w:val="auto"/>
        </w:rPr>
        <w:t>Exhibit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57137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8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20344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8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20344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ind w:left="9100"/>
        <w:spacing w:after="0"/>
        <w:rPr>
          <w:sz w:val="20"/>
          <w:szCs w:val="20"/>
          <w:color w:val="auto"/>
        </w:rPr>
      </w:pPr>
      <w:r>
        <w:rPr>
          <w:rFonts w:ascii="Times New Roman" w:cs="Times New Roman" w:eastAsia="Times New Roman" w:hAnsi="Times New Roman"/>
          <w:sz w:val="16"/>
          <w:szCs w:val="16"/>
          <w:b w:val="1"/>
          <w:bCs w:val="1"/>
          <w:color w:val="auto"/>
        </w:rPr>
        <w:t>Exhibit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57137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8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20344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13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203440" cy="5713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1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203440" cy="572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728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20344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ind w:right="140"/>
        <w:spacing w:after="0"/>
        <w:rPr>
          <w:sz w:val="20"/>
          <w:szCs w:val="20"/>
          <w:color w:val="auto"/>
        </w:rPr>
      </w:pPr>
      <w:r>
        <w:rPr>
          <w:rFonts w:ascii="Arial" w:cs="Arial" w:eastAsia="Arial" w:hAnsi="Arial"/>
          <w:sz w:val="32"/>
          <w:szCs w:val="32"/>
          <w:b w:val="1"/>
          <w:bCs w:val="1"/>
          <w:color w:val="auto"/>
        </w:rPr>
        <w:t>Calculation of Filing Fee Tables</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 xml:space="preserve">Table 1: </w:t>
      </w:r>
      <w:r>
        <w:rPr>
          <w:rFonts w:ascii="Arial" w:cs="Arial" w:eastAsia="Arial" w:hAnsi="Arial"/>
          <w:sz w:val="19"/>
          <w:szCs w:val="19"/>
          <w:b w:val="1"/>
          <w:bCs w:val="1"/>
          <w:u w:val="single" w:color="auto"/>
          <w:color w:val="auto"/>
        </w:rPr>
        <w:t>Transaction Valuation</w:t>
      </w:r>
    </w:p>
    <w:p>
      <w:pPr>
        <w:spacing w:after="0" w:line="45" w:lineRule="exact"/>
        <w:rPr>
          <w:sz w:val="20"/>
          <w:szCs w:val="20"/>
          <w:color w:val="auto"/>
        </w:rPr>
      </w:pPr>
    </w:p>
    <w:tbl>
      <w:tblPr>
        <w:tblLayout w:type="fixed"/>
        <w:tblInd w:w="113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3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vMerge w:val="restart"/>
            <w:shd w:val="clear" w:color="auto" w:fill="9ADAF6"/>
          </w:tcPr>
          <w:p>
            <w:pPr>
              <w:jc w:val="right"/>
              <w:ind w:right="44"/>
              <w:spacing w:after="0"/>
              <w:rPr>
                <w:sz w:val="20"/>
                <w:szCs w:val="20"/>
                <w:color w:val="auto"/>
              </w:rPr>
            </w:pPr>
            <w:r>
              <w:rPr>
                <w:rFonts w:ascii="Arial" w:cs="Arial" w:eastAsia="Arial" w:hAnsi="Arial"/>
                <w:sz w:val="19"/>
                <w:szCs w:val="19"/>
                <w:b w:val="1"/>
                <w:bCs w:val="1"/>
                <w:color w:val="auto"/>
              </w:rPr>
              <w:t>Transaction</w:t>
            </w:r>
          </w:p>
        </w:tc>
        <w:tc>
          <w:tcPr>
            <w:tcW w:w="4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1" w:lineRule="exact"/>
              <w:rPr>
                <w:sz w:val="20"/>
                <w:szCs w:val="20"/>
                <w:color w:val="auto"/>
              </w:rPr>
            </w:pPr>
            <w:r>
              <w:rPr>
                <w:rFonts w:ascii="Arial" w:cs="Arial" w:eastAsia="Arial" w:hAnsi="Arial"/>
                <w:sz w:val="19"/>
                <w:szCs w:val="19"/>
                <w:b w:val="1"/>
                <w:bCs w:val="1"/>
                <w:color w:val="auto"/>
              </w:rPr>
              <w:t>Amount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vMerge w:val="restart"/>
            <w:shd w:val="clear" w:color="auto" w:fill="9ADAF6"/>
          </w:tcPr>
          <w:p>
            <w:pPr>
              <w:jc w:val="right"/>
              <w:ind w:right="164"/>
              <w:spacing w:after="0" w:line="215" w:lineRule="exact"/>
              <w:rPr>
                <w:sz w:val="20"/>
                <w:szCs w:val="20"/>
                <w:color w:val="auto"/>
              </w:rPr>
            </w:pPr>
            <w:r>
              <w:rPr>
                <w:rFonts w:ascii="Arial" w:cs="Arial" w:eastAsia="Arial" w:hAnsi="Arial"/>
                <w:sz w:val="19"/>
                <w:szCs w:val="19"/>
                <w:b w:val="1"/>
                <w:bCs w:val="1"/>
                <w:color w:val="auto"/>
              </w:rPr>
              <w:t>Fee Rate</w:t>
            </w: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of Filing</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3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shd w:val="clear" w:color="auto" w:fill="9ADAF6"/>
          </w:tcPr>
          <w:p>
            <w:pPr>
              <w:jc w:val="right"/>
              <w:ind w:right="164"/>
              <w:spacing w:after="0"/>
              <w:rPr>
                <w:sz w:val="20"/>
                <w:szCs w:val="20"/>
                <w:color w:val="auto"/>
              </w:rPr>
            </w:pPr>
            <w:r>
              <w:rPr>
                <w:rFonts w:ascii="Arial" w:cs="Arial" w:eastAsia="Arial" w:hAnsi="Arial"/>
                <w:sz w:val="19"/>
                <w:szCs w:val="19"/>
                <w:b w:val="1"/>
                <w:bCs w:val="1"/>
                <w:color w:val="auto"/>
              </w:rPr>
              <w:t>Valuation</w:t>
            </w:r>
          </w:p>
        </w:tc>
        <w:tc>
          <w:tcPr>
            <w:tcW w:w="40" w:type="dxa"/>
            <w:vAlign w:val="bottom"/>
          </w:tcPr>
          <w:p>
            <w:pPr>
              <w:spacing w:after="0"/>
              <w:rPr>
                <w:sz w:val="9"/>
                <w:szCs w:val="9"/>
                <w:color w:val="auto"/>
              </w:rPr>
            </w:pPr>
          </w:p>
        </w:tc>
        <w:tc>
          <w:tcPr>
            <w:tcW w:w="13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35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continue"/>
            <w:shd w:val="clear" w:color="auto" w:fill="9ADAF6"/>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Fee</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3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352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Fees to be Paid</w:t>
            </w:r>
          </w:p>
        </w:tc>
        <w:tc>
          <w:tcPr>
            <w:tcW w:w="20" w:type="dxa"/>
            <w:vAlign w:val="bottom"/>
          </w:tcPr>
          <w:p>
            <w:pPr>
              <w:spacing w:after="0"/>
              <w:rPr>
                <w:sz w:val="17"/>
                <w:szCs w:val="17"/>
                <w:color w:val="auto"/>
              </w:rPr>
            </w:pPr>
          </w:p>
        </w:tc>
        <w:tc>
          <w:tcPr>
            <w:tcW w:w="1760" w:type="dxa"/>
            <w:vAlign w:val="bottom"/>
            <w:vMerge w:val="restart"/>
            <w:shd w:val="clear" w:color="auto" w:fill="E7E7E2"/>
          </w:tcPr>
          <w:p>
            <w:pPr>
              <w:ind w:left="820"/>
              <w:spacing w:after="0"/>
              <w:rPr>
                <w:sz w:val="20"/>
                <w:szCs w:val="20"/>
                <w:color w:val="auto"/>
              </w:rPr>
            </w:pPr>
            <w:r>
              <w:rPr>
                <w:rFonts w:ascii="Arial" w:cs="Arial" w:eastAsia="Arial" w:hAnsi="Arial"/>
                <w:sz w:val="19"/>
                <w:szCs w:val="19"/>
                <w:color w:val="auto"/>
              </w:rPr>
              <w:t>1</w:t>
            </w:r>
          </w:p>
        </w:tc>
        <w:tc>
          <w:tcPr>
            <w:tcW w:w="20" w:type="dxa"/>
            <w:vAlign w:val="bottom"/>
            <w:vMerge w:val="continue"/>
          </w:tcPr>
          <w:p>
            <w:pPr>
              <w:spacing w:after="0"/>
              <w:rPr>
                <w:sz w:val="17"/>
                <w:szCs w:val="17"/>
                <w:color w:val="auto"/>
              </w:rPr>
            </w:pPr>
          </w:p>
        </w:tc>
        <w:tc>
          <w:tcPr>
            <w:tcW w:w="1360" w:type="dxa"/>
            <w:vAlign w:val="bottom"/>
            <w:shd w:val="clear" w:color="auto" w:fill="E7E7E2"/>
          </w:tcPr>
          <w:p>
            <w:pPr>
              <w:jc w:val="right"/>
              <w:spacing w:after="0" w:line="204" w:lineRule="exact"/>
              <w:rPr>
                <w:sz w:val="20"/>
                <w:szCs w:val="20"/>
                <w:color w:val="auto"/>
              </w:rPr>
            </w:pPr>
            <w:r>
              <w:rPr>
                <w:rFonts w:ascii="Arial" w:cs="Arial" w:eastAsia="Arial" w:hAnsi="Arial"/>
                <w:sz w:val="19"/>
                <w:szCs w:val="19"/>
                <w:color w:val="auto"/>
              </w:rPr>
              <w:t>$</w:t>
            </w:r>
          </w:p>
        </w:tc>
        <w:tc>
          <w:tcPr>
            <w:tcW w:w="40" w:type="dxa"/>
            <w:vAlign w:val="bottom"/>
          </w:tcPr>
          <w:p>
            <w:pPr>
              <w:spacing w:after="0"/>
              <w:rPr>
                <w:sz w:val="17"/>
                <w:szCs w:val="17"/>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0.000087</w:t>
            </w:r>
          </w:p>
        </w:tc>
        <w:tc>
          <w:tcPr>
            <w:tcW w:w="20" w:type="dxa"/>
            <w:vAlign w:val="bottom"/>
            <w:vMerge w:val="continue"/>
          </w:tcPr>
          <w:p>
            <w:pPr>
              <w:spacing w:after="0"/>
              <w:rPr>
                <w:sz w:val="17"/>
                <w:szCs w:val="17"/>
                <w:color w:val="auto"/>
              </w:rPr>
            </w:pPr>
          </w:p>
        </w:tc>
        <w:tc>
          <w:tcPr>
            <w:tcW w:w="900" w:type="dxa"/>
            <w:vAlign w:val="bottom"/>
            <w:shd w:val="clear" w:color="auto" w:fill="E7E7E2"/>
          </w:tcPr>
          <w:p>
            <w:pPr>
              <w:jc w:val="right"/>
              <w:spacing w:after="0" w:line="204" w:lineRule="exact"/>
              <w:rPr>
                <w:sz w:val="20"/>
                <w:szCs w:val="20"/>
                <w:color w:val="auto"/>
              </w:rPr>
            </w:pPr>
            <w:r>
              <w:rPr>
                <w:rFonts w:ascii="Arial" w:cs="Arial" w:eastAsia="Arial" w:hAnsi="Arial"/>
                <w:sz w:val="19"/>
                <w:szCs w:val="19"/>
                <w:color w:val="auto"/>
              </w:rPr>
              <w:t>$</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352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shd w:val="clear" w:color="auto" w:fill="E7E7E2"/>
          </w:tcPr>
          <w:p>
            <w:pPr>
              <w:jc w:val="right"/>
              <w:spacing w:after="0"/>
              <w:rPr>
                <w:sz w:val="20"/>
                <w:szCs w:val="20"/>
                <w:color w:val="auto"/>
              </w:rPr>
            </w:pPr>
            <w:r>
              <w:rPr>
                <w:rFonts w:ascii="Arial" w:cs="Arial" w:eastAsia="Arial" w:hAnsi="Arial"/>
                <w:sz w:val="19"/>
                <w:szCs w:val="19"/>
                <w:color w:val="auto"/>
                <w:w w:val="99"/>
              </w:rPr>
              <w:t>282,066,373.55</w:t>
            </w:r>
          </w:p>
        </w:tc>
        <w:tc>
          <w:tcPr>
            <w:tcW w:w="40" w:type="dxa"/>
            <w:vAlign w:val="bottom"/>
          </w:tcPr>
          <w:p>
            <w:pPr>
              <w:spacing w:after="0"/>
              <w:rPr>
                <w:sz w:val="21"/>
                <w:szCs w:val="21"/>
                <w:color w:val="auto"/>
              </w:rPr>
            </w:pPr>
          </w:p>
        </w:tc>
        <w:tc>
          <w:tcPr>
            <w:tcW w:w="1300" w:type="dxa"/>
            <w:vAlign w:val="bottom"/>
            <w:vMerge w:val="continue"/>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shd w:val="clear" w:color="auto" w:fill="E7E7E2"/>
          </w:tcPr>
          <w:p>
            <w:pPr>
              <w:jc w:val="right"/>
              <w:spacing w:after="0"/>
              <w:rPr>
                <w:sz w:val="20"/>
                <w:szCs w:val="20"/>
                <w:color w:val="auto"/>
              </w:rPr>
            </w:pPr>
            <w:r>
              <w:rPr>
                <w:rFonts w:ascii="Arial" w:cs="Arial" w:eastAsia="Arial" w:hAnsi="Arial"/>
                <w:sz w:val="19"/>
                <w:szCs w:val="19"/>
                <w:color w:val="auto"/>
              </w:rPr>
              <w:t>24,539.77</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3520" w:type="dxa"/>
            <w:vAlign w:val="bottom"/>
            <w:shd w:val="clear" w:color="auto" w:fill="E7E7E2"/>
          </w:tcPr>
          <w:p>
            <w:pPr>
              <w:ind w:left="20"/>
              <w:spacing w:after="0"/>
              <w:rPr>
                <w:sz w:val="20"/>
                <w:szCs w:val="20"/>
                <w:color w:val="auto"/>
              </w:rPr>
            </w:pPr>
            <w:r>
              <w:rPr>
                <w:rFonts w:ascii="Arial" w:cs="Arial" w:eastAsia="Arial" w:hAnsi="Arial"/>
                <w:sz w:val="19"/>
                <w:szCs w:val="19"/>
                <w:color w:val="auto"/>
              </w:rPr>
              <w:t>Fees Previously Paid</w:t>
            </w:r>
          </w:p>
        </w:tc>
        <w:tc>
          <w:tcPr>
            <w:tcW w:w="20" w:type="dxa"/>
            <w:vAlign w:val="bottom"/>
          </w:tcPr>
          <w:p>
            <w:pPr>
              <w:spacing w:after="0"/>
              <w:rPr>
                <w:sz w:val="20"/>
                <w:szCs w:val="20"/>
                <w:color w:val="auto"/>
              </w:rPr>
            </w:pPr>
          </w:p>
        </w:tc>
        <w:tc>
          <w:tcPr>
            <w:tcW w:w="17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Total Transaction</w:t>
            </w:r>
          </w:p>
        </w:tc>
        <w:tc>
          <w:tcPr>
            <w:tcW w:w="1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Valuation:</w:t>
            </w:r>
          </w:p>
        </w:tc>
        <w:tc>
          <w:tcPr>
            <w:tcW w:w="1380" w:type="dxa"/>
            <w:vAlign w:val="bottom"/>
            <w:gridSpan w:val="2"/>
          </w:tcPr>
          <w:p>
            <w:pPr>
              <w:jc w:val="right"/>
              <w:spacing w:after="0"/>
              <w:rPr>
                <w:sz w:val="20"/>
                <w:szCs w:val="20"/>
                <w:color w:val="auto"/>
              </w:rPr>
            </w:pPr>
            <w:r>
              <w:rPr>
                <w:rFonts w:ascii="Arial" w:cs="Arial" w:eastAsia="Arial" w:hAnsi="Arial"/>
                <w:sz w:val="19"/>
                <w:szCs w:val="19"/>
                <w:color w:val="auto"/>
              </w:rPr>
              <w:t>282,066,373.55</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Total Fees Due for</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Filing:</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24,539.77</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Total Fees</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$ 0.00</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Previously Paid:</w:t>
            </w: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spacing w:after="0"/>
              <w:rPr>
                <w:sz w:val="20"/>
                <w:szCs w:val="20"/>
                <w:color w:val="auto"/>
              </w:rPr>
            </w:pPr>
            <w:r>
              <w:rPr>
                <w:rFonts w:ascii="Arial" w:cs="Arial" w:eastAsia="Arial" w:hAnsi="Arial"/>
                <w:sz w:val="19"/>
                <w:szCs w:val="19"/>
                <w:color w:val="auto"/>
              </w:rPr>
              <w:t>Total Fee Offsets:</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24,539.77</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Fee Due:</w:t>
            </w: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$ 0.00</w:t>
            </w: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3560" w:type="dxa"/>
            <w:vAlign w:val="bottom"/>
            <w:gridSpan w:val="2"/>
          </w:tcPr>
          <w:p>
            <w:pPr>
              <w:ind w:left="40"/>
              <w:spacing w:after="0"/>
              <w:rPr>
                <w:sz w:val="20"/>
                <w:szCs w:val="20"/>
                <w:color w:val="auto"/>
              </w:rPr>
            </w:pPr>
            <w:r>
              <w:rPr>
                <w:rFonts w:ascii="Arial" w:cs="Arial" w:eastAsia="Arial" w:hAnsi="Arial"/>
                <w:sz w:val="19"/>
                <w:szCs w:val="19"/>
                <w:b w:val="1"/>
                <w:bCs w:val="1"/>
                <w:color w:val="auto"/>
              </w:rPr>
              <w:t>Offering Note</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60" w:type="dxa"/>
            <w:vAlign w:val="bottom"/>
            <w:gridSpan w:val="2"/>
          </w:tcPr>
          <w:p>
            <w:pPr>
              <w:ind w:left="4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360" w:right="1200"/>
        <w:spacing w:after="0" w:line="243" w:lineRule="auto"/>
        <w:rPr>
          <w:sz w:val="20"/>
          <w:szCs w:val="20"/>
          <w:color w:val="auto"/>
        </w:rPr>
      </w:pPr>
      <w:r>
        <w:rPr>
          <w:rFonts w:ascii="Arial" w:cs="Arial" w:eastAsia="Arial" w:hAnsi="Arial"/>
          <w:sz w:val="19"/>
          <w:szCs w:val="19"/>
          <w:color w:val="auto"/>
        </w:rPr>
        <w:t>As of October 23, 2026, the maximum number of shares of common stock, par value $0.001 per share, of Priority Technology Holdings, Inc. to which this transaction applies is estimated to be 31,903,858 shares, calculated as follows: (i) 82,572,061 shares issued and outstanding on such date; minus (ii) 50,668,203 shares held by the Supporting Stockholders, which are subject to the Support Agreement and will be contributed to Ultimate Parent in the Rollover and cancelled without payment of the Merger Consideration.</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Estimated solely for the purpose of calculating the filing fee pursuant to Exchange Act Rule 0-11, the</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underlying value of the transaction was calculated as the sum of (a) the product of (i) 31,903,858</w:t>
      </w:r>
    </w:p>
    <w:p>
      <w:pPr>
        <w:ind w:left="1360"/>
        <w:spacing w:after="0" w:line="236" w:lineRule="auto"/>
        <w:rPr>
          <w:sz w:val="20"/>
          <w:szCs w:val="20"/>
          <w:color w:val="auto"/>
        </w:rPr>
      </w:pPr>
      <w:r>
        <w:rPr>
          <w:rFonts w:ascii="Arial" w:cs="Arial" w:eastAsia="Arial" w:hAnsi="Arial"/>
          <w:sz w:val="19"/>
          <w:szCs w:val="19"/>
          <w:color w:val="auto"/>
        </w:rPr>
        <w:t>shares and (ii) the per share cash merger consideration of $8.05, or $257,066,373.55; plus (b)</w:t>
      </w:r>
    </w:p>
    <w:p>
      <w:pPr>
        <w:ind w:left="1360"/>
        <w:spacing w:after="0" w:line="236" w:lineRule="auto"/>
        <w:rPr>
          <w:sz w:val="20"/>
          <w:szCs w:val="20"/>
          <w:color w:val="auto"/>
        </w:rPr>
      </w:pPr>
      <w:r>
        <w:rPr>
          <w:rFonts w:ascii="Arial" w:cs="Arial" w:eastAsia="Arial" w:hAnsi="Arial"/>
          <w:sz w:val="19"/>
          <w:szCs w:val="19"/>
          <w:color w:val="auto"/>
        </w:rPr>
        <w:t>$25,000,000.00, the estimated aggregate amount of cash payable in respect of outstanding Company</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Options, Company RSUs and Company PSUs cancelled and converted into cash at the Effective Time.</w:t>
      </w:r>
    </w:p>
    <w:p>
      <w:pPr>
        <w:spacing w:after="0" w:line="194" w:lineRule="exact"/>
        <w:rPr>
          <w:sz w:val="20"/>
          <w:szCs w:val="20"/>
          <w:color w:val="auto"/>
        </w:rPr>
      </w:pPr>
    </w:p>
    <w:p>
      <w:pPr>
        <w:ind w:left="1360" w:right="1220"/>
        <w:spacing w:after="0" w:line="254" w:lineRule="auto"/>
        <w:rPr>
          <w:sz w:val="20"/>
          <w:szCs w:val="20"/>
          <w:color w:val="auto"/>
        </w:rPr>
      </w:pPr>
      <w:r>
        <w:rPr>
          <w:rFonts w:ascii="Arial" w:cs="Arial" w:eastAsia="Arial" w:hAnsi="Arial"/>
          <w:sz w:val="19"/>
          <w:szCs w:val="19"/>
          <w:color w:val="auto"/>
        </w:rPr>
        <w:t>In accordance with Exchange Act Rule 0-11(c)(1), the transaction valuation reflects the total cash to be paid in the transaction, including amounts payable in respect of Company Options, Company RSUs and Company PSUs, in addition to amounts payable for outstanding shares.</w:t>
      </w:r>
    </w:p>
    <w:p>
      <w:pPr>
        <w:spacing w:after="0" w:line="167" w:lineRule="exact"/>
        <w:rPr>
          <w:sz w:val="20"/>
          <w:szCs w:val="20"/>
          <w:color w:val="auto"/>
        </w:rPr>
      </w:pPr>
    </w:p>
    <w:p>
      <w:pPr>
        <w:ind w:left="1360" w:right="1460"/>
        <w:spacing w:after="0" w:line="246" w:lineRule="auto"/>
        <w:rPr>
          <w:sz w:val="20"/>
          <w:szCs w:val="20"/>
          <w:color w:val="auto"/>
        </w:rPr>
      </w:pPr>
      <w:r>
        <w:rPr>
          <w:rFonts w:ascii="Arial" w:cs="Arial" w:eastAsia="Arial" w:hAnsi="Arial"/>
          <w:sz w:val="19"/>
          <w:szCs w:val="19"/>
          <w:color w:val="auto"/>
        </w:rPr>
        <w:t>In accordance with Section 14(g) of the Securities Exchange Act of 1934, as amended, the filing fee was determined by multiplying $282,066,373.55 by 0.00008700.</w:t>
      </w:r>
    </w:p>
    <w:p>
      <w:pPr>
        <w:ind w:left="1360" w:right="1400"/>
        <w:spacing w:after="0" w:line="252" w:lineRule="auto"/>
        <w:rPr>
          <w:sz w:val="20"/>
          <w:szCs w:val="20"/>
          <w:color w:val="auto"/>
        </w:rPr>
      </w:pPr>
      <w:r>
        <w:rPr>
          <w:rFonts w:ascii="Arial" w:cs="Arial" w:eastAsia="Arial" w:hAnsi="Arial"/>
          <w:sz w:val="19"/>
          <w:szCs w:val="19"/>
          <w:color w:val="auto"/>
        </w:rPr>
        <w:t>Priority Technology Holdings Inc. previously paid $24,539.77 upon the filing of its Preliminary Proxy Statement on Schedule 14A on October 30, 2026 in connection with the transaction reported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64135</wp:posOffset>
            </wp:positionV>
            <wp:extent cx="569404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5694045" cy="40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4720" w:type="dxa"/>
            <w:vAlign w:val="bottom"/>
            <w:gridSpan w:val="8"/>
          </w:tcPr>
          <w:p>
            <w:pPr>
              <w:ind w:left="40"/>
              <w:spacing w:after="0"/>
              <w:rPr>
                <w:sz w:val="20"/>
                <w:szCs w:val="20"/>
                <w:color w:val="auto"/>
              </w:rPr>
            </w:pPr>
            <w:r>
              <w:rPr>
                <w:rFonts w:ascii="Arial" w:cs="Arial" w:eastAsia="Arial" w:hAnsi="Arial"/>
                <w:sz w:val="19"/>
                <w:szCs w:val="19"/>
                <w:b w:val="1"/>
                <w:bCs w:val="1"/>
                <w:color w:val="auto"/>
              </w:rPr>
              <w:t>Table 2: Fee Offset Claims and Sources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gridSpan w:val="4"/>
          </w:tcPr>
          <w:p>
            <w:pPr>
              <w:ind w:left="640"/>
              <w:spacing w:after="0" w:line="219" w:lineRule="exact"/>
              <w:rPr>
                <w:sz w:val="20"/>
                <w:szCs w:val="20"/>
                <w:color w:val="auto"/>
              </w:rPr>
            </w:pPr>
            <w:r>
              <w:rPr>
                <w:rFonts w:ascii="MS PGothic" w:cs="MS PGothic" w:eastAsia="MS PGothic" w:hAnsi="MS PGothic"/>
                <w:sz w:val="19"/>
                <w:szCs w:val="19"/>
                <w:color w:val="auto"/>
                <w:highlight w:val="black"/>
                <w:w w:val="98"/>
              </w:rPr>
              <w:t>☐</w:t>
            </w:r>
            <w:r>
              <w:rPr>
                <w:rFonts w:ascii="Arial" w:cs="Arial" w:eastAsia="Arial" w:hAnsi="Arial"/>
                <w:sz w:val="19"/>
                <w:szCs w:val="19"/>
                <w:b w:val="1"/>
                <w:bCs w:val="1"/>
                <w:color w:val="auto"/>
                <w:w w:val="98"/>
              </w:rPr>
              <w:t>Not Applicable</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Form or</w:t>
            </w: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Fee Paid</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2"/>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Registrant or Filer</w:t>
            </w: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File</w:t>
            </w:r>
          </w:p>
        </w:tc>
        <w:tc>
          <w:tcPr>
            <w:tcW w:w="20" w:type="dxa"/>
            <w:vAlign w:val="bottom"/>
          </w:tcPr>
          <w:p>
            <w:pPr>
              <w:spacing w:after="0"/>
              <w:rPr>
                <w:sz w:val="9"/>
                <w:szCs w:val="9"/>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Initial Filing</w:t>
            </w:r>
          </w:p>
        </w:tc>
        <w:tc>
          <w:tcPr>
            <w:tcW w:w="20" w:type="dxa"/>
            <w:vAlign w:val="bottom"/>
          </w:tcPr>
          <w:p>
            <w:pPr>
              <w:spacing w:after="0"/>
              <w:rPr>
                <w:sz w:val="9"/>
                <w:szCs w:val="9"/>
                <w:color w:val="auto"/>
              </w:rPr>
            </w:pPr>
          </w:p>
        </w:tc>
        <w:tc>
          <w:tcPr>
            <w:tcW w:w="11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Fee Offset</w:t>
            </w:r>
          </w:p>
        </w:tc>
        <w:tc>
          <w:tcPr>
            <w:tcW w:w="20" w:type="dxa"/>
            <w:vAlign w:val="bottom"/>
          </w:tcPr>
          <w:p>
            <w:pPr>
              <w:spacing w:after="0"/>
              <w:rPr>
                <w:sz w:val="9"/>
                <w:szCs w:val="9"/>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with Fee</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2"/>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3" w:lineRule="exact"/>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16"/>
                <w:szCs w:val="16"/>
                <w:color w:val="auto"/>
              </w:rPr>
            </w:pPr>
          </w:p>
        </w:tc>
        <w:tc>
          <w:tcPr>
            <w:tcW w:w="96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ind w:left="100"/>
              <w:spacing w:after="0" w:line="193" w:lineRule="exact"/>
              <w:rPr>
                <w:sz w:val="20"/>
                <w:szCs w:val="20"/>
                <w:color w:val="auto"/>
              </w:rPr>
            </w:pPr>
            <w:r>
              <w:rPr>
                <w:rFonts w:ascii="Arial" w:cs="Arial" w:eastAsia="Arial" w:hAnsi="Arial"/>
                <w:sz w:val="19"/>
                <w:szCs w:val="19"/>
                <w:b w:val="1"/>
                <w:bCs w:val="1"/>
                <w:color w:val="auto"/>
              </w:rPr>
              <w:t>Filing Date</w:t>
            </w:r>
          </w:p>
        </w:tc>
        <w:tc>
          <w:tcPr>
            <w:tcW w:w="20" w:type="dxa"/>
            <w:vAlign w:val="bottom"/>
          </w:tcPr>
          <w:p>
            <w:pPr>
              <w:spacing w:after="0"/>
              <w:rPr>
                <w:sz w:val="16"/>
                <w:szCs w:val="16"/>
                <w:color w:val="auto"/>
              </w:rPr>
            </w:pPr>
          </w:p>
        </w:tc>
        <w:tc>
          <w:tcPr>
            <w:tcW w:w="106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vMerge w:val="continue"/>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 w:type="dxa"/>
            <w:vAlign w:val="bottom"/>
            <w:tcBorders>
              <w:left w:val="single" w:sz="8" w:color="auto"/>
            </w:tcBorders>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2"/>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Name</w:t>
            </w:r>
          </w:p>
        </w:tc>
        <w:tc>
          <w:tcPr>
            <w:tcW w:w="20" w:type="dxa"/>
            <w:vAlign w:val="bottom"/>
          </w:tcPr>
          <w:p>
            <w:pPr>
              <w:spacing w:after="0"/>
              <w:rPr>
                <w:sz w:val="11"/>
                <w:szCs w:val="11"/>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4"/>
              </w:rPr>
              <w:t>Type</w:t>
            </w:r>
          </w:p>
        </w:tc>
        <w:tc>
          <w:tcPr>
            <w:tcW w:w="20" w:type="dxa"/>
            <w:vAlign w:val="bottom"/>
          </w:tcPr>
          <w:p>
            <w:pPr>
              <w:spacing w:after="0"/>
              <w:rPr>
                <w:sz w:val="11"/>
                <w:szCs w:val="11"/>
                <w:color w:val="auto"/>
              </w:rPr>
            </w:pPr>
          </w:p>
        </w:tc>
        <w:tc>
          <w:tcPr>
            <w:tcW w:w="9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Number</w:t>
            </w:r>
          </w:p>
        </w:tc>
        <w:tc>
          <w:tcPr>
            <w:tcW w:w="20" w:type="dxa"/>
            <w:vAlign w:val="bottom"/>
          </w:tcPr>
          <w:p>
            <w:pPr>
              <w:spacing w:after="0"/>
              <w:rPr>
                <w:sz w:val="11"/>
                <w:szCs w:val="11"/>
                <w:color w:val="auto"/>
              </w:rPr>
            </w:pPr>
          </w:p>
        </w:tc>
        <w:tc>
          <w:tcPr>
            <w:tcW w:w="11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Date</w:t>
            </w:r>
          </w:p>
        </w:tc>
        <w:tc>
          <w:tcPr>
            <w:tcW w:w="20" w:type="dxa"/>
            <w:vAlign w:val="bottom"/>
          </w:tcPr>
          <w:p>
            <w:pPr>
              <w:spacing w:after="0"/>
              <w:rPr>
                <w:sz w:val="11"/>
                <w:szCs w:val="11"/>
                <w:color w:val="auto"/>
              </w:rPr>
            </w:pPr>
          </w:p>
        </w:tc>
        <w:tc>
          <w:tcPr>
            <w:tcW w:w="1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Claimed</w:t>
            </w:r>
          </w:p>
        </w:tc>
        <w:tc>
          <w:tcPr>
            <w:tcW w:w="20" w:type="dxa"/>
            <w:vAlign w:val="bottom"/>
          </w:tcPr>
          <w:p>
            <w:pPr>
              <w:spacing w:after="0"/>
              <w:rPr>
                <w:sz w:val="11"/>
                <w:szCs w:val="11"/>
                <w:color w:val="auto"/>
              </w:rPr>
            </w:pPr>
          </w:p>
        </w:tc>
        <w:tc>
          <w:tcPr>
            <w:tcW w:w="10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 w:type="dxa"/>
            <w:vAlign w:val="bottom"/>
            <w:tcBorders>
              <w:left w:val="single" w:sz="8" w:color="auto"/>
            </w:tcBorders>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6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shd w:val="clear" w:color="auto" w:fill="9ADAF6"/>
          </w:tcPr>
          <w:p>
            <w:pPr>
              <w:spacing w:after="0"/>
              <w:rPr>
                <w:sz w:val="13"/>
                <w:szCs w:val="13"/>
                <w:color w:val="auto"/>
              </w:rPr>
            </w:pPr>
          </w:p>
        </w:tc>
        <w:tc>
          <w:tcPr>
            <w:tcW w:w="1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Source</w:t>
            </w: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40" w:type="dxa"/>
            <w:vAlign w:val="bottom"/>
            <w:tcBorders>
              <w:left w:val="single" w:sz="8" w:color="auto"/>
            </w:tcBorders>
          </w:tcPr>
          <w:p>
            <w:pPr>
              <w:spacing w:after="0"/>
              <w:rPr>
                <w:sz w:val="24"/>
                <w:szCs w:val="24"/>
                <w:color w:val="auto"/>
              </w:rPr>
            </w:pPr>
          </w:p>
        </w:tc>
        <w:tc>
          <w:tcPr>
            <w:tcW w:w="1360" w:type="dxa"/>
            <w:vAlign w:val="bottom"/>
            <w:gridSpan w:val="2"/>
            <w:shd w:val="clear" w:color="auto" w:fill="E7E7E2"/>
          </w:tcPr>
          <w:p>
            <w:pPr>
              <w:spacing w:after="0"/>
              <w:rPr>
                <w:sz w:val="20"/>
                <w:szCs w:val="20"/>
                <w:color w:val="auto"/>
              </w:rPr>
            </w:pPr>
            <w:r>
              <w:rPr>
                <w:rFonts w:ascii="Arial" w:cs="Arial" w:eastAsia="Arial" w:hAnsi="Arial"/>
                <w:sz w:val="19"/>
                <w:szCs w:val="19"/>
                <w:color w:val="auto"/>
              </w:rPr>
              <w:t>Fee Offset</w:t>
            </w:r>
          </w:p>
        </w:tc>
        <w:tc>
          <w:tcPr>
            <w:tcW w:w="20" w:type="dxa"/>
            <w:vAlign w:val="bottom"/>
          </w:tcPr>
          <w:p>
            <w:pPr>
              <w:spacing w:after="0"/>
              <w:rPr>
                <w:sz w:val="24"/>
                <w:szCs w:val="24"/>
                <w:color w:val="auto"/>
              </w:rPr>
            </w:pPr>
          </w:p>
        </w:tc>
        <w:tc>
          <w:tcPr>
            <w:tcW w:w="10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shd w:val="clear" w:color="auto" w:fill="E7E7E2"/>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8"/>
              </w:rPr>
              <w:t>Schedule</w:t>
            </w:r>
          </w:p>
        </w:tc>
        <w:tc>
          <w:tcPr>
            <w:tcW w:w="20" w:type="dxa"/>
            <w:vAlign w:val="bottom"/>
          </w:tcPr>
          <w:p>
            <w:pPr>
              <w:spacing w:after="0"/>
              <w:rPr>
                <w:sz w:val="24"/>
                <w:szCs w:val="24"/>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001-37872</w:t>
            </w:r>
          </w:p>
        </w:tc>
        <w:tc>
          <w:tcPr>
            <w:tcW w:w="20" w:type="dxa"/>
            <w:vAlign w:val="bottom"/>
          </w:tcPr>
          <w:p>
            <w:pPr>
              <w:spacing w:after="0"/>
              <w:rPr>
                <w:sz w:val="24"/>
                <w:szCs w:val="24"/>
                <w:color w:val="auto"/>
              </w:rPr>
            </w:pPr>
          </w:p>
        </w:tc>
        <w:tc>
          <w:tcPr>
            <w:tcW w:w="116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10/30/2026</w:t>
            </w:r>
          </w:p>
        </w:tc>
        <w:tc>
          <w:tcPr>
            <w:tcW w:w="20" w:type="dxa"/>
            <w:vAlign w:val="bottom"/>
          </w:tcPr>
          <w:p>
            <w:pPr>
              <w:spacing w:after="0"/>
              <w:rPr>
                <w:sz w:val="24"/>
                <w:szCs w:val="24"/>
                <w:color w:val="auto"/>
              </w:rPr>
            </w:pPr>
          </w:p>
        </w:tc>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9"/>
              </w:rPr>
              <w:t>$ 24,539.77</w:t>
            </w: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1360" w:type="dxa"/>
            <w:vAlign w:val="bottom"/>
            <w:gridSpan w:val="2"/>
            <w:shd w:val="clear" w:color="auto" w:fill="E7E7E2"/>
          </w:tcPr>
          <w:p>
            <w:pPr>
              <w:spacing w:after="0" w:line="167" w:lineRule="exact"/>
              <w:rPr>
                <w:sz w:val="20"/>
                <w:szCs w:val="20"/>
                <w:color w:val="auto"/>
              </w:rPr>
            </w:pPr>
            <w:r>
              <w:rPr>
                <w:rFonts w:ascii="Arial" w:cs="Arial" w:eastAsia="Arial" w:hAnsi="Arial"/>
                <w:sz w:val="19"/>
                <w:szCs w:val="19"/>
                <w:color w:val="auto"/>
              </w:rPr>
              <w:t>Claims</w:t>
            </w:r>
          </w:p>
        </w:tc>
        <w:tc>
          <w:tcPr>
            <w:tcW w:w="20" w:type="dxa"/>
            <w:vAlign w:val="bottom"/>
          </w:tcPr>
          <w:p>
            <w:pPr>
              <w:spacing w:after="0"/>
              <w:rPr>
                <w:sz w:val="14"/>
                <w:szCs w:val="14"/>
                <w:color w:val="auto"/>
              </w:rPr>
            </w:pPr>
          </w:p>
        </w:tc>
        <w:tc>
          <w:tcPr>
            <w:tcW w:w="10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shd w:val="clear" w:color="auto" w:fill="E7E7E2"/>
          </w:tcPr>
          <w:p>
            <w:pPr>
              <w:spacing w:after="0"/>
              <w:rPr>
                <w:sz w:val="14"/>
                <w:szCs w:val="14"/>
                <w:color w:val="auto"/>
              </w:rPr>
            </w:pPr>
          </w:p>
        </w:tc>
        <w:tc>
          <w:tcPr>
            <w:tcW w:w="1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jc w:val="center"/>
              <w:spacing w:after="0" w:line="167" w:lineRule="exact"/>
              <w:rPr>
                <w:sz w:val="20"/>
                <w:szCs w:val="20"/>
                <w:color w:val="auto"/>
              </w:rPr>
            </w:pPr>
            <w:r>
              <w:rPr>
                <w:rFonts w:ascii="Arial" w:cs="Arial" w:eastAsia="Arial" w:hAnsi="Arial"/>
                <w:sz w:val="19"/>
                <w:szCs w:val="19"/>
                <w:color w:val="auto"/>
              </w:rPr>
              <w:t>14A</w:t>
            </w: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7"/>
        </w:trPr>
        <w:tc>
          <w:tcPr>
            <w:tcW w:w="40" w:type="dxa"/>
            <w:vAlign w:val="bottom"/>
            <w:tcBorders>
              <w:left w:val="single" w:sz="8" w:color="auto"/>
            </w:tcBorders>
          </w:tcPr>
          <w:p>
            <w:pPr>
              <w:spacing w:after="0"/>
              <w:rPr>
                <w:sz w:val="24"/>
                <w:szCs w:val="24"/>
                <w:color w:val="auto"/>
              </w:rPr>
            </w:pPr>
          </w:p>
        </w:tc>
        <w:tc>
          <w:tcPr>
            <w:tcW w:w="1360" w:type="dxa"/>
            <w:vAlign w:val="bottom"/>
            <w:gridSpan w:val="2"/>
            <w:shd w:val="clear" w:color="auto" w:fill="E7E7E2"/>
          </w:tcPr>
          <w:p>
            <w:pPr>
              <w:spacing w:after="0"/>
              <w:rPr>
                <w:sz w:val="20"/>
                <w:szCs w:val="20"/>
                <w:color w:val="auto"/>
              </w:rPr>
            </w:pPr>
            <w:r>
              <w:rPr>
                <w:rFonts w:ascii="Arial" w:cs="Arial" w:eastAsia="Arial" w:hAnsi="Arial"/>
                <w:sz w:val="19"/>
                <w:szCs w:val="19"/>
                <w:color w:val="auto"/>
              </w:rPr>
              <w:t>Fee Offset</w:t>
            </w:r>
          </w:p>
        </w:tc>
        <w:tc>
          <w:tcPr>
            <w:tcW w:w="20" w:type="dxa"/>
            <w:vAlign w:val="bottom"/>
          </w:tcPr>
          <w:p>
            <w:pPr>
              <w:spacing w:after="0"/>
              <w:rPr>
                <w:sz w:val="24"/>
                <w:szCs w:val="24"/>
                <w:color w:val="auto"/>
              </w:rPr>
            </w:pPr>
          </w:p>
        </w:tc>
        <w:tc>
          <w:tcPr>
            <w:tcW w:w="1080" w:type="dxa"/>
            <w:vAlign w:val="bottom"/>
            <w:shd w:val="clear" w:color="auto" w:fill="E7E7E2"/>
          </w:tcPr>
          <w:p>
            <w:pPr>
              <w:jc w:val="right"/>
              <w:ind w:right="384"/>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24"/>
                <w:szCs w:val="24"/>
                <w:color w:val="auto"/>
              </w:rPr>
            </w:pPr>
          </w:p>
        </w:tc>
        <w:tc>
          <w:tcPr>
            <w:tcW w:w="2200" w:type="dxa"/>
            <w:vAlign w:val="bottom"/>
            <w:gridSpan w:val="2"/>
            <w:shd w:val="clear" w:color="auto" w:fill="E7E7E2"/>
          </w:tcPr>
          <w:p>
            <w:pPr>
              <w:jc w:val="center"/>
              <w:spacing w:after="0"/>
              <w:rPr>
                <w:sz w:val="20"/>
                <w:szCs w:val="20"/>
                <w:color w:val="auto"/>
              </w:rPr>
            </w:pPr>
            <w:r>
              <w:rPr>
                <w:rFonts w:ascii="Arial" w:cs="Arial" w:eastAsia="Arial" w:hAnsi="Arial"/>
                <w:sz w:val="19"/>
                <w:szCs w:val="19"/>
                <w:color w:val="auto"/>
                <w:w w:val="98"/>
              </w:rPr>
              <w:t>Priority Technology</w:t>
            </w:r>
          </w:p>
        </w:tc>
        <w:tc>
          <w:tcPr>
            <w:tcW w:w="20" w:type="dxa"/>
            <w:vAlign w:val="bottom"/>
          </w:tcPr>
          <w:p>
            <w:pPr>
              <w:spacing w:after="0"/>
              <w:rPr>
                <w:sz w:val="24"/>
                <w:szCs w:val="24"/>
                <w:color w:val="auto"/>
              </w:rPr>
            </w:pPr>
          </w:p>
        </w:tc>
        <w:tc>
          <w:tcPr>
            <w:tcW w:w="98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8"/>
              </w:rPr>
              <w:t>Schedule</w:t>
            </w:r>
          </w:p>
        </w:tc>
        <w:tc>
          <w:tcPr>
            <w:tcW w:w="20" w:type="dxa"/>
            <w:vAlign w:val="bottom"/>
          </w:tcPr>
          <w:p>
            <w:pPr>
              <w:spacing w:after="0"/>
              <w:rPr>
                <w:sz w:val="24"/>
                <w:szCs w:val="24"/>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001-37872</w:t>
            </w:r>
          </w:p>
        </w:tc>
        <w:tc>
          <w:tcPr>
            <w:tcW w:w="20" w:type="dxa"/>
            <w:vAlign w:val="bottom"/>
          </w:tcPr>
          <w:p>
            <w:pPr>
              <w:spacing w:after="0"/>
              <w:rPr>
                <w:sz w:val="24"/>
                <w:szCs w:val="24"/>
                <w:color w:val="auto"/>
              </w:rPr>
            </w:pPr>
          </w:p>
        </w:tc>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E7E7E2"/>
          </w:tcPr>
          <w:p>
            <w:pPr>
              <w:ind w:left="100"/>
              <w:spacing w:after="0"/>
              <w:rPr>
                <w:sz w:val="20"/>
                <w:szCs w:val="20"/>
                <w:color w:val="auto"/>
              </w:rPr>
            </w:pPr>
            <w:r>
              <w:rPr>
                <w:rFonts w:ascii="Arial" w:cs="Arial" w:eastAsia="Arial" w:hAnsi="Arial"/>
                <w:sz w:val="19"/>
                <w:szCs w:val="19"/>
                <w:color w:val="auto"/>
              </w:rPr>
              <w:t>10/30/2026</w:t>
            </w: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9"/>
              </w:rPr>
              <w:t>$ 24,539.77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1360" w:type="dxa"/>
            <w:vAlign w:val="bottom"/>
            <w:gridSpan w:val="2"/>
            <w:shd w:val="clear" w:color="auto" w:fill="E7E7E2"/>
          </w:tcPr>
          <w:p>
            <w:pPr>
              <w:spacing w:after="0" w:line="167" w:lineRule="exact"/>
              <w:rPr>
                <w:sz w:val="20"/>
                <w:szCs w:val="20"/>
                <w:color w:val="auto"/>
              </w:rPr>
            </w:pPr>
            <w:r>
              <w:rPr>
                <w:rFonts w:ascii="Arial" w:cs="Arial" w:eastAsia="Arial" w:hAnsi="Arial"/>
                <w:sz w:val="19"/>
                <w:szCs w:val="19"/>
                <w:color w:val="auto"/>
              </w:rPr>
              <w:t>Sources</w:t>
            </w:r>
          </w:p>
        </w:tc>
        <w:tc>
          <w:tcPr>
            <w:tcW w:w="20" w:type="dxa"/>
            <w:vAlign w:val="bottom"/>
          </w:tcPr>
          <w:p>
            <w:pPr>
              <w:spacing w:after="0"/>
              <w:rPr>
                <w:sz w:val="14"/>
                <w:szCs w:val="14"/>
                <w:color w:val="auto"/>
              </w:rPr>
            </w:pPr>
          </w:p>
        </w:tc>
        <w:tc>
          <w:tcPr>
            <w:tcW w:w="10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2"/>
            <w:shd w:val="clear" w:color="auto" w:fill="E7E7E2"/>
          </w:tcPr>
          <w:p>
            <w:pPr>
              <w:jc w:val="center"/>
              <w:spacing w:after="0" w:line="167" w:lineRule="exact"/>
              <w:rPr>
                <w:sz w:val="20"/>
                <w:szCs w:val="20"/>
                <w:color w:val="auto"/>
              </w:rPr>
            </w:pPr>
            <w:r>
              <w:rPr>
                <w:rFonts w:ascii="Arial" w:cs="Arial" w:eastAsia="Arial" w:hAnsi="Arial"/>
                <w:sz w:val="19"/>
                <w:szCs w:val="19"/>
                <w:color w:val="auto"/>
              </w:rPr>
              <w:t>Holdings, Inc.</w:t>
            </w:r>
          </w:p>
        </w:tc>
        <w:tc>
          <w:tcPr>
            <w:tcW w:w="20" w:type="dxa"/>
            <w:vAlign w:val="bottom"/>
          </w:tcPr>
          <w:p>
            <w:pPr>
              <w:spacing w:after="0"/>
              <w:rPr>
                <w:sz w:val="14"/>
                <w:szCs w:val="14"/>
                <w:color w:val="auto"/>
              </w:rPr>
            </w:pPr>
          </w:p>
        </w:tc>
        <w:tc>
          <w:tcPr>
            <w:tcW w:w="980" w:type="dxa"/>
            <w:vAlign w:val="bottom"/>
            <w:shd w:val="clear" w:color="auto" w:fill="E7E7E2"/>
          </w:tcPr>
          <w:p>
            <w:pPr>
              <w:jc w:val="center"/>
              <w:spacing w:after="0" w:line="167" w:lineRule="exact"/>
              <w:rPr>
                <w:sz w:val="20"/>
                <w:szCs w:val="20"/>
                <w:color w:val="auto"/>
              </w:rPr>
            </w:pPr>
            <w:r>
              <w:rPr>
                <w:rFonts w:ascii="Arial" w:cs="Arial" w:eastAsia="Arial" w:hAnsi="Arial"/>
                <w:sz w:val="19"/>
                <w:szCs w:val="19"/>
                <w:color w:val="auto"/>
              </w:rPr>
              <w:t>14A</w:t>
            </w: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Offset Note</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60"/>
          </w:cols>
          <w:pgMar w:left="320" w:top="142" w:right="319" w:bottom="1440" w:gutter="0" w:footer="0" w:header="0"/>
        </w:sectPr>
      </w:pPr>
    </w:p>
    <w:p>
      <w:pPr>
        <w:spacing w:after="0" w:line="6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No fee offsets are claimed in connection with this filing. The filing fee reported in Table 1 is paid in full with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2787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27875" cy="40640"/>
                    </a:xfrm>
                    <a:prstGeom prst="rect">
                      <a:avLst/>
                    </a:prstGeom>
                    <a:noFill/>
                  </pic:spPr>
                </pic:pic>
              </a:graphicData>
            </a:graphic>
          </wp:anchor>
        </w:drawing>
      </w:r>
    </w:p>
    <w:sectPr>
      <w:pgSz w:w="11900" w:h="16838" w:orient="portrait"/>
      <w:cols w:equalWidth="0" w:num="1">
        <w:col w:w="11260"/>
      </w:cols>
      <w:pgMar w:left="320" w:top="14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3"/>
    </w:lvl>
  </w:abstractNum>
  <w:abstractNum w:abstractNumId="4">
    <w:nsid w:val="8EDBDAB"/>
    <w:multiLevelType w:val="hybridMultilevel"/>
    <w:lvl w:ilvl="0">
      <w:lvlJc w:val="left"/>
      <w:lvlText w:val="\emdash "/>
      <w:numFmt w:val="bullet"/>
      <w:start w:val="1"/>
    </w:lvl>
    <w:lvl w:ilvl="1">
      <w:lvlJc w:val="left"/>
      <w:lvlText w:val="(%2)"/>
      <w:numFmt w:val="lowerLetter"/>
      <w:start w:val="3"/>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3"/>
    </w:lvl>
  </w:abstractNum>
  <w:abstractNum w:abstractNumId="7">
    <w:nsid w:val="B03E0C6"/>
    <w:multiLevelType w:val="hybridMultilevel"/>
    <w:lvl w:ilvl="0">
      <w:lvlJc w:val="left"/>
      <w:lvlText w:val="(%1)"/>
      <w:numFmt w:val="lowerLetter"/>
      <w:start w:val="5"/>
    </w:lvl>
  </w:abstractNum>
  <w:abstractNum w:abstractNumId="8">
    <w:nsid w:val="189A769B"/>
    <w:multiLevelType w:val="hybridMultilevel"/>
    <w:lvl w:ilvl="0">
      <w:lvlJc w:val="left"/>
      <w:lvlText w:val="(%1)"/>
      <w:numFmt w:val="lowerLetter"/>
      <w:start w:val="2"/>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2"/>
    </w:lvl>
  </w:abstractNum>
  <w:abstractNum w:abstractNumId="11">
    <w:nsid w:val="2CA88611"/>
    <w:multiLevelType w:val="hybridMultilevel"/>
    <w:lvl w:ilvl="0">
      <w:lvlJc w:val="left"/>
      <w:lvlText w:val="(%1)"/>
      <w:numFmt w:val="lowerLetter"/>
      <w:start w:val="3"/>
    </w:lvl>
  </w:abstractNum>
  <w:abstractNum w:abstractNumId="12">
    <w:nsid w:val="836C40E"/>
    <w:multiLevelType w:val="hybridMultilevel"/>
    <w:lvl w:ilvl="0">
      <w:lvlJc w:val="left"/>
      <w:lvlText w:val="(%1)"/>
      <w:numFmt w:val="lowerLetter"/>
      <w:start w:val="3"/>
    </w:lvl>
  </w:abstractNum>
  <w:abstractNum w:abstractNumId="13">
    <w:nsid w:val="2901D82"/>
    <w:multiLevelType w:val="hybridMultilevel"/>
    <w:lvl w:ilvl="0">
      <w:lvlJc w:val="left"/>
      <w:lvlText w:val="\emdash "/>
      <w:numFmt w:val="bullet"/>
      <w:start w:val="1"/>
    </w:lvl>
    <w:lvl w:ilvl="1">
      <w:lvlJc w:val="left"/>
      <w:lvlText w:val="(%2)"/>
      <w:numFmt w:val="lowerLetter"/>
      <w:start w:val="3"/>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4"/>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2"/>
    </w:lvl>
  </w:abstractNum>
  <w:abstractNum w:abstractNumId="19">
    <w:nsid w:val="6CEAF087"/>
    <w:multiLevelType w:val="hybridMultilevel"/>
    <w:lvl w:ilvl="0">
      <w:lvlJc w:val="left"/>
      <w:lvlText w:val="(%1)"/>
      <w:numFmt w:val="lowerLetter"/>
      <w:start w:val="7"/>
    </w:lvl>
  </w:abstractNum>
  <w:abstractNum w:abstractNumId="20">
    <w:nsid w:val="22221A70"/>
    <w:multiLevelType w:val="hybridMultilevel"/>
    <w:lvl w:ilvl="0">
      <w:lvlJc w:val="left"/>
      <w:lvlText w:val="%1"/>
      <w:numFmt w:val="decimal"/>
      <w:start w:val="107"/>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2"/>
    </w:lvl>
  </w:abstractNum>
  <w:abstractNum w:abstractNumId="24">
    <w:nsid w:val="419AC241"/>
    <w:multiLevelType w:val="hybridMultilevel"/>
    <w:lvl w:ilvl="0">
      <w:lvlJc w:val="left"/>
      <w:lvlText w:val="%1."/>
      <w:numFmt w:val="decimal"/>
      <w:start w:val="3"/>
    </w:lvl>
  </w:abstractNum>
  <w:abstractNum w:abstractNumId="25">
    <w:nsid w:val="5577F8E1"/>
    <w:multiLevelType w:val="hybridMultilevel"/>
    <w:lvl w:ilvl="0">
      <w:lvlJc w:val="left"/>
      <w:lvlText w:val="%1."/>
      <w:numFmt w:val="decimal"/>
      <w:start w:val="4"/>
    </w:lvl>
  </w:abstractNum>
  <w:abstractNum w:abstractNumId="26">
    <w:nsid w:val="440BADFC"/>
    <w:multiLevelType w:val="hybridMultilevel"/>
    <w:lvl w:ilvl="0">
      <w:lvlJc w:val="left"/>
      <w:lvlText w:val="%1."/>
      <w:numFmt w:val="decimal"/>
      <w:start w:val="5"/>
    </w:lvl>
  </w:abstractNum>
  <w:abstractNum w:abstractNumId="27">
    <w:nsid w:val="5072367"/>
    <w:multiLevelType w:val="hybridMultilevel"/>
    <w:lvl w:ilvl="0">
      <w:lvlJc w:val="left"/>
      <w:lvlText w:val="%1."/>
      <w:numFmt w:val="decimal"/>
      <w:start w:val="6"/>
    </w:lvl>
  </w:abstractNum>
  <w:abstractNum w:abstractNumId="28">
    <w:nsid w:val="3804823E"/>
    <w:multiLevelType w:val="hybridMultilevel"/>
    <w:lvl w:ilvl="0">
      <w:lvlJc w:val="left"/>
      <w:lvlText w:val="%1."/>
      <w:numFmt w:val="decimal"/>
      <w:start w:val="7"/>
    </w:lvl>
  </w:abstractNum>
  <w:abstractNum w:abstractNumId="29">
    <w:nsid w:val="77465F01"/>
    <w:multiLevelType w:val="hybridMultilevel"/>
    <w:lvl w:ilvl="0">
      <w:lvlJc w:val="left"/>
      <w:lvlText w:val="%1."/>
      <w:numFmt w:val="decimal"/>
      <w:start w:val="8"/>
    </w:lvl>
  </w:abstractNum>
  <w:abstractNum w:abstractNumId="30">
    <w:nsid w:val="7724C67E"/>
    <w:multiLevelType w:val="hybridMultilevel"/>
    <w:lvl w:ilvl="0">
      <w:lvlJc w:val="left"/>
      <w:lvlText w:val="%1."/>
      <w:numFmt w:val="decimal"/>
      <w:start w:val="9"/>
    </w:lvl>
  </w:abstractNum>
  <w:abstractNum w:abstractNumId="31">
    <w:nsid w:val="5C482A97"/>
    <w:multiLevelType w:val="hybridMultilevel"/>
    <w:lvl w:ilvl="0">
      <w:lvlJc w:val="left"/>
      <w:lvlText w:val="%1."/>
      <w:numFmt w:val="decimal"/>
      <w:start w:val="10"/>
    </w:lvl>
  </w:abstractNum>
  <w:abstractNum w:abstractNumId="32">
    <w:nsid w:val="2463B9EA"/>
    <w:multiLevelType w:val="hybridMultilevel"/>
    <w:lvl w:ilvl="0">
      <w:lvlJc w:val="left"/>
      <w:lvlText w:val="%1."/>
      <w:numFmt w:val="decimal"/>
      <w:start w:val="11"/>
    </w:lvl>
  </w:abstractNum>
  <w:abstractNum w:abstractNumId="33">
    <w:nsid w:val="5E884ADC"/>
    <w:multiLevelType w:val="hybridMultilevel"/>
    <w:lvl w:ilvl="0">
      <w:lvlJc w:val="left"/>
      <w:lvlText w:val="%1."/>
      <w:numFmt w:val="decimal"/>
      <w:start w:val="12"/>
    </w:lvl>
  </w:abstractNum>
  <w:abstractNum w:abstractNumId="34">
    <w:nsid w:val="51EAD36B"/>
    <w:multiLevelType w:val="hybridMultilevel"/>
    <w:lvl w:ilvl="0">
      <w:lvlJc w:val="left"/>
      <w:lvlText w:val="%1."/>
      <w:numFmt w:val="decimal"/>
      <w:start w:val="13"/>
    </w:lvl>
  </w:abstractNum>
  <w:abstractNum w:abstractNumId="35">
    <w:nsid w:val="2D517796"/>
    <w:multiLevelType w:val="hybridMultilevel"/>
    <w:lvl w:ilvl="0">
      <w:lvlJc w:val="left"/>
      <w:lvlText w:val="%1."/>
      <w:numFmt w:val="decimal"/>
      <w:start w:val="14"/>
    </w:lvl>
  </w:abstractNum>
  <w:abstractNum w:abstractNumId="36">
    <w:nsid w:val="580BD78F"/>
    <w:multiLevelType w:val="hybridMultilevel"/>
    <w:lvl w:ilvl="0">
      <w:lvlJc w:val="left"/>
      <w:lvlText w:val="%1."/>
      <w:numFmt w:val="decimal"/>
      <w:start w:val="15"/>
    </w:lvl>
  </w:abstractNum>
  <w:abstractNum w:abstractNumId="37">
    <w:nsid w:val="153EA438"/>
    <w:multiLevelType w:val="hybridMultilevel"/>
    <w:lvl w:ilvl="0">
      <w:lvlJc w:val="left"/>
      <w:lvlText w:val="%1."/>
      <w:numFmt w:val="decimal"/>
      <w:start w:val="16"/>
    </w:lvl>
  </w:abstractNum>
  <w:abstractNum w:abstractNumId="38">
    <w:nsid w:val="3855585C"/>
    <w:multiLevelType w:val="hybridMultilevel"/>
    <w:lvl w:ilvl="0">
      <w:lvlJc w:val="left"/>
      <w:lvlText w:val="%1."/>
      <w:numFmt w:val="decimal"/>
      <w:start w:val="17"/>
    </w:lvl>
  </w:abstractNum>
  <w:abstractNum w:abstractNumId="39">
    <w:nsid w:val="70A64E2A"/>
    <w:multiLevelType w:val="hybridMultilevel"/>
    <w:lvl w:ilvl="0">
      <w:lvlJc w:val="left"/>
      <w:lvlText w:val="%1."/>
      <w:numFmt w:val="decimal"/>
      <w:start w:val="18"/>
    </w:lvl>
  </w:abstractNum>
  <w:abstractNum w:abstractNumId="40">
    <w:nsid w:val="6A2342EC"/>
    <w:multiLevelType w:val="hybridMultilevel"/>
    <w:lvl w:ilvl="0">
      <w:lvlJc w:val="left"/>
      <w:lvlText w:val="A"/>
      <w:numFmt w:val="bullet"/>
      <w:start w:val="1"/>
    </w:lvl>
  </w:abstractNum>
  <w:abstractNum w:abstractNumId="41">
    <w:nsid w:val="2A487CB0"/>
    <w:multiLevelType w:val="hybridMultilevel"/>
    <w:lvl w:ilvl="0">
      <w:lvlJc w:val="left"/>
      <w:lvlText w:val="%1."/>
      <w:numFmt w:val="decimal"/>
      <w:start w:val="20"/>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5" Type="http://schemas.openxmlformats.org/officeDocument/2006/relationships/hyperlink" Target="https://www.sec.gov/Archives/edgar/data/1653558/000121390026114372/ea0309852-01.htm" TargetMode="External"/><Relationship Id="rId26" Type="http://schemas.openxmlformats.org/officeDocument/2006/relationships/hyperlink" Target="https://www.sec.gov/Archives/edgar/data/1653558/000121390026114372/ea0309852-01.htm#T990124" TargetMode="External"/><Relationship Id="rId27" Type="http://schemas.openxmlformats.org/officeDocument/2006/relationships/hyperlink" Target="https://www.sec.gov/Archives/edgar/data/1653558/000121390026101651/ea030604701ex99-1.htm" TargetMode="External"/><Relationship Id="rId28" Type="http://schemas.openxmlformats.org/officeDocument/2006/relationships/hyperlink" Target="https://www.sec.gov/Archives/edgar/data/1653558/000121390026101651/ea030604701ex99-2.htm" TargetMode="External"/><Relationship Id="rId29" Type="http://schemas.openxmlformats.org/officeDocument/2006/relationships/hyperlink" Target="https://www.sec.gov/Archives/edgar/data/1653558/000121390026101651/ea030604701ex99-3.htm" TargetMode="External"/><Relationship Id="rId30" Type="http://schemas.openxmlformats.org/officeDocument/2006/relationships/hyperlink" Target="https://www.sec.gov/ix?doc=/Archives/edgar/data/0001653558/000165355824000073/prth-20240516.htm" TargetMode="External"/><Relationship Id="rId31" Type="http://schemas.openxmlformats.org/officeDocument/2006/relationships/hyperlink" Target="https://www.sec.gov/Archives/edgar/data/1653558/000121390026114372/ea0309852-01.htm#T990120" TargetMode="External"/><Relationship Id="rId32" Type="http://schemas.openxmlformats.org/officeDocument/2006/relationships/hyperlink" Target="https://www.sec.gov/Archives/edgar/data/1653558/000121390026101651/ea030604701ex2-1.htm" TargetMode="External"/><Relationship Id="rId33" Type="http://schemas.openxmlformats.org/officeDocument/2006/relationships/hyperlink" Target="https://www.sec.gov/Archives/edgar/data/1653558/000121390026114372/ea0309852-01.htm#T990121" TargetMode="External"/><Relationship Id="rId34" Type="http://schemas.openxmlformats.org/officeDocument/2006/relationships/hyperlink" Target="https://www.sec.gov/Archives/edgar/data/1653558/000121390026114372/ea0309852-01.htm#T990119" TargetMode="External"/><Relationship Id="rId35" Type="http://schemas.openxmlformats.org/officeDocument/2006/relationships/hyperlink" Target="https://www.sec.gov/Archives/edgar/data/1653558/000121390026101765/ea030607801ex99-3.htm" TargetMode="External"/><Relationship Id="rId36" Type="http://schemas.openxmlformats.org/officeDocument/2006/relationships/hyperlink" Target="https://www.sec.gov/Archives/edgar/data/1653558/000121390026114372/ea0309852-01.htm#T9901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2026-10-30T16:36:36Z</dcterms:created>
  <dcterms:modified xsi:type="dcterms:W3CDTF">2026-10-30T16:36:36Z</dcterms:modified>
</cp:coreProperties>
</file>