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Delaware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0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621"/>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jc w:val="right"/>
              <w:ind w:right="2270"/>
              <w:spacing w:after="0"/>
              <w:rPr>
                <w:sz w:val="20"/>
                <w:szCs w:val="20"/>
                <w:color w:val="auto"/>
              </w:rPr>
            </w:pPr>
            <w:r>
              <w:rPr>
                <w:rFonts w:ascii="Arial" w:cs="Arial" w:eastAsia="Arial" w:hAnsi="Arial"/>
                <w:sz w:val="18"/>
                <w:szCs w:val="18"/>
                <w:b w:val="1"/>
                <w:bCs w:val="1"/>
                <w:color w:val="auto"/>
              </w:rPr>
              <w:t>30004</w:t>
            </w:r>
          </w:p>
        </w:tc>
      </w:tr>
      <w:tr>
        <w:trPr>
          <w:trHeight w:val="270"/>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0"/>
        </w:trPr>
        <w:tc>
          <w:tcPr>
            <w:tcW w:w="3940" w:type="dxa"/>
            <w:vAlign w:val="bottom"/>
            <w:gridSpan w:val="2"/>
          </w:tcPr>
          <w:p>
            <w:pPr>
              <w:ind w:left="980"/>
              <w:spacing w:after="0"/>
              <w:rPr>
                <w:sz w:val="20"/>
                <w:szCs w:val="20"/>
                <w:color w:val="auto"/>
              </w:rPr>
            </w:pPr>
            <w:r>
              <w:rPr>
                <w:rFonts w:ascii="Arial" w:cs="Arial" w:eastAsia="Arial" w:hAnsi="Arial"/>
                <w:sz w:val="18"/>
                <w:szCs w:val="18"/>
                <w:b w:val="1"/>
                <w:bCs w:val="1"/>
                <w:color w:val="auto"/>
              </w:rPr>
              <w:t>Alpharetta,</w:t>
            </w:r>
          </w:p>
        </w:tc>
        <w:tc>
          <w:tcPr>
            <w:tcW w:w="3700" w:type="dxa"/>
            <w:vAlign w:val="bottom"/>
            <w:gridSpan w:val="4"/>
          </w:tcPr>
          <w:p>
            <w:pPr>
              <w:ind w:left="40"/>
              <w:spacing w:after="0"/>
              <w:rPr>
                <w:sz w:val="20"/>
                <w:szCs w:val="20"/>
                <w:color w:val="auto"/>
              </w:rPr>
            </w:pPr>
            <w:r>
              <w:rPr>
                <w:rFonts w:ascii="Arial" w:cs="Arial" w:eastAsia="Arial" w:hAnsi="Arial"/>
                <w:sz w:val="18"/>
                <w:szCs w:val="18"/>
                <w:b w:val="1"/>
                <w:bCs w:val="1"/>
                <w:color w:val="auto"/>
              </w:rPr>
              <w:t>Georgia</w:t>
            </w:r>
          </w:p>
        </w:tc>
        <w:tc>
          <w:tcPr>
            <w:tcW w:w="3600" w:type="dxa"/>
            <w:vAlign w:val="bottom"/>
          </w:tcPr>
          <w:p>
            <w:pPr>
              <w:spacing w:after="0"/>
              <w:rPr>
                <w:sz w:val="23"/>
                <w:szCs w:val="23"/>
                <w:color w:val="auto"/>
              </w:rPr>
            </w:pPr>
          </w:p>
        </w:tc>
      </w:tr>
      <w:tr>
        <w:trPr>
          <w:trHeight w:val="27"/>
        </w:trPr>
        <w:tc>
          <w:tcPr>
            <w:tcW w:w="576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6"/>
          </w:tcPr>
          <w:p>
            <w:pPr>
              <w:ind w:left="1400"/>
              <w:spacing w:after="0"/>
              <w:rPr>
                <w:sz w:val="20"/>
                <w:szCs w:val="20"/>
                <w:color w:val="auto"/>
              </w:rPr>
            </w:pPr>
            <w:r>
              <w:rPr>
                <w:rFonts w:ascii="Arial" w:cs="Arial" w:eastAsia="Arial" w:hAnsi="Arial"/>
                <w:sz w:val="18"/>
                <w:szCs w:val="18"/>
                <w:color w:val="auto"/>
              </w:rPr>
              <w:t>(Address of Principal Executive Offices)</w:t>
            </w:r>
          </w:p>
        </w:tc>
        <w:tc>
          <w:tcPr>
            <w:tcW w:w="3600" w:type="dxa"/>
            <w:vAlign w:val="bottom"/>
          </w:tcPr>
          <w:p>
            <w:pPr>
              <w:jc w:val="center"/>
              <w:ind w:right="15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6"/>
        </w:trPr>
        <w:tc>
          <w:tcPr>
            <w:tcW w:w="35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$0.001 par value</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PRTH</w:t>
            </w:r>
          </w:p>
        </w:tc>
        <w:tc>
          <w:tcPr>
            <w:tcW w:w="4340" w:type="dxa"/>
            <w:vAlign w:val="bottom"/>
          </w:tcPr>
          <w:p>
            <w:pPr>
              <w:ind w:left="134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661" w:right="339" w:bottom="1440" w:gutter="0" w:footer="0" w:header="0"/>
        </w:sectPr>
      </w:pPr>
    </w:p>
    <w:bookmarkStart w:id="1" w:name="page2"/>
    <w:bookmarkEnd w:id="1"/>
    <w:p>
      <w:pPr>
        <w:ind w:right="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April 10, 2020, Priority Technology Holdings, Inc. issued a press release announcing the promotions of the following into new leadership positions: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Anthony Bonventre, Executive Vice President of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Ranjana Ram, Head of M&amp;A and Strategic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Pamela Tefft, Corporate Controller 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copy of that press release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and the three individuals listed above in Item 5.02(c) are relying on the SEC orders under Section 36 of the Securities Exchange Act of 1934 granting exemptions from specified provisions of the Exchange Act and certain rules thereunder (Release No. 34-88318 on March 4, 2020 and Release No. 34-88465 on March 25, 2020).</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Due to COVID-19, most of the registrant's employees are working from home-based locations. These three individuals and most other employees of the registrant reside in localities where travel away from home has been restricted. This situation has resulted in difficulties with obtaining new EDGAR filing codes for the three individuals, including limited access to scanning and printing devices and other support. The EDGAR filing codes are necessary in order to timely file Form 3 with the Securities and Exchange Commission. The Form 3 filing requirements will be completed within 45 days of the original due dates. None of the three individuals owns more than 5% of the registrant's issued and outstanding common stock.</w:t>
      </w:r>
    </w:p>
    <w:p>
      <w:pPr>
        <w:spacing w:after="0" w:line="3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u w:val="single" w:color="auto"/>
          <w:color w:val="auto"/>
        </w:rPr>
        <w:t>Exhibit Number</w:t>
      </w:r>
      <w:r>
        <w:rPr>
          <w:sz w:val="20"/>
          <w:szCs w:val="20"/>
          <w:color w:val="auto"/>
        </w:rPr>
        <w:tab/>
      </w:r>
      <w:r>
        <w:rPr>
          <w:rFonts w:ascii="Arial" w:cs="Arial" w:eastAsia="Arial" w:hAnsi="Arial"/>
          <w:sz w:val="15"/>
          <w:szCs w:val="15"/>
          <w:b w:val="1"/>
          <w:bCs w:val="1"/>
          <w:u w:val="single" w:color="auto"/>
          <w:color w:val="auto"/>
        </w:rPr>
        <w:t>Description</w:t>
      </w:r>
    </w:p>
    <w:p>
      <w:pPr>
        <w:spacing w:after="0" w:line="229" w:lineRule="exact"/>
        <w:rPr>
          <w:sz w:val="20"/>
          <w:szCs w:val="20"/>
          <w:color w:val="auto"/>
        </w:rPr>
      </w:pPr>
    </w:p>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99.</w:t>
        </w:r>
        <w:r>
          <w:rPr>
            <w:rFonts w:ascii="Arial" w:cs="Arial" w:eastAsia="Arial" w:hAnsi="Arial"/>
            <w:sz w:val="18"/>
            <w:szCs w:val="18"/>
            <w:color w:val="0000FF"/>
          </w:rPr>
          <w:t xml:space="preserve">1Press </w:t>
        </w:r>
        <w:r>
          <w:rPr>
            <w:rFonts w:ascii="Arial" w:cs="Arial" w:eastAsia="Arial" w:hAnsi="Arial"/>
            <w:sz w:val="18"/>
            <w:szCs w:val="18"/>
            <w:u w:val="single" w:color="auto"/>
            <w:color w:val="0000FF"/>
          </w:rPr>
          <w:t>Release of Priority Technology Holdings, Inc. dated April 10, 2020</w:t>
        </w:r>
      </w:hyperlink>
      <w:r>
        <w:rPr>
          <w:rFonts w:ascii="Arial" w:cs="Arial" w:eastAsia="Arial" w:hAnsi="Arial"/>
          <w:sz w:val="18"/>
          <w:szCs w:val="18"/>
          <w:color w:val="000000"/>
        </w:rPr>
        <w:t>.</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April 10, 2020</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By: /s/ Bradley J. Miller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Bradley J. Miller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Corporate Secretary and General Counsel</w:t>
      </w:r>
    </w:p>
    <w:p>
      <w:pPr>
        <w:sectPr>
          <w:pgSz w:w="11900" w:h="16838" w:orient="portrait"/>
          <w:cols w:equalWidth="0" w:num="1">
            <w:col w:w="11240"/>
          </w:cols>
          <w:pgMar w:left="320" w:top="553" w:right="339" w:bottom="1440" w:gutter="0" w:footer="0" w:header="0"/>
        </w:sectPr>
      </w:pPr>
    </w:p>
    <w:bookmarkStart w:id="2" w:name="page3"/>
    <w:bookmarkEnd w:id="2"/>
    <w:p>
      <w:pPr>
        <w:ind w:left="7360"/>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151765</wp:posOffset>
            </wp:positionV>
            <wp:extent cx="1765935"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ckettmann@lincolnchurchilladvisors.com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Priority Technology Holdings, Inc. Announces Leadership Promotions</w:t>
      </w:r>
    </w:p>
    <w:p>
      <w:pPr>
        <w:spacing w:after="0" w:line="200" w:lineRule="exact"/>
        <w:rPr>
          <w:sz w:val="20"/>
          <w:szCs w:val="20"/>
          <w:color w:val="auto"/>
        </w:rPr>
      </w:pPr>
    </w:p>
    <w:p>
      <w:pPr>
        <w:spacing w:after="0" w:line="25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ALPHARETTA, Ga.--Priority Technology Holdings, Inc. (NASDAQ: PRTH) (“Priority”), a leading provider of merchant acquiring, integrated payment software and commercial payment solutions, promoted the following into new leadership positions:</w:t>
      </w:r>
    </w:p>
    <w:p>
      <w:pPr>
        <w:spacing w:after="0" w:line="19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Anthony Bonventre, Executive Vice President of Operations</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Ranjana Ram, Head of M&amp;A and Strategic Initiatives</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Pamela Tefft, Corporate Controller and Chief Accounting Officer</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management team is among the best in our industry and these leaders deliver great results every day to our customers, partners and internal teams by remaining focused on our core values and strategic mission,” said Thomas Priore, Executive Chairman and CEO of Priority. “These leaders have greatly contributed to the success of our organization and I look forward to working with them in the future as Priority continues to grow and execute its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About Priority Technology Holdings, Inc.</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Priority is a leading provider of merchant acquiring, integrated payment software and commercial payment solutions, offering unique product and service capabilities to its merchant network and distribution partners. Priority’s enterprise operates from a purpose-built business platform that includes tailored customer service offerings and bespoke technology development, allowing the Company to provide end-to-end solutions for payment and payment-adjacent opportunities. Additional information can be found at www.PRTH.com.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2020-04-10T16:29:21Z</dcterms:created>
  <dcterms:modified xsi:type="dcterms:W3CDTF">2020-04-10T16:29:21Z</dcterms:modified>
</cp:coreProperties>
</file>