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(Amendment No. 4)*</w:t>
      </w:r>
    </w:p>
    <w:p>
      <w:pPr>
        <w:spacing w:after="0" w:line="1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(Name of Issuer)</w:t>
      </w:r>
    </w:p>
    <w:p>
      <w:pPr>
        <w:spacing w:after="0" w:line="3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3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74275G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(CUSIP Number)</w:t>
      </w: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Thomas C. Priore</w:t>
      </w:r>
    </w:p>
    <w:p>
      <w:pPr>
        <w:jc w:val="center"/>
        <w:ind w:right="-79"/>
        <w:spacing w:after="0" w:line="211" w:lineRule="auto"/>
        <w:rPr>
          <w:sz w:val="20"/>
          <w:szCs w:val="20"/>
          <w:color w:val="auto"/>
        </w:rPr>
      </w:pPr>
      <w:r>
        <w:rPr>
          <w:rFonts w:ascii="Times New Roman" w:cs="Times New Roman" w:eastAsia="Times New Roman" w:hAnsi="Times New Roman"/>
          <w:sz w:val="16"/>
          <w:szCs w:val="16"/>
          <w:color w:val="auto"/>
        </w:rPr>
        <w:t>c/o Priority Technology Holdings, Inc.</w:t>
      </w:r>
    </w:p>
    <w:p>
      <w:pPr>
        <w:jc w:val="center"/>
        <w:ind w:right="-79"/>
        <w:spacing w:after="0" w:line="211" w:lineRule="auto"/>
        <w:rPr>
          <w:sz w:val="20"/>
          <w:szCs w:val="20"/>
          <w:color w:val="auto"/>
        </w:rPr>
      </w:pPr>
      <w:r>
        <w:rPr>
          <w:rFonts w:ascii="Times New Roman" w:cs="Times New Roman" w:eastAsia="Times New Roman" w:hAnsi="Times New Roman"/>
          <w:sz w:val="16"/>
          <w:szCs w:val="16"/>
          <w:color w:val="auto"/>
        </w:rPr>
        <w:t>2001 Westside Parkway, Suite 155</w:t>
      </w:r>
    </w:p>
    <w:p>
      <w:pPr>
        <w:jc w:val="center"/>
        <w:ind w:right="-79"/>
        <w:spacing w:after="0" w:line="211" w:lineRule="auto"/>
        <w:rPr>
          <w:sz w:val="20"/>
          <w:szCs w:val="20"/>
          <w:color w:val="auto"/>
        </w:rPr>
      </w:pPr>
      <w:r>
        <w:rPr>
          <w:rFonts w:ascii="Times New Roman" w:cs="Times New Roman" w:eastAsia="Times New Roman" w:hAnsi="Times New Roman"/>
          <w:sz w:val="16"/>
          <w:szCs w:val="16"/>
          <w:color w:val="auto"/>
        </w:rPr>
        <w:t>Alpharetta, GA 30004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(800) 935-5961</w:t>
      </w: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(Name, Address and Telephone Number of Person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Authorized to Receive Notices and Communications)</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89"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Schedules filed in paper format shall include a signed original and five copies of the schedule, including all exhibits. See §240.13d-7 for other parties to whom copies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to be sent.</w:t>
      </w:r>
    </w:p>
    <w:p>
      <w:pPr>
        <w:spacing w:after="0" w:line="27" w:lineRule="exact"/>
        <w:rPr>
          <w:sz w:val="24"/>
          <w:szCs w:val="24"/>
          <w:color w:val="auto"/>
        </w:rPr>
      </w:pPr>
    </w:p>
    <w:p>
      <w:pPr>
        <w:ind w:right="60" w:firstLine="8"/>
        <w:spacing w:after="0" w:line="225" w:lineRule="auto"/>
        <w:tabs>
          <w:tab w:leader="none" w:pos="93"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7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ectPr>
          <w:pgSz w:w="11900" w:h="16838" w:orient="portrait"/>
          <w:cols w:equalWidth="0" w:num="1">
            <w:col w:w="11160"/>
          </w:cols>
          <w:pgMar w:left="320" w:top="1440"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left="700" w:right="1859" w:hanging="514"/>
        <w:spacing w:after="0" w:line="413" w:lineRule="auto"/>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I.R.S. IDENTIFICATION NOS. OF ABOVE PERSONS (ENTITIES ONLY) Thomas C. Priore</w:t>
      </w:r>
    </w:p>
    <w:p>
      <w:pPr>
        <w:spacing w:after="0" w:line="14" w:lineRule="exact"/>
        <w:rPr>
          <w:rFonts w:ascii="Times New Roman" w:cs="Times New Roman" w:eastAsia="Times New Roman" w:hAnsi="Times New Roman"/>
          <w:sz w:val="16"/>
          <w:szCs w:val="16"/>
          <w:color w:val="auto"/>
        </w:rPr>
      </w:pPr>
    </w:p>
    <w:p>
      <w:pPr>
        <w:ind w:left="700" w:right="4939" w:hanging="514"/>
        <w:spacing w:after="0" w:line="260" w:lineRule="auto"/>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040" w:hanging="346"/>
        <w:spacing w:after="0" w:line="184" w:lineRule="exact"/>
        <w:tabs>
          <w:tab w:leader="none" w:pos="1040" w:val="left"/>
        </w:tabs>
        <w:numPr>
          <w:ilvl w:val="1"/>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5" w:lineRule="exact"/>
        <w:rPr>
          <w:rFonts w:ascii="Times New Roman" w:cs="Times New Roman" w:eastAsia="Times New Roman" w:hAnsi="Times New Roman"/>
          <w:sz w:val="16"/>
          <w:szCs w:val="16"/>
          <w:color w:val="auto"/>
        </w:rPr>
      </w:pPr>
    </w:p>
    <w:p>
      <w:pPr>
        <w:ind w:left="1040" w:hanging="346"/>
        <w:spacing w:after="0" w:line="184" w:lineRule="exact"/>
        <w:tabs>
          <w:tab w:leader="none" w:pos="1040" w:val="left"/>
        </w:tabs>
        <w:numPr>
          <w:ilvl w:val="1"/>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68" w:lineRule="exact"/>
        <w:rPr>
          <w:rFonts w:ascii="Times New Roman" w:cs="Times New Roman" w:eastAsia="Times New Roman" w:hAnsi="Times New Roman"/>
          <w:sz w:val="16"/>
          <w:szCs w:val="16"/>
          <w:color w:val="auto"/>
        </w:rPr>
      </w:pPr>
    </w:p>
    <w:p>
      <w:pPr>
        <w:ind w:left="700" w:hanging="514"/>
        <w:spacing w:after="0"/>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75" w:lineRule="exact"/>
        <w:rPr>
          <w:rFonts w:ascii="Times New Roman" w:cs="Times New Roman" w:eastAsia="Times New Roman" w:hAnsi="Times New Roman"/>
          <w:sz w:val="16"/>
          <w:szCs w:val="16"/>
          <w:color w:val="auto"/>
        </w:rPr>
      </w:pPr>
    </w:p>
    <w:p>
      <w:pPr>
        <w:ind w:left="700" w:hanging="514"/>
        <w:spacing w:after="0"/>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-964565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OO (See Item 3)</w:t>
      </w:r>
    </w:p>
    <w:p>
      <w:pPr>
        <w:spacing w:after="0" w:line="37" w:lineRule="exact"/>
        <w:rPr>
          <w:sz w:val="20"/>
          <w:szCs w:val="20"/>
          <w:color w:val="auto"/>
        </w:rPr>
      </w:pPr>
    </w:p>
    <w:p>
      <w:pPr>
        <w:ind w:left="180"/>
        <w:spacing w:after="0" w:line="184" w:lineRule="exact"/>
        <w:tabs>
          <w:tab w:leader="none" w:pos="680" w:val="left"/>
          <w:tab w:leader="none" w:pos="8520" w:val="left"/>
        </w:tabs>
        <w:rPr>
          <w:sz w:val="20"/>
          <w:szCs w:val="20"/>
          <w:color w:val="auto"/>
        </w:rPr>
      </w:pPr>
      <w:r>
        <w:rPr>
          <w:rFonts w:ascii="Times New Roman" w:cs="Times New Roman" w:eastAsia="Times New Roman" w:hAnsi="Times New Roman"/>
          <w:sz w:val="16"/>
          <w:szCs w:val="16"/>
          <w:color w:val="auto"/>
        </w:rPr>
        <w:t>5.</w:t>
      </w:r>
      <w:r>
        <w:rPr>
          <w:sz w:val="20"/>
          <w:szCs w:val="20"/>
          <w:color w:val="auto"/>
        </w:rPr>
        <w:tab/>
      </w:r>
      <w:r>
        <w:rPr>
          <w:rFonts w:ascii="Times New Roman" w:cs="Times New Roman" w:eastAsia="Times New Roman" w:hAnsi="Times New Roman"/>
          <w:sz w:val="16"/>
          <w:szCs w:val="16"/>
          <w:color w:val="auto"/>
        </w:rPr>
        <w:t>CHECK BOX IF DISCLOSURE OF LEGAL PROCEEDINGS IS REQUIRED PURSUANT TO ITEMS 2(d) or 2(e)</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-110490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p>
      <w:pPr>
        <w:ind w:left="700" w:right="6119" w:hanging="514"/>
        <w:spacing w:after="0" w:line="545" w:lineRule="auto"/>
        <w:tabs>
          <w:tab w:leader="none" w:pos="7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United States</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2640" w:right="5799" w:hanging="429"/>
        <w:spacing w:after="0" w:line="413" w:lineRule="auto"/>
        <w:tabs>
          <w:tab w:leader="none" w:pos="26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34,319,476</w:t>
      </w:r>
    </w:p>
    <w:p>
      <w:pPr>
        <w:spacing w:after="0" w:line="14" w:lineRule="exact"/>
        <w:rPr>
          <w:rFonts w:ascii="Times New Roman" w:cs="Times New Roman" w:eastAsia="Times New Roman" w:hAnsi="Times New Roman"/>
          <w:sz w:val="16"/>
          <w:szCs w:val="16"/>
          <w:color w:val="auto"/>
        </w:rPr>
      </w:pPr>
    </w:p>
    <w:p>
      <w:pPr>
        <w:ind w:left="2640" w:hanging="429"/>
        <w:spacing w:after="0"/>
        <w:tabs>
          <w:tab w:leader="none" w:pos="26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VOTING POWER</w:t>
      </w:r>
    </w:p>
    <w:p>
      <w:pPr>
        <w:spacing w:after="0" w:line="23" w:lineRule="exact"/>
        <w:rPr>
          <w:rFonts w:ascii="Times New Roman" w:cs="Times New Roman" w:eastAsia="Times New Roman" w:hAnsi="Times New Roman"/>
          <w:sz w:val="16"/>
          <w:szCs w:val="16"/>
          <w:color w:val="auto"/>
        </w:rPr>
      </w:pPr>
    </w:p>
    <w:p>
      <w:pPr>
        <w:ind w:left="6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w:t>
      </w:r>
    </w:p>
    <w:p>
      <w:pPr>
        <w:ind w:left="180" w:right="6759" w:firstLine="103"/>
        <w:spacing w:after="0" w:line="1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12,500,000 OWNED BY EACH</w:t>
      </w:r>
    </w:p>
    <w:p>
      <w:pPr>
        <w:spacing w:after="0" w:line="1" w:lineRule="exact"/>
        <w:rPr>
          <w:rFonts w:ascii="Times New Roman" w:cs="Times New Roman" w:eastAsia="Times New Roman" w:hAnsi="Times New Roman"/>
          <w:sz w:val="16"/>
          <w:szCs w:val="16"/>
          <w:color w:val="auto"/>
        </w:rPr>
      </w:pPr>
    </w:p>
    <w:p>
      <w:pPr>
        <w:ind w:left="80" w:firstLine="2131"/>
        <w:spacing w:after="0"/>
        <w:tabs>
          <w:tab w:leader="none" w:pos="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DISPOSITIVE POWERREPORTINGPERSON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-1370330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-144780</wp:posOffset>
            </wp:positionV>
            <wp:extent cx="586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-556260</wp:posOffset>
            </wp:positionV>
            <wp:extent cx="586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WITH</w:t>
      </w:r>
    </w:p>
    <w:p>
      <w:pPr>
        <w:spacing w:after="0" w:line="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34,319,476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26035</wp:posOffset>
            </wp:positionV>
            <wp:extent cx="5863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48" w:lineRule="exact"/>
        <w:rPr>
          <w:sz w:val="20"/>
          <w:szCs w:val="20"/>
          <w:color w:val="auto"/>
        </w:rPr>
      </w:pPr>
    </w:p>
    <w:p>
      <w:pPr>
        <w:ind w:left="2640" w:right="5199" w:hanging="510"/>
        <w:spacing w:after="0" w:line="527" w:lineRule="auto"/>
        <w:tabs>
          <w:tab w:leader="none" w:pos="2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12,500,000</w:t>
      </w:r>
    </w:p>
    <w:p>
      <w:pPr>
        <w:spacing w:after="0" w:line="200" w:lineRule="exact"/>
        <w:rPr>
          <w:rFonts w:ascii="Times New Roman" w:cs="Times New Roman" w:eastAsia="Times New Roman" w:hAnsi="Times New Roman"/>
          <w:sz w:val="16"/>
          <w:szCs w:val="16"/>
          <w:color w:val="auto"/>
        </w:rPr>
      </w:pPr>
    </w:p>
    <w:p>
      <w:pPr>
        <w:spacing w:after="0" w:line="260" w:lineRule="exact"/>
        <w:rPr>
          <w:rFonts w:ascii="Times New Roman" w:cs="Times New Roman" w:eastAsia="Times New Roman" w:hAnsi="Times New Roman"/>
          <w:sz w:val="16"/>
          <w:szCs w:val="16"/>
          <w:color w:val="auto"/>
        </w:rPr>
      </w:pPr>
    </w:p>
    <w:p>
      <w:pPr>
        <w:ind w:left="700" w:right="3519" w:hanging="575"/>
        <w:spacing w:after="0" w:line="413" w:lineRule="auto"/>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46,819,476</w:t>
      </w:r>
    </w:p>
    <w:p>
      <w:pPr>
        <w:spacing w:after="0" w:line="14" w:lineRule="exact"/>
        <w:rPr>
          <w:rFonts w:ascii="Times New Roman" w:cs="Times New Roman" w:eastAsia="Times New Roman" w:hAnsi="Times New Roman"/>
          <w:sz w:val="16"/>
          <w:szCs w:val="16"/>
          <w:color w:val="auto"/>
        </w:rPr>
      </w:pPr>
    </w:p>
    <w:p>
      <w:pPr>
        <w:ind w:left="700" w:right="2979" w:hanging="581"/>
        <w:spacing w:after="0" w:line="220" w:lineRule="exact"/>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209" w:lineRule="exact"/>
        <w:rPr>
          <w:rFonts w:ascii="Times New Roman" w:cs="Times New Roman" w:eastAsia="Times New Roman" w:hAnsi="Times New Roman"/>
          <w:sz w:val="16"/>
          <w:szCs w:val="16"/>
          <w:color w:val="auto"/>
        </w:rPr>
      </w:pPr>
    </w:p>
    <w:p>
      <w:pPr>
        <w:ind w:left="700" w:hanging="581"/>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(11)</w:t>
      </w:r>
    </w:p>
    <w:p>
      <w:pPr>
        <w:spacing w:after="0" w:line="207"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61.8% (based on 75,792,939 shares of Common Stock outstanding on March 25, 2024)</w:t>
      </w:r>
    </w:p>
    <w:p>
      <w:pPr>
        <w:spacing w:after="0" w:line="72" w:lineRule="exact"/>
        <w:rPr>
          <w:rFonts w:ascii="Times New Roman" w:cs="Times New Roman" w:eastAsia="Times New Roman" w:hAnsi="Times New Roman"/>
          <w:sz w:val="16"/>
          <w:szCs w:val="16"/>
          <w:color w:val="auto"/>
        </w:rPr>
      </w:pPr>
    </w:p>
    <w:p>
      <w:pPr>
        <w:ind w:left="700" w:hanging="581"/>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07"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-2010410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-1204595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6"/>
          <w:szCs w:val="16"/>
          <w:color w:val="auto"/>
        </w:rPr>
        <w:t>CUSIP No. 74275G 107</w:t>
      </w:r>
      <w:r>
        <w:rPr>
          <w:sz w:val="20"/>
          <w:szCs w:val="20"/>
          <w:color w:val="auto"/>
        </w:rPr>
        <w:tab/>
      </w:r>
      <w:r>
        <w:rPr>
          <w:rFonts w:ascii="Times New Roman" w:cs="Times New Roman" w:eastAsia="Times New Roman" w:hAnsi="Times New Roman"/>
          <w:sz w:val="16"/>
          <w:szCs w:val="16"/>
          <w:color w:val="auto"/>
        </w:rPr>
        <w:t>13D</w:t>
      </w:r>
    </w:p>
    <w:p>
      <w:pPr>
        <w:sectPr>
          <w:pgSz w:w="11900" w:h="16838" w:orient="portrait"/>
          <w:cols w:equalWidth="0" w:num="1">
            <w:col w:w="10119"/>
          </w:cols>
          <w:pgMar w:left="340" w:top="1440" w:right="1440" w:bottom="1440" w:gutter="0" w:footer="0" w:header="0"/>
          <w:type w:val="continuous"/>
        </w:sectPr>
      </w:pPr>
    </w:p>
    <w:bookmarkStart w:id="2" w:name="page3"/>
    <w:bookmarkEnd w:id="2"/>
    <w:p>
      <w:pPr>
        <w:jc w:val="both"/>
        <w:ind w:firstLine="648"/>
        <w:spacing w:after="0" w:line="242" w:lineRule="auto"/>
        <w:rPr>
          <w:sz w:val="20"/>
          <w:szCs w:val="20"/>
          <w:color w:val="auto"/>
        </w:rPr>
      </w:pPr>
      <w:r>
        <w:rPr>
          <w:rFonts w:ascii="Times New Roman" w:cs="Times New Roman" w:eastAsia="Times New Roman" w:hAnsi="Times New Roman"/>
          <w:sz w:val="16"/>
          <w:szCs w:val="16"/>
          <w:color w:val="auto"/>
        </w:rPr>
        <w:t>This Amendment No. 4 ("</w:t>
      </w:r>
      <w:r>
        <w:rPr>
          <w:rFonts w:ascii="Times New Roman" w:cs="Times New Roman" w:eastAsia="Times New Roman" w:hAnsi="Times New Roman"/>
          <w:sz w:val="16"/>
          <w:szCs w:val="16"/>
          <w:u w:val="single" w:color="auto"/>
          <w:color w:val="auto"/>
        </w:rPr>
        <w:t>Amendment No. 4</w:t>
      </w:r>
      <w:r>
        <w:rPr>
          <w:rFonts w:ascii="Times New Roman" w:cs="Times New Roman" w:eastAsia="Times New Roman" w:hAnsi="Times New Roman"/>
          <w:sz w:val="16"/>
          <w:szCs w:val="16"/>
          <w:color w:val="auto"/>
        </w:rPr>
        <w:t>") is being filed by Thomas C. Priore (the “</w:t>
      </w:r>
      <w:r>
        <w:rPr>
          <w:rFonts w:ascii="Times New Roman" w:cs="Times New Roman" w:eastAsia="Times New Roman" w:hAnsi="Times New Roman"/>
          <w:sz w:val="16"/>
          <w:szCs w:val="16"/>
          <w:u w:val="single" w:color="auto"/>
          <w:color w:val="auto"/>
        </w:rPr>
        <w:t>Reporting Perso</w:t>
      </w:r>
      <w:r>
        <w:rPr>
          <w:rFonts w:ascii="Times New Roman" w:cs="Times New Roman" w:eastAsia="Times New Roman" w:hAnsi="Times New Roman"/>
          <w:sz w:val="16"/>
          <w:szCs w:val="16"/>
          <w:color w:val="auto"/>
        </w:rPr>
        <w:t>n”) and amends and supplements the statement on Schedule 13D filed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on July 25, 2018 (the " </w:t>
      </w:r>
      <w:r>
        <w:rPr>
          <w:rFonts w:ascii="Times New Roman" w:cs="Times New Roman" w:eastAsia="Times New Roman" w:hAnsi="Times New Roman"/>
          <w:sz w:val="16"/>
          <w:szCs w:val="16"/>
          <w:u w:val="single" w:color="auto"/>
          <w:color w:val="auto"/>
        </w:rPr>
        <w:t>Original Schedule 13D</w:t>
      </w:r>
      <w:r>
        <w:rPr>
          <w:rFonts w:ascii="Times New Roman" w:cs="Times New Roman" w:eastAsia="Times New Roman" w:hAnsi="Times New Roman"/>
          <w:sz w:val="16"/>
          <w:szCs w:val="16"/>
          <w:color w:val="auto"/>
        </w:rPr>
        <w:t>"), Amendment No. 1 to the Original Schedule 13D filed with the SEC on August 21, 2019 ("</w:t>
      </w:r>
      <w:r>
        <w:rPr>
          <w:rFonts w:ascii="Times New Roman" w:cs="Times New Roman" w:eastAsia="Times New Roman" w:hAnsi="Times New Roman"/>
          <w:sz w:val="16"/>
          <w:szCs w:val="16"/>
          <w:u w:val="single" w:color="auto"/>
          <w:color w:val="auto"/>
        </w:rPr>
        <w:t>Amendment No. 1</w:t>
      </w:r>
      <w:r>
        <w:rPr>
          <w:rFonts w:ascii="Times New Roman" w:cs="Times New Roman" w:eastAsia="Times New Roman" w:hAnsi="Times New Roman"/>
          <w:sz w:val="16"/>
          <w:szCs w:val="16"/>
          <w:color w:val="auto"/>
        </w:rPr>
        <w:t>") and Amendment No. 2 to the Original Schedule 13D filed with the SEC on November 19, 2019 ("</w:t>
      </w:r>
      <w:r>
        <w:rPr>
          <w:rFonts w:ascii="Times New Roman" w:cs="Times New Roman" w:eastAsia="Times New Roman" w:hAnsi="Times New Roman"/>
          <w:sz w:val="16"/>
          <w:szCs w:val="16"/>
          <w:u w:val="single" w:color="auto"/>
          <w:color w:val="auto"/>
        </w:rPr>
        <w:t>Amendment No. 2</w:t>
      </w:r>
      <w:r>
        <w:rPr>
          <w:rFonts w:ascii="Times New Roman" w:cs="Times New Roman" w:eastAsia="Times New Roman" w:hAnsi="Times New Roman"/>
          <w:sz w:val="16"/>
          <w:szCs w:val="16"/>
          <w:color w:val="auto"/>
        </w:rPr>
        <w:t>"), and Amendment No. 3 to the Original Schedule 13D filed with the SEC on April 6, 2020 (“</w:t>
      </w:r>
      <w:r>
        <w:rPr>
          <w:rFonts w:ascii="Times New Roman" w:cs="Times New Roman" w:eastAsia="Times New Roman" w:hAnsi="Times New Roman"/>
          <w:sz w:val="16"/>
          <w:szCs w:val="16"/>
          <w:u w:val="single" w:color="auto"/>
          <w:color w:val="auto"/>
        </w:rPr>
        <w:t>Amendment No. 3</w:t>
      </w:r>
      <w:r>
        <w:rPr>
          <w:rFonts w:ascii="Times New Roman" w:cs="Times New Roman" w:eastAsia="Times New Roman" w:hAnsi="Times New Roman"/>
          <w:sz w:val="16"/>
          <w:szCs w:val="16"/>
          <w:color w:val="auto"/>
        </w:rPr>
        <w:t>) and, together with the Original Schedule 13D, (the "</w:t>
      </w:r>
      <w:r>
        <w:rPr>
          <w:rFonts w:ascii="Times New Roman" w:cs="Times New Roman" w:eastAsia="Times New Roman" w:hAnsi="Times New Roman"/>
          <w:sz w:val="16"/>
          <w:szCs w:val="16"/>
          <w:u w:val="single" w:color="auto"/>
          <w:color w:val="auto"/>
        </w:rPr>
        <w:t>Schedule 13D</w:t>
      </w:r>
      <w:r>
        <w:rPr>
          <w:rFonts w:ascii="Times New Roman" w:cs="Times New Roman" w:eastAsia="Times New Roman" w:hAnsi="Times New Roman"/>
          <w:sz w:val="16"/>
          <w:szCs w:val="16"/>
          <w:color w:val="auto"/>
        </w:rPr>
        <w:t>"). The Schedule 13D remains in full force and effect, except as specifically amended by this Amendment No. 4. Capitalized terms used herein and not otherwise defined in this Amendment No. 4 have the meanings set forth in the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Security and Issuer.</w:t>
      </w:r>
    </w:p>
    <w:p>
      <w:pPr>
        <w:spacing w:after="0" w:line="12"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6"/>
          <w:szCs w:val="16"/>
          <w:color w:val="auto"/>
        </w:rPr>
        <w:t>This Amendment No. 4 relates to the Common Stock, $0.001 par value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Priority Technology Holdings, Inc., a Delaware corporation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with principal executive offices at 2001 Westside Parkway, Suite 155, Alpharetta, Georgia 30004.</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Interest in Securities of the Issuer.</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Item 5 of the Schedule 13D is hereby amended and restated as follows:</w:t>
      </w:r>
    </w:p>
    <w:p>
      <w:pPr>
        <w:spacing w:after="0" w:line="235" w:lineRule="exact"/>
        <w:rPr>
          <w:sz w:val="20"/>
          <w:szCs w:val="20"/>
          <w:color w:val="auto"/>
        </w:rPr>
      </w:pPr>
    </w:p>
    <w:p>
      <w:pPr>
        <w:jc w:val="both"/>
        <w:ind w:firstLine="8"/>
        <w:spacing w:after="0" w:line="254" w:lineRule="auto"/>
        <w:tabs>
          <w:tab w:leader="none" w:pos="23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rows (11) and (13) of the cover page to this Amendment No. 4 for the aggregate number of shares of Common Stock and percentages of the Common Stock beneficially owned by the Reporting Person. The percentages used in this Amendment No. 4 are calculated based upon 75,792,939 shares of Common Stock reported to be outstanding as of March 25, 2024, as described in the Company's Annual Report filed with the SEC on April 12, 2024.</w:t>
      </w:r>
    </w:p>
    <w:p>
      <w:pPr>
        <w:spacing w:after="0" w:line="198" w:lineRule="exact"/>
        <w:rPr>
          <w:rFonts w:ascii="Times New Roman" w:cs="Times New Roman" w:eastAsia="Times New Roman" w:hAnsi="Times New Roman"/>
          <w:sz w:val="16"/>
          <w:szCs w:val="16"/>
          <w:color w:val="auto"/>
        </w:rPr>
      </w:pPr>
    </w:p>
    <w:p>
      <w:pPr>
        <w:ind w:right="20" w:firstLine="8"/>
        <w:spacing w:after="0" w:line="280"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rows (7) through (10) of the cover pages to this Amendment No. 4 for the number of shares of Common Stock as to which the Reporting Person have the sole or shared power to vote or direct the vote and sole or shared power to dispose or to direct the disposition.</w:t>
      </w:r>
    </w:p>
    <w:p>
      <w:pPr>
        <w:spacing w:after="0" w:line="17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Reporting Person acquired 598,187 shares on June 14, 2024 in a direct purchase at $3.56 per share purchase price.</w:t>
      </w:r>
    </w:p>
    <w:p>
      <w:pPr>
        <w:spacing w:after="0" w:line="24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34"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ectPr>
          <w:pgSz w:w="11900" w:h="16838" w:orient="portrait"/>
          <w:cols w:equalWidth="0" w:num="1">
            <w:col w:w="11240"/>
          </w:cols>
          <w:pgMar w:left="320" w:top="1408" w:right="339" w:bottom="1440" w:gutter="0" w:footer="0" w:header="0"/>
        </w:sectPr>
      </w:pPr>
    </w:p>
    <w:bookmarkStart w:id="3" w:name="page4"/>
    <w:bookmarkEnd w:id="3"/>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02"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After reasonable inquiry and to the best of its or his knowledge and belief, each of the undersigned certifies that the information set forth in this Amendment No. 3 to Schedule 13D is true, complete and correct.</w:t>
      </w:r>
    </w:p>
    <w:p>
      <w:pPr>
        <w:spacing w:after="0" w:line="1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u w:val="single" w:color="auto"/>
          <w:color w:val="auto"/>
        </w:rPr>
        <w:t>/s/ Thomas C. Priore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THOMAS C. PRIORE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6"/>
    </w:lvl>
    <w:lvl w:ilvl="1">
      <w:lvlJc w:val="left"/>
      <w:lvlText w:val="%2."/>
      <w:numFmt w:val="decimal"/>
      <w:start w:val="7"/>
    </w:lvl>
  </w:abstractNum>
  <w:abstractNum w:abstractNumId="3">
    <w:nsid w:val="46E87CCD"/>
    <w:multiLevelType w:val="hybridMultilevel"/>
    <w:lvl w:ilvl="0">
      <w:lvlJc w:val="left"/>
      <w:lvlText w:val="%1"/>
      <w:numFmt w:val="decimal"/>
      <w:start w:val="1"/>
    </w:lvl>
    <w:lvl w:ilvl="1">
      <w:lvlJc w:val="left"/>
      <w:lvlText w:val="%2."/>
      <w:numFmt w:val="decimal"/>
      <w:start w:val="10"/>
    </w:lvl>
  </w:abstractNum>
  <w:abstractNum w:abstractNumId="4">
    <w:nsid w:val="3D1B58BA"/>
    <w:multiLevelType w:val="hybridMultilevel"/>
    <w:lvl w:ilvl="0">
      <w:lvlJc w:val="left"/>
      <w:lvlText w:val="%1."/>
      <w:numFmt w:val="decimal"/>
      <w:start w:val="11"/>
    </w:lvl>
    <w:lvl w:ilvl="1">
      <w:lvlJc w:val="left"/>
      <w:lvlText w:val="%2"/>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2024-06-21T15:53:57Z</dcterms:created>
  <dcterms:modified xsi:type="dcterms:W3CDTF">2024-06-21T15:53:57Z</dcterms:modified>
</cp:coreProperties>
</file>