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(Amendment No. __3____)*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Priority Technology Holdings,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(f/k/a M I Acquisitions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55304A104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right="10120" w:firstLine="8"/>
        <w:spacing w:after="0" w:line="265" w:lineRule="auto"/>
        <w:tabs>
          <w:tab w:leader="none" w:pos="150" w:val="left"/>
        </w:tabs>
        <w:numPr>
          <w:ilvl w:val="0"/>
          <w:numId w:val="1"/>
        </w:numPr>
        <w:rPr>
          <w:rFonts w:ascii="Arial" w:cs="Arial" w:eastAsia="Arial" w:hAnsi="Arial"/>
          <w:sz w:val="17"/>
          <w:szCs w:val="17"/>
          <w:color w:val="auto"/>
        </w:rPr>
      </w:pPr>
      <w:r>
        <w:rPr>
          <w:rFonts w:ascii="Arial" w:cs="Arial" w:eastAsia="Arial" w:hAnsi="Arial"/>
          <w:sz w:val="17"/>
          <w:szCs w:val="17"/>
          <w:color w:val="auto"/>
        </w:rPr>
        <w:t>] Rule 13d-1(b) [X] Rule 13d-1(c)</w:t>
      </w: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51" w:lineRule="exact"/>
        <w:rPr>
          <w:sz w:val="24"/>
          <w:szCs w:val="24"/>
          <w:color w:val="auto"/>
        </w:rPr>
      </w:pPr>
    </w:p>
    <w:p>
      <w:pPr>
        <w:ind w:firstLine="8"/>
        <w:spacing w:after="0" w:line="194" w:lineRule="auto"/>
        <w:tabs>
          <w:tab w:leader="none" w:pos="113"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55304A104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NAMES OF REPORTING PERSONS</w:t>
      </w:r>
    </w:p>
    <w:p>
      <w:pPr>
        <w:ind w:left="460" w:hanging="452"/>
        <w:spacing w:after="0" w:line="185" w:lineRule="auto"/>
        <w:tabs>
          <w:tab w:leader="none" w:pos="460" w:val="left"/>
        </w:tabs>
        <w:numPr>
          <w:ilvl w:val="0"/>
          <w:numId w:val="3"/>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Boothbay Absolute Return Strategies LP</w:t>
      </w:r>
    </w:p>
    <w:p>
      <w:pPr>
        <w:spacing w:after="0" w:line="36"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27"/>
          <w:szCs w:val="27"/>
          <w:color w:val="auto"/>
          <w:vertAlign w:val="subscript"/>
        </w:rPr>
      </w:pPr>
    </w:p>
    <w:p>
      <w:pPr>
        <w:ind w:left="460" w:hanging="452"/>
        <w:spacing w:after="0" w:line="180" w:lineRule="auto"/>
        <w:tabs>
          <w:tab w:leader="none" w:pos="460" w:val="left"/>
        </w:tabs>
        <w:numPr>
          <w:ilvl w:val="0"/>
          <w:numId w:val="3"/>
        </w:numPr>
        <w:rPr>
          <w:rFonts w:ascii="Arial" w:cs="Arial" w:eastAsia="Arial" w:hAnsi="Arial"/>
          <w:sz w:val="25"/>
          <w:szCs w:val="25"/>
          <w:color w:val="auto"/>
          <w:vertAlign w:val="subscript"/>
        </w:rPr>
      </w:pPr>
      <w:r>
        <w:rPr>
          <w:rFonts w:ascii="Arial" w:cs="Arial" w:eastAsia="Arial" w:hAnsi="Arial"/>
          <w:sz w:val="14"/>
          <w:szCs w:val="14"/>
          <w:color w:val="auto"/>
        </w:rPr>
        <w:t>(see instructions)</w:t>
      </w:r>
    </w:p>
    <w:p>
      <w:pPr>
        <w:spacing w:after="0" w:line="2" w:lineRule="exact"/>
        <w:rPr>
          <w:rFonts w:ascii="Arial" w:cs="Arial" w:eastAsia="Arial" w:hAnsi="Arial"/>
          <w:sz w:val="25"/>
          <w:szCs w:val="25"/>
          <w:color w:val="auto"/>
          <w:vertAlign w:val="subscript"/>
        </w:rPr>
      </w:pPr>
    </w:p>
    <w:p>
      <w:pPr>
        <w:ind w:left="700" w:hanging="246"/>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7" w:lineRule="exact"/>
        <w:rPr>
          <w:rFonts w:ascii="Arial" w:cs="Arial" w:eastAsia="Arial" w:hAnsi="Arial"/>
          <w:sz w:val="18"/>
          <w:szCs w:val="18"/>
          <w:color w:val="auto"/>
        </w:rPr>
      </w:pPr>
    </w:p>
    <w:p>
      <w:pPr>
        <w:ind w:left="700" w:hanging="246"/>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9" w:lineRule="exact"/>
        <w:rPr>
          <w:rFonts w:ascii="Arial" w:cs="Arial" w:eastAsia="Arial" w:hAnsi="Arial"/>
          <w:sz w:val="18"/>
          <w:szCs w:val="18"/>
          <w:color w:val="auto"/>
        </w:rPr>
      </w:pPr>
    </w:p>
    <w:p>
      <w:pPr>
        <w:ind w:left="460" w:hanging="452"/>
        <w:spacing w:after="0" w:line="181" w:lineRule="auto"/>
        <w:tabs>
          <w:tab w:leader="none" w:pos="460" w:val="left"/>
        </w:tabs>
        <w:numPr>
          <w:ilvl w:val="0"/>
          <w:numId w:val="3"/>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960" w:type="dxa"/>
            <w:vAlign w:val="bottom"/>
            <w:tcBorders>
              <w:top w:val="single" w:sz="8" w:color="auto"/>
            </w:tcBorders>
          </w:tcPr>
          <w:p>
            <w:pPr>
              <w:spacing w:after="0"/>
              <w:rPr>
                <w:sz w:val="18"/>
                <w:szCs w:val="18"/>
                <w:color w:val="auto"/>
              </w:rPr>
            </w:pPr>
          </w:p>
        </w:tc>
        <w:tc>
          <w:tcPr>
            <w:tcW w:w="946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94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960" w:type="dxa"/>
            <w:vAlign w:val="bottom"/>
            <w:vMerge w:val="continue"/>
          </w:tcPr>
          <w:p>
            <w:pPr>
              <w:spacing w:after="0"/>
              <w:rPr>
                <w:sz w:val="9"/>
                <w:szCs w:val="9"/>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vMerge w:val="continue"/>
          </w:tcPr>
          <w:p>
            <w:pPr>
              <w:spacing w:after="0"/>
              <w:rPr>
                <w:sz w:val="10"/>
                <w:szCs w:val="10"/>
                <w:color w:val="auto"/>
              </w:rPr>
            </w:pPr>
          </w:p>
        </w:tc>
        <w:tc>
          <w:tcPr>
            <w:tcW w:w="9460" w:type="dxa"/>
            <w:vAlign w:val="bottom"/>
            <w:vMerge w:val="restart"/>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9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vMerge w:val="continue"/>
          </w:tcPr>
          <w:p>
            <w:pPr>
              <w:spacing w:after="0"/>
              <w:rPr>
                <w:sz w:val="10"/>
                <w:szCs w:val="10"/>
                <w:color w:val="auto"/>
              </w:rPr>
            </w:pPr>
          </w:p>
        </w:tc>
        <w:tc>
          <w:tcPr>
            <w:tcW w:w="946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1"/>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9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9460" w:type="dxa"/>
            <w:vAlign w:val="bottom"/>
            <w:vMerge w:val="restart"/>
          </w:tcPr>
          <w:p>
            <w:pPr>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946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94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1960" w:type="dxa"/>
            <w:vAlign w:val="bottom"/>
          </w:tcPr>
          <w:p>
            <w:pPr>
              <w:spacing w:after="0"/>
              <w:rPr>
                <w:sz w:val="11"/>
                <w:szCs w:val="11"/>
                <w:color w:val="auto"/>
              </w:rPr>
            </w:pPr>
          </w:p>
        </w:tc>
        <w:tc>
          <w:tcPr>
            <w:tcW w:w="9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9460" w:type="dxa"/>
            <w:vAlign w:val="bottom"/>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55304A104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NAMES OF REPORTING PERSONS</w:t>
      </w:r>
    </w:p>
    <w:p>
      <w:pPr>
        <w:ind w:left="460" w:hanging="452"/>
        <w:spacing w:after="0" w:line="185" w:lineRule="auto"/>
        <w:tabs>
          <w:tab w:leader="none" w:pos="460" w:val="left"/>
        </w:tabs>
        <w:numPr>
          <w:ilvl w:val="0"/>
          <w:numId w:val="5"/>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Boothbay Fund Management, LLC</w:t>
      </w:r>
    </w:p>
    <w:p>
      <w:pPr>
        <w:spacing w:after="0" w:line="36"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27"/>
          <w:szCs w:val="27"/>
          <w:color w:val="auto"/>
          <w:vertAlign w:val="subscript"/>
        </w:rPr>
      </w:pPr>
    </w:p>
    <w:p>
      <w:pPr>
        <w:ind w:left="460" w:hanging="452"/>
        <w:spacing w:after="0" w:line="180" w:lineRule="auto"/>
        <w:tabs>
          <w:tab w:leader="none" w:pos="460" w:val="left"/>
        </w:tabs>
        <w:numPr>
          <w:ilvl w:val="0"/>
          <w:numId w:val="5"/>
        </w:numPr>
        <w:rPr>
          <w:rFonts w:ascii="Arial" w:cs="Arial" w:eastAsia="Arial" w:hAnsi="Arial"/>
          <w:sz w:val="25"/>
          <w:szCs w:val="25"/>
          <w:color w:val="auto"/>
          <w:vertAlign w:val="subscript"/>
        </w:rPr>
      </w:pPr>
      <w:r>
        <w:rPr>
          <w:rFonts w:ascii="Arial" w:cs="Arial" w:eastAsia="Arial" w:hAnsi="Arial"/>
          <w:sz w:val="14"/>
          <w:szCs w:val="14"/>
          <w:color w:val="auto"/>
        </w:rPr>
        <w:t>(see instructions)</w:t>
      </w:r>
    </w:p>
    <w:p>
      <w:pPr>
        <w:spacing w:after="0" w:line="2" w:lineRule="exact"/>
        <w:rPr>
          <w:rFonts w:ascii="Arial" w:cs="Arial" w:eastAsia="Arial" w:hAnsi="Arial"/>
          <w:sz w:val="25"/>
          <w:szCs w:val="25"/>
          <w:color w:val="auto"/>
          <w:vertAlign w:val="subscript"/>
        </w:rPr>
      </w:pPr>
    </w:p>
    <w:p>
      <w:pPr>
        <w:ind w:left="700" w:hanging="246"/>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7" w:lineRule="exact"/>
        <w:rPr>
          <w:rFonts w:ascii="Arial" w:cs="Arial" w:eastAsia="Arial" w:hAnsi="Arial"/>
          <w:sz w:val="18"/>
          <w:szCs w:val="18"/>
          <w:color w:val="auto"/>
        </w:rPr>
      </w:pPr>
    </w:p>
    <w:p>
      <w:pPr>
        <w:ind w:left="700" w:hanging="246"/>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9" w:lineRule="exact"/>
        <w:rPr>
          <w:rFonts w:ascii="Arial" w:cs="Arial" w:eastAsia="Arial" w:hAnsi="Arial"/>
          <w:sz w:val="18"/>
          <w:szCs w:val="18"/>
          <w:color w:val="auto"/>
        </w:rPr>
      </w:pPr>
    </w:p>
    <w:p>
      <w:pPr>
        <w:ind w:left="460" w:hanging="452"/>
        <w:spacing w:after="0" w:line="181" w:lineRule="auto"/>
        <w:tabs>
          <w:tab w:leader="none" w:pos="460" w:val="left"/>
        </w:tabs>
        <w:numPr>
          <w:ilvl w:val="0"/>
          <w:numId w:val="5"/>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960" w:type="dxa"/>
            <w:vAlign w:val="bottom"/>
            <w:tcBorders>
              <w:top w:val="single" w:sz="8" w:color="auto"/>
            </w:tcBorders>
          </w:tcPr>
          <w:p>
            <w:pPr>
              <w:spacing w:after="0"/>
              <w:rPr>
                <w:sz w:val="18"/>
                <w:szCs w:val="18"/>
                <w:color w:val="auto"/>
              </w:rPr>
            </w:pPr>
          </w:p>
        </w:tc>
        <w:tc>
          <w:tcPr>
            <w:tcW w:w="946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94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960" w:type="dxa"/>
            <w:vAlign w:val="bottom"/>
            <w:vMerge w:val="continue"/>
          </w:tcPr>
          <w:p>
            <w:pPr>
              <w:spacing w:after="0"/>
              <w:rPr>
                <w:sz w:val="9"/>
                <w:szCs w:val="9"/>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vMerge w:val="continue"/>
          </w:tcPr>
          <w:p>
            <w:pPr>
              <w:spacing w:after="0"/>
              <w:rPr>
                <w:sz w:val="10"/>
                <w:szCs w:val="10"/>
                <w:color w:val="auto"/>
              </w:rPr>
            </w:pPr>
          </w:p>
        </w:tc>
        <w:tc>
          <w:tcPr>
            <w:tcW w:w="9460" w:type="dxa"/>
            <w:vAlign w:val="bottom"/>
            <w:vMerge w:val="restart"/>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9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vMerge w:val="continue"/>
          </w:tcPr>
          <w:p>
            <w:pPr>
              <w:spacing w:after="0"/>
              <w:rPr>
                <w:sz w:val="10"/>
                <w:szCs w:val="10"/>
                <w:color w:val="auto"/>
              </w:rPr>
            </w:pPr>
          </w:p>
        </w:tc>
        <w:tc>
          <w:tcPr>
            <w:tcW w:w="946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1"/>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9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9460" w:type="dxa"/>
            <w:vAlign w:val="bottom"/>
            <w:vMerge w:val="restart"/>
          </w:tcPr>
          <w:p>
            <w:pPr>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946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94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1960" w:type="dxa"/>
            <w:vAlign w:val="bottom"/>
          </w:tcPr>
          <w:p>
            <w:pPr>
              <w:spacing w:after="0"/>
              <w:rPr>
                <w:sz w:val="11"/>
                <w:szCs w:val="11"/>
                <w:color w:val="auto"/>
              </w:rPr>
            </w:pPr>
          </w:p>
        </w:tc>
        <w:tc>
          <w:tcPr>
            <w:tcW w:w="9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9460" w:type="dxa"/>
            <w:vAlign w:val="bottom"/>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55304A104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NAMES OF REPORTING PERSONS</w:t>
      </w:r>
    </w:p>
    <w:p>
      <w:pPr>
        <w:ind w:left="460" w:hanging="452"/>
        <w:spacing w:after="0" w:line="185" w:lineRule="auto"/>
        <w:tabs>
          <w:tab w:leader="none" w:pos="460" w:val="left"/>
        </w:tabs>
        <w:numPr>
          <w:ilvl w:val="0"/>
          <w:numId w:val="7"/>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Ari Glass</w:t>
      </w:r>
    </w:p>
    <w:p>
      <w:pPr>
        <w:spacing w:after="0" w:line="36"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27"/>
          <w:szCs w:val="27"/>
          <w:color w:val="auto"/>
          <w:vertAlign w:val="subscript"/>
        </w:rPr>
      </w:pPr>
    </w:p>
    <w:p>
      <w:pPr>
        <w:ind w:left="460" w:hanging="452"/>
        <w:spacing w:after="0" w:line="180" w:lineRule="auto"/>
        <w:tabs>
          <w:tab w:leader="none" w:pos="460" w:val="left"/>
        </w:tabs>
        <w:numPr>
          <w:ilvl w:val="0"/>
          <w:numId w:val="7"/>
        </w:numPr>
        <w:rPr>
          <w:rFonts w:ascii="Arial" w:cs="Arial" w:eastAsia="Arial" w:hAnsi="Arial"/>
          <w:sz w:val="25"/>
          <w:szCs w:val="25"/>
          <w:color w:val="auto"/>
          <w:vertAlign w:val="subscript"/>
        </w:rPr>
      </w:pPr>
      <w:r>
        <w:rPr>
          <w:rFonts w:ascii="Arial" w:cs="Arial" w:eastAsia="Arial" w:hAnsi="Arial"/>
          <w:sz w:val="14"/>
          <w:szCs w:val="14"/>
          <w:color w:val="auto"/>
        </w:rPr>
        <w:t>(see instructions)</w:t>
      </w:r>
    </w:p>
    <w:p>
      <w:pPr>
        <w:spacing w:after="0" w:line="2" w:lineRule="exact"/>
        <w:rPr>
          <w:rFonts w:ascii="Arial" w:cs="Arial" w:eastAsia="Arial" w:hAnsi="Arial"/>
          <w:sz w:val="25"/>
          <w:szCs w:val="25"/>
          <w:color w:val="auto"/>
          <w:vertAlign w:val="subscript"/>
        </w:rPr>
      </w:pPr>
    </w:p>
    <w:p>
      <w:pPr>
        <w:ind w:left="700" w:hanging="246"/>
        <w:spacing w:after="0"/>
        <w:tabs>
          <w:tab w:leader="none" w:pos="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7" w:lineRule="exact"/>
        <w:rPr>
          <w:rFonts w:ascii="Arial" w:cs="Arial" w:eastAsia="Arial" w:hAnsi="Arial"/>
          <w:sz w:val="18"/>
          <w:szCs w:val="18"/>
          <w:color w:val="auto"/>
        </w:rPr>
      </w:pPr>
    </w:p>
    <w:p>
      <w:pPr>
        <w:ind w:left="700" w:hanging="246"/>
        <w:spacing w:after="0"/>
        <w:tabs>
          <w:tab w:leader="none" w:pos="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[X]</w:t>
      </w:r>
    </w:p>
    <w:p>
      <w:pPr>
        <w:spacing w:after="0" w:line="9" w:lineRule="exact"/>
        <w:rPr>
          <w:rFonts w:ascii="Arial" w:cs="Arial" w:eastAsia="Arial" w:hAnsi="Arial"/>
          <w:sz w:val="18"/>
          <w:szCs w:val="18"/>
          <w:color w:val="auto"/>
        </w:rPr>
      </w:pPr>
    </w:p>
    <w:p>
      <w:pPr>
        <w:ind w:left="460" w:hanging="452"/>
        <w:spacing w:after="0" w:line="181" w:lineRule="auto"/>
        <w:tabs>
          <w:tab w:leader="none" w:pos="460" w:val="left"/>
        </w:tabs>
        <w:numPr>
          <w:ilvl w:val="0"/>
          <w:numId w:val="7"/>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960" w:type="dxa"/>
            <w:vAlign w:val="bottom"/>
            <w:tcBorders>
              <w:top w:val="single" w:sz="8" w:color="auto"/>
            </w:tcBorders>
          </w:tcPr>
          <w:p>
            <w:pPr>
              <w:spacing w:after="0"/>
              <w:rPr>
                <w:sz w:val="18"/>
                <w:szCs w:val="18"/>
                <w:color w:val="auto"/>
              </w:rPr>
            </w:pPr>
          </w:p>
        </w:tc>
        <w:tc>
          <w:tcPr>
            <w:tcW w:w="946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94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960" w:type="dxa"/>
            <w:vAlign w:val="bottom"/>
            <w:vMerge w:val="continue"/>
          </w:tcPr>
          <w:p>
            <w:pPr>
              <w:spacing w:after="0"/>
              <w:rPr>
                <w:sz w:val="9"/>
                <w:szCs w:val="9"/>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vMerge w:val="continue"/>
          </w:tcPr>
          <w:p>
            <w:pPr>
              <w:spacing w:after="0"/>
              <w:rPr>
                <w:sz w:val="10"/>
                <w:szCs w:val="10"/>
                <w:color w:val="auto"/>
              </w:rPr>
            </w:pPr>
          </w:p>
        </w:tc>
        <w:tc>
          <w:tcPr>
            <w:tcW w:w="9460" w:type="dxa"/>
            <w:vAlign w:val="bottom"/>
            <w:vMerge w:val="restart"/>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9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vMerge w:val="continue"/>
          </w:tcPr>
          <w:p>
            <w:pPr>
              <w:spacing w:after="0"/>
              <w:rPr>
                <w:sz w:val="10"/>
                <w:szCs w:val="10"/>
                <w:color w:val="auto"/>
              </w:rPr>
            </w:pPr>
          </w:p>
        </w:tc>
        <w:tc>
          <w:tcPr>
            <w:tcW w:w="946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1"/>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9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9460" w:type="dxa"/>
            <w:vAlign w:val="bottom"/>
            <w:vMerge w:val="restart"/>
          </w:tcPr>
          <w:p>
            <w:pPr>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946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94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9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1960" w:type="dxa"/>
            <w:vAlign w:val="bottom"/>
          </w:tcPr>
          <w:p>
            <w:pPr>
              <w:spacing w:after="0"/>
              <w:rPr>
                <w:sz w:val="11"/>
                <w:szCs w:val="11"/>
                <w:color w:val="auto"/>
              </w:rPr>
            </w:pPr>
          </w:p>
        </w:tc>
        <w:tc>
          <w:tcPr>
            <w:tcW w:w="9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9460" w:type="dxa"/>
            <w:vAlign w:val="bottom"/>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4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36"/>
          <w:szCs w:val="36"/>
          <w:color w:val="auto"/>
          <w:vertAlign w:val="subscript"/>
        </w:rPr>
      </w:pPr>
      <w:r>
        <w:rPr>
          <w:rFonts w:ascii="Arial" w:cs="Arial" w:eastAsia="Arial" w:hAnsi="Arial"/>
          <w:sz w:val="18"/>
          <w:szCs w:val="18"/>
          <w:color w:val="auto"/>
        </w:rPr>
        <w:t>Name of Issuer</w:t>
      </w:r>
    </w:p>
    <w:p>
      <w:pPr>
        <w:spacing w:after="0" w:line="1" w:lineRule="exact"/>
        <w:rPr>
          <w:rFonts w:ascii="Arial" w:cs="Arial" w:eastAsia="Arial" w:hAnsi="Arial"/>
          <w:sz w:val="36"/>
          <w:szCs w:val="36"/>
          <w:color w:val="auto"/>
          <w:vertAlign w:val="subscript"/>
        </w:rPr>
      </w:pPr>
    </w:p>
    <w:p>
      <w:pPr>
        <w:ind w:left="660"/>
        <w:spacing w:after="0"/>
        <w:rPr>
          <w:rFonts w:ascii="Arial" w:cs="Arial" w:eastAsia="Arial" w:hAnsi="Arial"/>
          <w:sz w:val="36"/>
          <w:szCs w:val="36"/>
          <w:color w:val="auto"/>
          <w:vertAlign w:val="subscript"/>
        </w:rPr>
      </w:pPr>
      <w:r>
        <w:rPr>
          <w:rFonts w:ascii="Arial" w:cs="Arial" w:eastAsia="Arial" w:hAnsi="Arial"/>
          <w:sz w:val="18"/>
          <w:szCs w:val="18"/>
          <w:color w:val="auto"/>
        </w:rPr>
        <w:t>M I Acquisitions Inc. (the “Issuer”)</w:t>
      </w:r>
    </w:p>
    <w:p>
      <w:pPr>
        <w:spacing w:after="0" w:line="209" w:lineRule="exact"/>
        <w:rPr>
          <w:rFonts w:ascii="Arial" w:cs="Arial" w:eastAsia="Arial" w:hAnsi="Arial"/>
          <w:sz w:val="36"/>
          <w:szCs w:val="36"/>
          <w:color w:val="auto"/>
          <w:vertAlign w:val="subscript"/>
        </w:rPr>
      </w:pPr>
    </w:p>
    <w:p>
      <w:pPr>
        <w:ind w:left="660"/>
        <w:spacing w:after="0"/>
        <w:rPr>
          <w:rFonts w:ascii="Arial" w:cs="Arial" w:eastAsia="Arial" w:hAnsi="Arial"/>
          <w:sz w:val="36"/>
          <w:szCs w:val="36"/>
          <w:color w:val="auto"/>
          <w:vertAlign w:val="subscript"/>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36"/>
          <w:szCs w:val="36"/>
          <w:color w:val="auto"/>
          <w:vertAlign w:val="subscript"/>
        </w:rPr>
      </w:pPr>
    </w:p>
    <w:p>
      <w:pPr>
        <w:ind w:left="660" w:right="7419" w:hanging="328"/>
        <w:spacing w:after="0" w:line="198" w:lineRule="auto"/>
        <w:tabs>
          <w:tab w:leader="none" w:pos="660" w:val="left"/>
        </w:tabs>
        <w:numPr>
          <w:ilvl w:val="0"/>
          <w:numId w:val="9"/>
        </w:numPr>
        <w:rPr>
          <w:rFonts w:ascii="Arial" w:cs="Arial" w:eastAsia="Arial" w:hAnsi="Arial"/>
          <w:sz w:val="34"/>
          <w:szCs w:val="34"/>
          <w:color w:val="auto"/>
          <w:vertAlign w:val="subscript"/>
        </w:rPr>
      </w:pPr>
      <w:r>
        <w:rPr>
          <w:rFonts w:ascii="Arial" w:cs="Arial" w:eastAsia="Arial" w:hAnsi="Arial"/>
          <w:sz w:val="17"/>
          <w:szCs w:val="17"/>
          <w:color w:val="auto"/>
        </w:rPr>
        <w:t>c/o Magna Management LLC 40 Wall Street, 58th Floor New York, NY 10005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of Person Filing:</w:t>
      </w:r>
    </w:p>
    <w:p>
      <w:pPr>
        <w:spacing w:after="0" w:line="23" w:lineRule="exact"/>
        <w:rPr>
          <w:sz w:val="20"/>
          <w:szCs w:val="20"/>
          <w:color w:val="auto"/>
        </w:rPr>
      </w:pPr>
    </w:p>
    <w:p>
      <w:pPr>
        <w:ind w:left="660" w:right="6539" w:hanging="328"/>
        <w:spacing w:after="0" w:line="187" w:lineRule="auto"/>
        <w:tabs>
          <w:tab w:leader="none" w:pos="660" w:val="left"/>
        </w:tabs>
        <w:numPr>
          <w:ilvl w:val="0"/>
          <w:numId w:val="10"/>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Boothbay Fund Management, LLC* Ari Glass*</w:t>
      </w:r>
    </w:p>
    <w:p>
      <w:pPr>
        <w:spacing w:after="0" w:line="204" w:lineRule="exact"/>
        <w:rPr>
          <w:rFonts w:ascii="Arial" w:cs="Arial" w:eastAsia="Arial" w:hAnsi="Arial"/>
          <w:sz w:val="36"/>
          <w:szCs w:val="36"/>
          <w:color w:val="auto"/>
          <w:vertAlign w:val="subscript"/>
        </w:rPr>
      </w:pPr>
    </w:p>
    <w:p>
      <w:pPr>
        <w:ind w:left="660"/>
        <w:spacing w:after="0"/>
        <w:rPr>
          <w:rFonts w:ascii="Arial" w:cs="Arial" w:eastAsia="Arial" w:hAnsi="Arial"/>
          <w:sz w:val="36"/>
          <w:szCs w:val="36"/>
          <w:color w:val="auto"/>
          <w:vertAlign w:val="subscript"/>
        </w:rPr>
      </w:pPr>
      <w:r>
        <w:rPr>
          <w:rFonts w:ascii="Arial" w:cs="Arial" w:eastAsia="Arial" w:hAnsi="Arial"/>
          <w:sz w:val="18"/>
          <w:szCs w:val="18"/>
          <w:color w:val="auto"/>
        </w:rPr>
        <w:t>Address of the Principal Office or, if none, residence</w:t>
      </w:r>
    </w:p>
    <w:p>
      <w:pPr>
        <w:spacing w:after="0" w:line="23" w:lineRule="exact"/>
        <w:rPr>
          <w:rFonts w:ascii="Arial" w:cs="Arial" w:eastAsia="Arial" w:hAnsi="Arial"/>
          <w:sz w:val="36"/>
          <w:szCs w:val="36"/>
          <w:color w:val="auto"/>
          <w:vertAlign w:val="subscript"/>
        </w:rPr>
      </w:pPr>
    </w:p>
    <w:p>
      <w:pPr>
        <w:ind w:left="660" w:right="7559" w:hanging="328"/>
        <w:spacing w:after="0" w:line="234"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810 7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Avenue, Suite 615 New York, NY 10019-5818</w:t>
      </w:r>
    </w:p>
    <w:p>
      <w:pPr>
        <w:spacing w:after="0" w:line="20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Citizenship</w:t>
      </w:r>
    </w:p>
    <w:p>
      <w:pPr>
        <w:spacing w:after="0" w:line="23" w:lineRule="exact"/>
        <w:rPr>
          <w:rFonts w:ascii="Arial" w:cs="Arial" w:eastAsia="Arial" w:hAnsi="Arial"/>
          <w:sz w:val="16"/>
          <w:szCs w:val="16"/>
          <w:color w:val="auto"/>
        </w:rPr>
      </w:pPr>
    </w:p>
    <w:p>
      <w:pPr>
        <w:ind w:left="660" w:right="5759" w:hanging="328"/>
        <w:spacing w:after="0" w:line="187" w:lineRule="auto"/>
        <w:tabs>
          <w:tab w:leader="none" w:pos="660" w:val="left"/>
        </w:tabs>
        <w:numPr>
          <w:ilvl w:val="0"/>
          <w:numId w:val="10"/>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 Delaware Boothbay Fund Management, LLC – Delaware Ari Glass – United States</w:t>
      </w:r>
    </w:p>
    <w:p>
      <w:pPr>
        <w:spacing w:after="0" w:line="204" w:lineRule="exact"/>
        <w:rPr>
          <w:rFonts w:ascii="Arial" w:cs="Arial" w:eastAsia="Arial" w:hAnsi="Arial"/>
          <w:sz w:val="36"/>
          <w:szCs w:val="36"/>
          <w:color w:val="auto"/>
          <w:vertAlign w:val="subscript"/>
        </w:rPr>
      </w:pPr>
    </w:p>
    <w:p>
      <w:pPr>
        <w:ind w:left="660" w:right="7659" w:hanging="328"/>
        <w:spacing w:after="0" w:line="198" w:lineRule="auto"/>
        <w:tabs>
          <w:tab w:leader="none" w:pos="660" w:val="left"/>
        </w:tabs>
        <w:numPr>
          <w:ilvl w:val="0"/>
          <w:numId w:val="10"/>
        </w:numPr>
        <w:rPr>
          <w:rFonts w:ascii="Arial" w:cs="Arial" w:eastAsia="Arial" w:hAnsi="Arial"/>
          <w:sz w:val="31"/>
          <w:szCs w:val="31"/>
          <w:color w:val="auto"/>
          <w:vertAlign w:val="subscript"/>
        </w:rPr>
      </w:pPr>
      <w:r>
        <w:rPr>
          <w:rFonts w:ascii="Arial" w:cs="Arial" w:eastAsia="Arial" w:hAnsi="Arial"/>
          <w:sz w:val="16"/>
          <w:szCs w:val="16"/>
          <w:color w:val="auto"/>
        </w:rPr>
        <w:t>Title of Class of Securities Common Stock</w:t>
      </w:r>
    </w:p>
    <w:p>
      <w:pPr>
        <w:spacing w:after="0" w:line="202" w:lineRule="exact"/>
        <w:rPr>
          <w:rFonts w:ascii="Arial" w:cs="Arial" w:eastAsia="Arial" w:hAnsi="Arial"/>
          <w:sz w:val="31"/>
          <w:szCs w:val="31"/>
          <w:color w:val="auto"/>
          <w:vertAlign w:val="subscript"/>
        </w:rPr>
      </w:pPr>
    </w:p>
    <w:p>
      <w:pPr>
        <w:ind w:left="660" w:right="8419" w:hanging="328"/>
        <w:spacing w:after="0" w:line="198" w:lineRule="auto"/>
        <w:tabs>
          <w:tab w:leader="none" w:pos="660" w:val="left"/>
        </w:tabs>
        <w:numPr>
          <w:ilvl w:val="0"/>
          <w:numId w:val="10"/>
        </w:numPr>
        <w:rPr>
          <w:rFonts w:ascii="Arial" w:cs="Arial" w:eastAsia="Arial" w:hAnsi="Arial"/>
          <w:sz w:val="31"/>
          <w:szCs w:val="31"/>
          <w:color w:val="auto"/>
          <w:vertAlign w:val="subscript"/>
        </w:rPr>
      </w:pPr>
      <w:r>
        <w:rPr>
          <w:rFonts w:ascii="Arial" w:cs="Arial" w:eastAsia="Arial" w:hAnsi="Arial"/>
          <w:sz w:val="16"/>
          <w:szCs w:val="16"/>
          <w:color w:val="auto"/>
        </w:rPr>
        <w:t>CUSIP Number 55304A104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If this statement is filed pursuant to §§240.13d-1(b) or 240.13d-2(b) or (c), check whether the person filing is a: </w:t>
      </w:r>
      <w:r>
        <w:rPr>
          <w:rFonts w:ascii="Arial" w:cs="Arial" w:eastAsia="Arial" w:hAnsi="Arial"/>
          <w:sz w:val="17"/>
          <w:szCs w:val="17"/>
          <w:color w:val="auto"/>
        </w:rPr>
        <w:t>N/A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660" w:right="6359"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Boothbay Absolute Return Strategies LP – 0 Boothbay Fund Management, LLC – 0 Ari Glass – 0</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660" w:right="6199" w:hanging="328"/>
        <w:spacing w:after="0" w:line="187" w:lineRule="auto"/>
        <w:tabs>
          <w:tab w:leader="none" w:pos="660" w:val="left"/>
        </w:tabs>
        <w:numPr>
          <w:ilvl w:val="0"/>
          <w:numId w:val="11"/>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 0% Boothbay Fund Management, LLC – 0% Ari Glass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color w:val="auto"/>
        </w:rPr>
        <w:t>(c)  Number of shares as to which the person has: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Sole power to vote or to direct the vote</w:t>
      </w:r>
    </w:p>
    <w:p>
      <w:pPr>
        <w:spacing w:after="0" w:line="23" w:lineRule="exact"/>
        <w:rPr>
          <w:sz w:val="20"/>
          <w:szCs w:val="20"/>
          <w:color w:val="auto"/>
        </w:rPr>
      </w:pPr>
    </w:p>
    <w:p>
      <w:pPr>
        <w:ind w:left="980" w:right="7220" w:hanging="324"/>
        <w:spacing w:after="0" w:line="187" w:lineRule="auto"/>
        <w:tabs>
          <w:tab w:leader="none" w:pos="980" w:val="left"/>
        </w:tabs>
        <w:numPr>
          <w:ilvl w:val="0"/>
          <w:numId w:val="12"/>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 0 Boothbay Fund Management, LLC – 0 Ari Glass – 0</w:t>
      </w:r>
    </w:p>
    <w:p>
      <w:pPr>
        <w:spacing w:after="0" w:line="204" w:lineRule="exact"/>
        <w:rPr>
          <w:rFonts w:ascii="Arial" w:cs="Arial" w:eastAsia="Arial" w:hAnsi="Arial"/>
          <w:sz w:val="36"/>
          <w:szCs w:val="36"/>
          <w:color w:val="auto"/>
          <w:vertAlign w:val="subscript"/>
        </w:rPr>
      </w:pPr>
    </w:p>
    <w:p>
      <w:pPr>
        <w:ind w:left="980"/>
        <w:spacing w:after="0"/>
        <w:rPr>
          <w:rFonts w:ascii="Arial" w:cs="Arial" w:eastAsia="Arial" w:hAnsi="Arial"/>
          <w:sz w:val="36"/>
          <w:szCs w:val="36"/>
          <w:color w:val="auto"/>
          <w:vertAlign w:val="subscript"/>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36"/>
          <w:szCs w:val="36"/>
          <w:color w:val="auto"/>
          <w:vertAlign w:val="subscript"/>
        </w:rPr>
      </w:pPr>
    </w:p>
    <w:p>
      <w:pPr>
        <w:ind w:left="980" w:right="7220" w:hanging="324"/>
        <w:spacing w:after="0" w:line="187" w:lineRule="auto"/>
        <w:tabs>
          <w:tab w:leader="none" w:pos="980" w:val="left"/>
        </w:tabs>
        <w:numPr>
          <w:ilvl w:val="0"/>
          <w:numId w:val="12"/>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 0 Boothbay Fund Management, LLC – 0 Ari Glass – 0</w:t>
      </w:r>
    </w:p>
    <w:p>
      <w:pPr>
        <w:spacing w:after="0" w:line="204" w:lineRule="exact"/>
        <w:rPr>
          <w:rFonts w:ascii="Arial" w:cs="Arial" w:eastAsia="Arial" w:hAnsi="Arial"/>
          <w:sz w:val="36"/>
          <w:szCs w:val="36"/>
          <w:color w:val="auto"/>
          <w:vertAlign w:val="subscript"/>
        </w:rPr>
      </w:pPr>
    </w:p>
    <w:p>
      <w:pPr>
        <w:ind w:left="980"/>
        <w:spacing w:after="0"/>
        <w:rPr>
          <w:rFonts w:ascii="Arial" w:cs="Arial" w:eastAsia="Arial" w:hAnsi="Arial"/>
          <w:sz w:val="36"/>
          <w:szCs w:val="36"/>
          <w:color w:val="auto"/>
          <w:vertAlign w:val="subscript"/>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36"/>
          <w:szCs w:val="36"/>
          <w:color w:val="auto"/>
          <w:vertAlign w:val="subscript"/>
        </w:rPr>
      </w:pPr>
    </w:p>
    <w:p>
      <w:pPr>
        <w:ind w:left="980" w:right="7220" w:hanging="324"/>
        <w:spacing w:after="0" w:line="187" w:lineRule="auto"/>
        <w:tabs>
          <w:tab w:leader="none" w:pos="980" w:val="left"/>
        </w:tabs>
        <w:numPr>
          <w:ilvl w:val="0"/>
          <w:numId w:val="12"/>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 0 Boothbay Fund Management, LLC – 0 Ari Glass – 0</w:t>
      </w:r>
    </w:p>
    <w:p>
      <w:pPr>
        <w:spacing w:after="0" w:line="204" w:lineRule="exact"/>
        <w:rPr>
          <w:rFonts w:ascii="Arial" w:cs="Arial" w:eastAsia="Arial" w:hAnsi="Arial"/>
          <w:sz w:val="36"/>
          <w:szCs w:val="36"/>
          <w:color w:val="auto"/>
          <w:vertAlign w:val="subscript"/>
        </w:rPr>
      </w:pPr>
    </w:p>
    <w:p>
      <w:pPr>
        <w:ind w:left="980"/>
        <w:spacing w:after="0"/>
        <w:rPr>
          <w:rFonts w:ascii="Arial" w:cs="Arial" w:eastAsia="Arial" w:hAnsi="Arial"/>
          <w:sz w:val="36"/>
          <w:szCs w:val="36"/>
          <w:color w:val="auto"/>
          <w:vertAlign w:val="subscript"/>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36"/>
          <w:szCs w:val="36"/>
          <w:color w:val="auto"/>
          <w:vertAlign w:val="subscript"/>
        </w:rPr>
      </w:pPr>
    </w:p>
    <w:p>
      <w:pPr>
        <w:ind w:left="980" w:right="7220" w:hanging="324"/>
        <w:spacing w:after="0" w:line="198" w:lineRule="auto"/>
        <w:tabs>
          <w:tab w:leader="none" w:pos="980" w:val="left"/>
        </w:tabs>
        <w:numPr>
          <w:ilvl w:val="0"/>
          <w:numId w:val="12"/>
        </w:numPr>
        <w:rPr>
          <w:rFonts w:ascii="Arial" w:cs="Arial" w:eastAsia="Arial" w:hAnsi="Arial"/>
          <w:sz w:val="34"/>
          <w:szCs w:val="34"/>
          <w:color w:val="auto"/>
          <w:vertAlign w:val="subscript"/>
        </w:rPr>
      </w:pPr>
      <w:r>
        <w:rPr>
          <w:rFonts w:ascii="Arial" w:cs="Arial" w:eastAsia="Arial" w:hAnsi="Arial"/>
          <w:sz w:val="17"/>
          <w:szCs w:val="17"/>
          <w:color w:val="auto"/>
        </w:rPr>
        <w:t>Boothbay Absolute Return Strategies LP – 0 Boothbay Fund Management, LLC – 0 Ari Glass – 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Absolute Return Strategies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Boothbay Fund Management, LLC, its investment manager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Fund Management,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Ari Glass</w:t>
      </w:r>
    </w:p>
    <w:p>
      <w:pPr>
        <w:spacing w:after="0" w:line="225" w:lineRule="exact"/>
        <w:rPr>
          <w:sz w:val="20"/>
          <w:szCs w:val="20"/>
          <w:color w:val="auto"/>
        </w:rPr>
      </w:pPr>
    </w:p>
    <w:p>
      <w:pPr>
        <w:jc w:val="right"/>
        <w:ind w:righ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jc w:val="right"/>
        <w:ind w:right="4480"/>
        <w:spacing w:after="0"/>
        <w:rPr>
          <w:sz w:val="20"/>
          <w:szCs w:val="20"/>
          <w:color w:val="auto"/>
        </w:rPr>
      </w:pPr>
      <w:r>
        <w:rPr>
          <w:rFonts w:ascii="Arial" w:cs="Arial" w:eastAsia="Arial" w:hAnsi="Arial"/>
          <w:sz w:val="18"/>
          <w:szCs w:val="18"/>
          <w:color w:val="auto"/>
        </w:rPr>
        <w:t>Individually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JOINT FILING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consent and agree to the joint filing of Schedule 13G Amendment No. 3 under the Securities Exchange Act of 1934, as amended, with respect to the Shares of M I Acquisitions Inc., together with any or all amendments thereto, when and if required. The parties hereto further consent and agree to file this Joint Filing Statement pursuant to Rule13d-1(k)(1)(iii) as an exhibit to Schedule 13G, thereby incorporating the same into such Schedule13G.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Joint Filing Statement may be terminated by any of the undersigned upon written notice or such lesser period of notice as the undersigned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Absolute Return Strategies LP</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 Boothbay Fund Management, LLC, its investment manager</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Fund Management,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Ari Glass</w:t>
      </w:r>
    </w:p>
    <w:p>
      <w:pPr>
        <w:spacing w:after="0" w:line="225" w:lineRule="exact"/>
        <w:rPr>
          <w:sz w:val="20"/>
          <w:szCs w:val="20"/>
          <w:color w:val="auto"/>
        </w:rPr>
      </w:pPr>
    </w:p>
    <w:p>
      <w:pPr>
        <w:jc w:val="right"/>
        <w:ind w:righ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jc w:val="right"/>
        <w:ind w:right="4480"/>
        <w:spacing w:after="0"/>
        <w:rPr>
          <w:sz w:val="20"/>
          <w:szCs w:val="20"/>
          <w:color w:val="auto"/>
        </w:rPr>
      </w:pPr>
      <w:r>
        <w:rPr>
          <w:rFonts w:ascii="Arial" w:cs="Arial" w:eastAsia="Arial" w:hAnsi="Arial"/>
          <w:sz w:val="18"/>
          <w:szCs w:val="18"/>
          <w:color w:val="auto"/>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lvl w:ilvl="1">
      <w:lvlJc w:val="left"/>
      <w:lvlText w:val="(%2)"/>
      <w:numFmt w:val="lowerLetter"/>
      <w:start w:val="1"/>
    </w:lvl>
  </w:abstractNum>
  <w:abstractNum w:abstractNumId="3">
    <w:nsid w:val="7545E146"/>
    <w:multiLevelType w:val="hybridMultilevel"/>
    <w:lvl w:ilvl="0">
      <w:lvlJc w:val="left"/>
      <w:lvlText w:val="%1."/>
      <w:numFmt w:val="decimal"/>
      <w:start w:val="10"/>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10"/>
    </w:lvl>
  </w:abstractNum>
  <w:abstractNum w:abstractNumId="6">
    <w:nsid w:val="12200854"/>
    <w:multiLevelType w:val="hybridMultilevel"/>
    <w:lvl w:ilvl="0">
      <w:lvlJc w:val="left"/>
      <w:lvlText w:val="%1."/>
      <w:numFmt w:val="decimal"/>
      <w:start w:val="1"/>
    </w:lvl>
    <w:lvl w:ilvl="1">
      <w:lvlJc w:val="left"/>
      <w:lvlText w:val="(%2)"/>
      <w:numFmt w:val="lowerLetter"/>
      <w:start w:val="1"/>
    </w:lvl>
  </w:abstractNum>
  <w:abstractNum w:abstractNumId="7">
    <w:nsid w:val="4DB127F8"/>
    <w:multiLevelType w:val="hybridMultilevel"/>
    <w:lvl w:ilvl="0">
      <w:lvlJc w:val="left"/>
      <w:lvlText w:val="%1."/>
      <w:numFmt w:val="decimal"/>
      <w:start w:val="10"/>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2020-01-09T20:55:48Z</dcterms:created>
  <dcterms:modified xsi:type="dcterms:W3CDTF">2020-01-09T20:55:48Z</dcterms:modified>
</cp:coreProperties>
</file>