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93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638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1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638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6287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628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63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2,351,559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2,351,500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2,351,447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2,351,306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1.665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2,350,991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2,350,891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1.675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2,350,659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2,350,471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1.685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2,350,259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2,350,059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2,349,893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2,349,845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2,349,841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2,349,782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1.705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2,349,694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2,349,071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1.725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2,348,971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2,348,919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1.735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2,348,785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2,348,684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 xml:space="preserve"> 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 xml:space="preserve">$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2,348,661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989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98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63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500" w:type="dxa"/>
            <w:vAlign w:val="bottom"/>
            <w:gridSpan w:val="15"/>
          </w:tcPr>
          <w:p>
            <w:pPr>
              <w:ind w:left="2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sales reported in this Form 4 were effected pursuant to a Rule 10b5-trading 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of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adopted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5"/>
              </w:rPr>
              <w:t>(D)</w:t>
            </w: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 xml:space="preserve"> by the reporting person.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highlight w:val="white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  <w:highlight w:val="white"/>
              </w:rPr>
              <w:t>/s/ Sean Kiewiet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Amoun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0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0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0"/>
              </w:rPr>
              <w:t>ofReporting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419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41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amp;CIK=0001747632" TargetMode="External"/><Relationship Id="rId12" Type="http://schemas.openxmlformats.org/officeDocument/2006/relationships/hyperlink" Target="http://www.sec.gov/cgi-bin/browse-edgar?action=getcompany&amp;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2020-04-29T15:21:02Z</dcterms:created>
  <dcterms:modified xsi:type="dcterms:W3CDTF">2020-04-29T15:21:02Z</dcterms:modified>
</cp:coreProperties>
</file>