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36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SCHEDULE 13D</w:t>
      </w:r>
    </w:p>
    <w:p>
      <w:pPr>
        <w:spacing w:after="0" w:line="36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Under the Securities Exchange Act of 1934</w:t>
      </w:r>
    </w:p>
    <w:p>
      <w:pPr>
        <w:spacing w:after="0" w:line="6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(Amendment No. 1)*</w:t>
      </w:r>
    </w:p>
    <w:p>
      <w:pPr>
        <w:spacing w:after="0" w:line="360"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Priority Technology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(Name of Issuer)</w:t>
      </w:r>
    </w:p>
    <w:p>
      <w:pPr>
        <w:spacing w:after="0" w:line="360" w:lineRule="exact"/>
        <w:rPr>
          <w:sz w:val="24"/>
          <w:szCs w:val="24"/>
          <w:color w:val="auto"/>
        </w:rPr>
      </w:pPr>
    </w:p>
    <w:p>
      <w:pPr>
        <w:ind w:left="4240"/>
        <w:spacing w:after="0"/>
        <w:rPr>
          <w:sz w:val="20"/>
          <w:szCs w:val="20"/>
          <w:color w:val="auto"/>
        </w:rPr>
      </w:pPr>
      <w:r>
        <w:rPr>
          <w:rFonts w:ascii="Arial" w:cs="Arial" w:eastAsia="Arial" w:hAnsi="Arial"/>
          <w:sz w:val="18"/>
          <w:szCs w:val="18"/>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(Title of Class of Securities)</w:t>
      </w:r>
    </w:p>
    <w:p>
      <w:pPr>
        <w:spacing w:after="0" w:line="36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74275G 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w:t>
      </w:r>
    </w:p>
    <w:p>
      <w:pPr>
        <w:spacing w:after="0" w:line="360" w:lineRule="exact"/>
        <w:rPr>
          <w:sz w:val="24"/>
          <w:szCs w:val="24"/>
          <w:color w:val="auto"/>
        </w:rPr>
      </w:pPr>
    </w:p>
    <w:p>
      <w:pPr>
        <w:jc w:val="center"/>
        <w:ind w:left="680"/>
        <w:spacing w:after="0"/>
        <w:rPr>
          <w:sz w:val="20"/>
          <w:szCs w:val="20"/>
          <w:color w:val="auto"/>
        </w:rPr>
      </w:pPr>
      <w:r>
        <w:rPr>
          <w:rFonts w:ascii="Arial" w:cs="Arial" w:eastAsia="Arial" w:hAnsi="Arial"/>
          <w:sz w:val="18"/>
          <w:szCs w:val="18"/>
          <w:color w:val="auto"/>
        </w:rPr>
        <w:t>Thomas C. Priore</w:t>
      </w:r>
    </w:p>
    <w:p>
      <w:pPr>
        <w:spacing w:after="0" w:line="23" w:lineRule="exact"/>
        <w:rPr>
          <w:sz w:val="24"/>
          <w:szCs w:val="24"/>
          <w:color w:val="auto"/>
        </w:rPr>
      </w:pPr>
    </w:p>
    <w:p>
      <w:pPr>
        <w:jc w:val="center"/>
        <w:ind w:left="680"/>
        <w:spacing w:after="0"/>
        <w:rPr>
          <w:sz w:val="20"/>
          <w:szCs w:val="20"/>
          <w:color w:val="auto"/>
        </w:rPr>
      </w:pPr>
      <w:r>
        <w:rPr>
          <w:rFonts w:ascii="Arial" w:cs="Arial" w:eastAsia="Arial" w:hAnsi="Arial"/>
          <w:sz w:val="18"/>
          <w:szCs w:val="18"/>
          <w:color w:val="auto"/>
        </w:rPr>
        <w:t>c/o Priority Technology Holdings, Inc.</w:t>
      </w:r>
    </w:p>
    <w:p>
      <w:pPr>
        <w:spacing w:after="0" w:line="9" w:lineRule="exact"/>
        <w:rPr>
          <w:sz w:val="24"/>
          <w:szCs w:val="24"/>
          <w:color w:val="auto"/>
        </w:rPr>
      </w:pPr>
    </w:p>
    <w:p>
      <w:pPr>
        <w:jc w:val="center"/>
        <w:ind w:left="680"/>
        <w:spacing w:after="0"/>
        <w:rPr>
          <w:sz w:val="20"/>
          <w:szCs w:val="20"/>
          <w:color w:val="auto"/>
        </w:rPr>
      </w:pPr>
      <w:r>
        <w:rPr>
          <w:rFonts w:ascii="Arial" w:cs="Arial" w:eastAsia="Arial" w:hAnsi="Arial"/>
          <w:sz w:val="18"/>
          <w:szCs w:val="18"/>
          <w:color w:val="auto"/>
        </w:rPr>
        <w:t>2001 Westside Parkway, Suite 155</w:t>
      </w:r>
    </w:p>
    <w:p>
      <w:pPr>
        <w:spacing w:after="0" w:line="9" w:lineRule="exact"/>
        <w:rPr>
          <w:sz w:val="24"/>
          <w:szCs w:val="24"/>
          <w:color w:val="auto"/>
        </w:rPr>
      </w:pPr>
    </w:p>
    <w:p>
      <w:pPr>
        <w:jc w:val="center"/>
        <w:ind w:left="680"/>
        <w:spacing w:after="0"/>
        <w:rPr>
          <w:sz w:val="20"/>
          <w:szCs w:val="20"/>
          <w:color w:val="auto"/>
        </w:rPr>
      </w:pPr>
      <w:r>
        <w:rPr>
          <w:rFonts w:ascii="Arial" w:cs="Arial" w:eastAsia="Arial" w:hAnsi="Arial"/>
          <w:sz w:val="18"/>
          <w:szCs w:val="18"/>
          <w:color w:val="auto"/>
        </w:rPr>
        <w:t>Alpharetta, GA 30004</w:t>
      </w:r>
    </w:p>
    <w:p>
      <w:pPr>
        <w:spacing w:after="0" w:line="9" w:lineRule="exact"/>
        <w:rPr>
          <w:sz w:val="24"/>
          <w:szCs w:val="24"/>
          <w:color w:val="auto"/>
        </w:rPr>
      </w:pPr>
    </w:p>
    <w:p>
      <w:pPr>
        <w:jc w:val="center"/>
        <w:ind w:left="680"/>
        <w:spacing w:after="0"/>
        <w:rPr>
          <w:sz w:val="20"/>
          <w:szCs w:val="20"/>
          <w:color w:val="auto"/>
        </w:rPr>
      </w:pPr>
      <w:r>
        <w:rPr>
          <w:rFonts w:ascii="Arial" w:cs="Arial" w:eastAsia="Arial" w:hAnsi="Arial"/>
          <w:sz w:val="18"/>
          <w:szCs w:val="18"/>
          <w:color w:val="auto"/>
        </w:rPr>
        <w:t>(800) 935-5961</w:t>
      </w:r>
    </w:p>
    <w:p>
      <w:pPr>
        <w:spacing w:after="0" w:line="211" w:lineRule="exact"/>
        <w:rPr>
          <w:sz w:val="24"/>
          <w:szCs w:val="24"/>
          <w:color w:val="auto"/>
        </w:rPr>
      </w:pPr>
    </w:p>
    <w:p>
      <w:pPr>
        <w:jc w:val="center"/>
        <w:ind w:left="680"/>
        <w:spacing w:after="0"/>
        <w:rPr>
          <w:sz w:val="20"/>
          <w:szCs w:val="20"/>
          <w:color w:val="auto"/>
        </w:rPr>
      </w:pPr>
      <w:r>
        <w:rPr>
          <w:rFonts w:ascii="Arial" w:cs="Arial" w:eastAsia="Arial" w:hAnsi="Arial"/>
          <w:sz w:val="18"/>
          <w:szCs w:val="18"/>
          <w:color w:val="auto"/>
        </w:rPr>
        <w:t>With a copy to:</w:t>
      </w:r>
    </w:p>
    <w:p>
      <w:pPr>
        <w:spacing w:after="0" w:line="225" w:lineRule="exact"/>
        <w:rPr>
          <w:sz w:val="24"/>
          <w:szCs w:val="24"/>
          <w:color w:val="auto"/>
        </w:rPr>
      </w:pPr>
    </w:p>
    <w:p>
      <w:pPr>
        <w:jc w:val="center"/>
        <w:ind w:left="680"/>
        <w:spacing w:after="0"/>
        <w:rPr>
          <w:sz w:val="20"/>
          <w:szCs w:val="20"/>
          <w:color w:val="auto"/>
        </w:rPr>
      </w:pPr>
      <w:r>
        <w:rPr>
          <w:rFonts w:ascii="Arial" w:cs="Arial" w:eastAsia="Arial" w:hAnsi="Arial"/>
          <w:sz w:val="18"/>
          <w:szCs w:val="18"/>
          <w:color w:val="auto"/>
        </w:rPr>
        <w:t>John Mahon, Esq.</w:t>
      </w:r>
    </w:p>
    <w:p>
      <w:pPr>
        <w:spacing w:after="0" w:line="23" w:lineRule="exact"/>
        <w:rPr>
          <w:sz w:val="24"/>
          <w:szCs w:val="24"/>
          <w:color w:val="auto"/>
        </w:rPr>
      </w:pPr>
    </w:p>
    <w:p>
      <w:pPr>
        <w:jc w:val="center"/>
        <w:ind w:left="680"/>
        <w:spacing w:after="0"/>
        <w:rPr>
          <w:sz w:val="20"/>
          <w:szCs w:val="20"/>
          <w:color w:val="auto"/>
        </w:rPr>
      </w:pPr>
      <w:r>
        <w:rPr>
          <w:rFonts w:ascii="Arial" w:cs="Arial" w:eastAsia="Arial" w:hAnsi="Arial"/>
          <w:sz w:val="18"/>
          <w:szCs w:val="18"/>
          <w:color w:val="auto"/>
        </w:rPr>
        <w:t>F. Xavier Kowalski, Esq.</w:t>
      </w:r>
    </w:p>
    <w:p>
      <w:pPr>
        <w:spacing w:after="0" w:line="9" w:lineRule="exact"/>
        <w:rPr>
          <w:sz w:val="24"/>
          <w:szCs w:val="24"/>
          <w:color w:val="auto"/>
        </w:rPr>
      </w:pPr>
    </w:p>
    <w:p>
      <w:pPr>
        <w:jc w:val="center"/>
        <w:ind w:left="680"/>
        <w:spacing w:after="0"/>
        <w:rPr>
          <w:sz w:val="20"/>
          <w:szCs w:val="20"/>
          <w:color w:val="auto"/>
        </w:rPr>
      </w:pPr>
      <w:r>
        <w:rPr>
          <w:rFonts w:ascii="Arial" w:cs="Arial" w:eastAsia="Arial" w:hAnsi="Arial"/>
          <w:sz w:val="18"/>
          <w:szCs w:val="18"/>
          <w:color w:val="auto"/>
        </w:rPr>
        <w:t>Schulte Roth &amp; Zabel LLP</w:t>
      </w:r>
    </w:p>
    <w:p>
      <w:pPr>
        <w:spacing w:after="0" w:line="9" w:lineRule="exact"/>
        <w:rPr>
          <w:sz w:val="24"/>
          <w:szCs w:val="24"/>
          <w:color w:val="auto"/>
        </w:rPr>
      </w:pPr>
    </w:p>
    <w:p>
      <w:pPr>
        <w:jc w:val="center"/>
        <w:ind w:left="680"/>
        <w:spacing w:after="0"/>
        <w:rPr>
          <w:sz w:val="20"/>
          <w:szCs w:val="20"/>
          <w:color w:val="auto"/>
        </w:rPr>
      </w:pPr>
      <w:r>
        <w:rPr>
          <w:rFonts w:ascii="Arial" w:cs="Arial" w:eastAsia="Arial" w:hAnsi="Arial"/>
          <w:sz w:val="18"/>
          <w:szCs w:val="18"/>
          <w:color w:val="auto"/>
        </w:rPr>
        <w:t>919 Third Avenue</w:t>
      </w:r>
    </w:p>
    <w:p>
      <w:pPr>
        <w:spacing w:after="0" w:line="9" w:lineRule="exact"/>
        <w:rPr>
          <w:sz w:val="24"/>
          <w:szCs w:val="24"/>
          <w:color w:val="auto"/>
        </w:rPr>
      </w:pPr>
    </w:p>
    <w:p>
      <w:pPr>
        <w:jc w:val="center"/>
        <w:ind w:left="680"/>
        <w:spacing w:after="0"/>
        <w:rPr>
          <w:sz w:val="20"/>
          <w:szCs w:val="20"/>
          <w:color w:val="auto"/>
        </w:rPr>
      </w:pPr>
      <w:r>
        <w:rPr>
          <w:rFonts w:ascii="Arial" w:cs="Arial" w:eastAsia="Arial" w:hAnsi="Arial"/>
          <w:sz w:val="18"/>
          <w:szCs w:val="18"/>
          <w:color w:val="auto"/>
        </w:rPr>
        <w:t>New York, NY 10022</w:t>
      </w:r>
    </w:p>
    <w:p>
      <w:pPr>
        <w:spacing w:after="0" w:line="9" w:lineRule="exact"/>
        <w:rPr>
          <w:sz w:val="24"/>
          <w:szCs w:val="24"/>
          <w:color w:val="auto"/>
        </w:rPr>
      </w:pPr>
    </w:p>
    <w:p>
      <w:pPr>
        <w:jc w:val="center"/>
        <w:ind w:left="680"/>
        <w:spacing w:after="0"/>
        <w:rPr>
          <w:sz w:val="20"/>
          <w:szCs w:val="20"/>
          <w:color w:val="auto"/>
        </w:rPr>
      </w:pPr>
      <w:r>
        <w:rPr>
          <w:rFonts w:ascii="Arial" w:cs="Arial" w:eastAsia="Arial" w:hAnsi="Arial"/>
          <w:sz w:val="18"/>
          <w:szCs w:val="18"/>
          <w:color w:val="auto"/>
        </w:rPr>
        <w:t>(212) 756-2000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Address and Telephone Number of Person</w:t>
      </w:r>
    </w:p>
    <w:p>
      <w:pPr>
        <w:spacing w:after="0" w:line="6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Authorized to Receive Notices and Communications)</w:t>
      </w:r>
    </w:p>
    <w:p>
      <w:pPr>
        <w:spacing w:after="0" w:line="360"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August 19,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ind w:right="48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(Page 1 of 7 Pages)</w:t>
      </w:r>
    </w:p>
    <w:p>
      <w:pPr>
        <w:spacing w:after="0" w:line="239" w:lineRule="exact"/>
        <w:rPr>
          <w:sz w:val="24"/>
          <w:szCs w:val="24"/>
          <w:color w:val="auto"/>
        </w:rPr>
      </w:pPr>
    </w:p>
    <w:p>
      <w:pPr>
        <w:ind w:right="100" w:firstLine="8"/>
        <w:spacing w:after="0" w:line="277"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320"/>
          </w:cols>
          <w:pgMar w:left="240" w:top="895"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7"/>
        </w:trPr>
        <w:tc>
          <w:tcPr>
            <w:tcW w:w="2100" w:type="dxa"/>
            <w:vAlign w:val="bottom"/>
            <w:tcBorders>
              <w:top w:val="single" w:sz="8" w:color="auto"/>
              <w:left w:val="single" w:sz="8" w:color="auto"/>
            </w:tcBorders>
            <w:vMerge w:val="restart"/>
          </w:tcPr>
          <w:p>
            <w:pPr>
              <w:ind w:left="180"/>
              <w:spacing w:after="0"/>
              <w:rPr>
                <w:sz w:val="20"/>
                <w:szCs w:val="20"/>
                <w:color w:val="auto"/>
              </w:rPr>
            </w:pPr>
            <w:r>
              <w:rPr>
                <w:rFonts w:ascii="Arial" w:cs="Arial" w:eastAsia="Arial" w:hAnsi="Arial"/>
                <w:sz w:val="18"/>
                <w:szCs w:val="18"/>
                <w:b w:val="1"/>
                <w:bCs w:val="1"/>
                <w:color w:val="auto"/>
                <w:w w:val="97"/>
              </w:rPr>
              <w:t>CUSIP No. 74275G 107</w:t>
            </w:r>
          </w:p>
        </w:tc>
        <w:tc>
          <w:tcPr>
            <w:tcW w:w="560" w:type="dxa"/>
            <w:vAlign w:val="bottom"/>
            <w:tcBorders>
              <w:top w:val="single" w:sz="8" w:color="auto"/>
            </w:tcBorders>
          </w:tcPr>
          <w:p>
            <w:pPr>
              <w:spacing w:after="0"/>
              <w:rPr>
                <w:sz w:val="22"/>
                <w:szCs w:val="22"/>
                <w:color w:val="auto"/>
              </w:rPr>
            </w:pPr>
          </w:p>
        </w:tc>
        <w:tc>
          <w:tcPr>
            <w:tcW w:w="1240" w:type="dxa"/>
            <w:vAlign w:val="bottom"/>
            <w:tcBorders>
              <w:top w:val="single" w:sz="8" w:color="auto"/>
              <w:right w:val="single" w:sz="8" w:color="auto"/>
            </w:tcBorders>
          </w:tcPr>
          <w:p>
            <w:pPr>
              <w:spacing w:after="0"/>
              <w:rPr>
                <w:sz w:val="22"/>
                <w:szCs w:val="22"/>
                <w:color w:val="auto"/>
              </w:rPr>
            </w:pPr>
          </w:p>
        </w:tc>
        <w:tc>
          <w:tcPr>
            <w:tcW w:w="3740" w:type="dxa"/>
            <w:vAlign w:val="bottom"/>
            <w:tcBorders>
              <w:right w:val="single" w:sz="8" w:color="auto"/>
            </w:tcBorders>
          </w:tcPr>
          <w:p>
            <w:pPr>
              <w:ind w:left="1200"/>
              <w:spacing w:after="0"/>
              <w:rPr>
                <w:sz w:val="20"/>
                <w:szCs w:val="20"/>
                <w:color w:val="auto"/>
              </w:rPr>
            </w:pPr>
            <w:r>
              <w:rPr>
                <w:rFonts w:ascii="Arial" w:cs="Arial" w:eastAsia="Arial" w:hAnsi="Arial"/>
                <w:sz w:val="18"/>
                <w:szCs w:val="18"/>
                <w:b w:val="1"/>
                <w:bCs w:val="1"/>
                <w:color w:val="auto"/>
              </w:rPr>
              <w:t>SCHEDULE 13D</w:t>
            </w:r>
          </w:p>
        </w:tc>
        <w:tc>
          <w:tcPr>
            <w:tcW w:w="272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Page 2 of 7 Pages</w:t>
            </w:r>
          </w:p>
        </w:tc>
        <w:tc>
          <w:tcPr>
            <w:tcW w:w="1020" w:type="dxa"/>
            <w:vAlign w:val="bottom"/>
            <w:tcBorders>
              <w:top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1"/>
        </w:trPr>
        <w:tc>
          <w:tcPr>
            <w:tcW w:w="2100" w:type="dxa"/>
            <w:vAlign w:val="bottom"/>
            <w:tcBorders>
              <w:left w:val="single" w:sz="8" w:color="auto"/>
            </w:tcBorders>
            <w:vMerge w:val="continue"/>
          </w:tcPr>
          <w:p>
            <w:pPr>
              <w:spacing w:after="0"/>
              <w:rPr>
                <w:sz w:val="7"/>
                <w:szCs w:val="7"/>
                <w:color w:val="auto"/>
              </w:rPr>
            </w:pPr>
          </w:p>
        </w:tc>
        <w:tc>
          <w:tcPr>
            <w:tcW w:w="560" w:type="dxa"/>
            <w:vAlign w:val="bottom"/>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3740" w:type="dxa"/>
            <w:vAlign w:val="bottom"/>
            <w:tcBorders>
              <w:right w:val="single" w:sz="8" w:color="auto"/>
            </w:tcBorders>
          </w:tcPr>
          <w:p>
            <w:pPr>
              <w:spacing w:after="0"/>
              <w:rPr>
                <w:sz w:val="7"/>
                <w:szCs w:val="7"/>
                <w:color w:val="auto"/>
              </w:rPr>
            </w:pPr>
          </w:p>
        </w:tc>
        <w:tc>
          <w:tcPr>
            <w:tcW w:w="2720" w:type="dxa"/>
            <w:vAlign w:val="bottom"/>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210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10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gridSpan w:val="3"/>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w:t>
            </w:r>
          </w:p>
        </w:tc>
        <w:tc>
          <w:tcPr>
            <w:tcW w:w="5540" w:type="dxa"/>
            <w:vAlign w:val="bottom"/>
            <w:gridSpan w:val="3"/>
          </w:tcPr>
          <w:p>
            <w:pPr>
              <w:ind w:left="20"/>
              <w:spacing w:after="0"/>
              <w:rPr>
                <w:sz w:val="20"/>
                <w:szCs w:val="20"/>
                <w:color w:val="auto"/>
              </w:rPr>
            </w:pPr>
            <w:r>
              <w:rPr>
                <w:rFonts w:ascii="Arial" w:cs="Arial" w:eastAsia="Arial" w:hAnsi="Arial"/>
                <w:sz w:val="18"/>
                <w:szCs w:val="18"/>
                <w:color w:val="auto"/>
              </w:rPr>
              <w:t>NAME OF REPORTING PERSON</w:t>
            </w:r>
          </w:p>
        </w:tc>
        <w:tc>
          <w:tcPr>
            <w:tcW w:w="2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Borders>
              <w:left w:val="single" w:sz="8" w:color="auto"/>
              <w:right w:val="single" w:sz="8" w:color="auto"/>
            </w:tcBorders>
          </w:tcPr>
          <w:p>
            <w:pPr>
              <w:spacing w:after="0"/>
              <w:rPr>
                <w:sz w:val="20"/>
                <w:szCs w:val="20"/>
                <w:color w:val="auto"/>
              </w:rPr>
            </w:pPr>
          </w:p>
        </w:tc>
        <w:tc>
          <w:tcPr>
            <w:tcW w:w="5540" w:type="dxa"/>
            <w:vAlign w:val="bottom"/>
            <w:gridSpan w:val="3"/>
          </w:tcPr>
          <w:p>
            <w:pPr>
              <w:ind w:left="340"/>
              <w:spacing w:after="0"/>
              <w:rPr>
                <w:sz w:val="20"/>
                <w:szCs w:val="20"/>
                <w:color w:val="auto"/>
              </w:rPr>
            </w:pPr>
            <w:r>
              <w:rPr>
                <w:rFonts w:ascii="Arial" w:cs="Arial" w:eastAsia="Arial" w:hAnsi="Arial"/>
                <w:sz w:val="18"/>
                <w:szCs w:val="18"/>
                <w:color w:val="auto"/>
              </w:rPr>
              <w:t>Thomas C. Priore</w:t>
            </w:r>
          </w:p>
        </w:tc>
        <w:tc>
          <w:tcPr>
            <w:tcW w:w="2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5540" w:type="dxa"/>
            <w:vAlign w:val="bottom"/>
            <w:tcBorders>
              <w:bottom w:val="single" w:sz="8" w:color="auto"/>
            </w:tcBorders>
            <w:gridSpan w:val="3"/>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100" w:type="dxa"/>
            <w:vAlign w:val="bottom"/>
            <w:tcBorders>
              <w:left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9"/>
              </w:rPr>
              <w:t>2</w:t>
            </w:r>
          </w:p>
        </w:tc>
        <w:tc>
          <w:tcPr>
            <w:tcW w:w="554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CHECK THE APPROPRIATE BOX IF A MEMBER OF A GROUP</w:t>
            </w:r>
          </w:p>
        </w:tc>
        <w:tc>
          <w:tcPr>
            <w:tcW w:w="2720" w:type="dxa"/>
            <w:vAlign w:val="bottom"/>
          </w:tcPr>
          <w:p>
            <w:pPr>
              <w:spacing w:after="0"/>
              <w:rPr>
                <w:sz w:val="16"/>
                <w:szCs w:val="16"/>
                <w:color w:val="auto"/>
              </w:rPr>
            </w:pPr>
          </w:p>
        </w:tc>
        <w:tc>
          <w:tcPr>
            <w:tcW w:w="1020" w:type="dxa"/>
            <w:vAlign w:val="bottom"/>
          </w:tcPr>
          <w:p>
            <w:pPr>
              <w:ind w:left="180"/>
              <w:spacing w:after="0" w:line="18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7"/>
        </w:trPr>
        <w:tc>
          <w:tcPr>
            <w:tcW w:w="2100" w:type="dxa"/>
            <w:vAlign w:val="bottom"/>
            <w:tcBorders>
              <w:left w:val="single" w:sz="8" w:color="auto"/>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ind w:left="1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5540" w:type="dxa"/>
            <w:vAlign w:val="bottom"/>
            <w:gridSpan w:val="3"/>
          </w:tcPr>
          <w:p>
            <w:pPr>
              <w:ind w:left="20"/>
              <w:spacing w:after="0"/>
              <w:rPr>
                <w:sz w:val="20"/>
                <w:szCs w:val="20"/>
                <w:color w:val="auto"/>
              </w:rPr>
            </w:pPr>
            <w:r>
              <w:rPr>
                <w:rFonts w:ascii="Arial" w:cs="Arial" w:eastAsia="Arial" w:hAnsi="Arial"/>
                <w:sz w:val="18"/>
                <w:szCs w:val="18"/>
                <w:color w:val="auto"/>
              </w:rPr>
              <w:t>SEC USE ONLY</w:t>
            </w:r>
          </w:p>
        </w:tc>
        <w:tc>
          <w:tcPr>
            <w:tcW w:w="2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5540" w:type="dxa"/>
            <w:vAlign w:val="bottom"/>
            <w:tcBorders>
              <w:bottom w:val="single" w:sz="8" w:color="auto"/>
            </w:tcBorders>
            <w:gridSpan w:val="3"/>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w:t>
            </w:r>
          </w:p>
        </w:tc>
        <w:tc>
          <w:tcPr>
            <w:tcW w:w="5540" w:type="dxa"/>
            <w:vAlign w:val="bottom"/>
            <w:gridSpan w:val="3"/>
          </w:tcPr>
          <w:p>
            <w:pPr>
              <w:ind w:left="20"/>
              <w:spacing w:after="0"/>
              <w:rPr>
                <w:sz w:val="20"/>
                <w:szCs w:val="20"/>
                <w:color w:val="auto"/>
              </w:rPr>
            </w:pPr>
            <w:r>
              <w:rPr>
                <w:rFonts w:ascii="Arial" w:cs="Arial" w:eastAsia="Arial" w:hAnsi="Arial"/>
                <w:sz w:val="18"/>
                <w:szCs w:val="18"/>
                <w:color w:val="auto"/>
              </w:rPr>
              <w:t>SOURCE OF FUNDS</w:t>
            </w:r>
          </w:p>
        </w:tc>
        <w:tc>
          <w:tcPr>
            <w:tcW w:w="2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Borders>
              <w:left w:val="single" w:sz="8" w:color="auto"/>
              <w:right w:val="single" w:sz="8" w:color="auto"/>
            </w:tcBorders>
          </w:tcPr>
          <w:p>
            <w:pPr>
              <w:spacing w:after="0"/>
              <w:rPr>
                <w:sz w:val="20"/>
                <w:szCs w:val="20"/>
                <w:color w:val="auto"/>
              </w:rPr>
            </w:pPr>
          </w:p>
        </w:tc>
        <w:tc>
          <w:tcPr>
            <w:tcW w:w="5540" w:type="dxa"/>
            <w:vAlign w:val="bottom"/>
            <w:gridSpan w:val="3"/>
          </w:tcPr>
          <w:p>
            <w:pPr>
              <w:ind w:left="340"/>
              <w:spacing w:after="0"/>
              <w:rPr>
                <w:sz w:val="20"/>
                <w:szCs w:val="20"/>
                <w:color w:val="auto"/>
              </w:rPr>
            </w:pPr>
            <w:r>
              <w:rPr>
                <w:rFonts w:ascii="Arial" w:cs="Arial" w:eastAsia="Arial" w:hAnsi="Arial"/>
                <w:sz w:val="18"/>
                <w:szCs w:val="18"/>
                <w:color w:val="auto"/>
              </w:rPr>
              <w:t>OO (See Item 3)</w:t>
            </w:r>
          </w:p>
        </w:tc>
        <w:tc>
          <w:tcPr>
            <w:tcW w:w="2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8260" w:type="dxa"/>
            <w:vAlign w:val="bottom"/>
            <w:tcBorders>
              <w:bottom w:val="single" w:sz="8" w:color="auto"/>
            </w:tcBorders>
            <w:gridSpan w:val="4"/>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w:t>
            </w:r>
          </w:p>
        </w:tc>
        <w:tc>
          <w:tcPr>
            <w:tcW w:w="8260" w:type="dxa"/>
            <w:vAlign w:val="bottom"/>
            <w:gridSpan w:val="4"/>
          </w:tcPr>
          <w:p>
            <w:pPr>
              <w:ind w:left="20"/>
              <w:spacing w:after="0"/>
              <w:rPr>
                <w:sz w:val="20"/>
                <w:szCs w:val="20"/>
                <w:color w:val="auto"/>
              </w:rPr>
            </w:pPr>
            <w:r>
              <w:rPr>
                <w:rFonts w:ascii="Arial" w:cs="Arial" w:eastAsia="Arial" w:hAnsi="Arial"/>
                <w:sz w:val="18"/>
                <w:szCs w:val="18"/>
                <w:color w:val="auto"/>
                <w:w w:val="97"/>
              </w:rPr>
              <w:t>CHECK BOX IF DISCLOSURE OF LEGAL PROCEEDING IS REQUIRED PURSUANT TO ITEMS 2(d) or</w:t>
            </w:r>
          </w:p>
        </w:tc>
        <w:tc>
          <w:tcPr>
            <w:tcW w:w="102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Borders>
              <w:left w:val="single" w:sz="8" w:color="auto"/>
              <w:right w:val="single" w:sz="8" w:color="auto"/>
            </w:tcBorders>
          </w:tcPr>
          <w:p>
            <w:pPr>
              <w:spacing w:after="0"/>
              <w:rPr>
                <w:sz w:val="20"/>
                <w:szCs w:val="20"/>
                <w:color w:val="auto"/>
              </w:rPr>
            </w:pPr>
          </w:p>
        </w:tc>
        <w:tc>
          <w:tcPr>
            <w:tcW w:w="560" w:type="dxa"/>
            <w:vAlign w:val="bottom"/>
          </w:tcPr>
          <w:p>
            <w:pPr>
              <w:jc w:val="right"/>
              <w:ind w:right="170"/>
              <w:spacing w:after="0"/>
              <w:rPr>
                <w:sz w:val="20"/>
                <w:szCs w:val="20"/>
                <w:color w:val="auto"/>
              </w:rPr>
            </w:pPr>
            <w:r>
              <w:rPr>
                <w:rFonts w:ascii="Arial" w:cs="Arial" w:eastAsia="Arial" w:hAnsi="Arial"/>
                <w:sz w:val="18"/>
                <w:szCs w:val="18"/>
                <w:color w:val="auto"/>
                <w:w w:val="87"/>
              </w:rPr>
              <w:t>2(e)</w:t>
            </w:r>
          </w:p>
        </w:tc>
        <w:tc>
          <w:tcPr>
            <w:tcW w:w="12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5540" w:type="dxa"/>
            <w:vAlign w:val="bottom"/>
            <w:tcBorders>
              <w:bottom w:val="single" w:sz="8" w:color="auto"/>
            </w:tcBorders>
            <w:gridSpan w:val="3"/>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w:t>
            </w:r>
          </w:p>
        </w:tc>
        <w:tc>
          <w:tcPr>
            <w:tcW w:w="5540" w:type="dxa"/>
            <w:vAlign w:val="bottom"/>
            <w:gridSpan w:val="3"/>
          </w:tcPr>
          <w:p>
            <w:pPr>
              <w:ind w:left="20"/>
              <w:spacing w:after="0"/>
              <w:rPr>
                <w:sz w:val="20"/>
                <w:szCs w:val="20"/>
                <w:color w:val="auto"/>
              </w:rPr>
            </w:pPr>
            <w:r>
              <w:rPr>
                <w:rFonts w:ascii="Arial" w:cs="Arial" w:eastAsia="Arial" w:hAnsi="Arial"/>
                <w:sz w:val="18"/>
                <w:szCs w:val="18"/>
                <w:color w:val="auto"/>
              </w:rPr>
              <w:t>CITIZENSHIP OR PLACE OF ORGANIZATION</w:t>
            </w:r>
          </w:p>
        </w:tc>
        <w:tc>
          <w:tcPr>
            <w:tcW w:w="2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Borders>
              <w:left w:val="single" w:sz="8" w:color="auto"/>
              <w:right w:val="single" w:sz="8" w:color="auto"/>
            </w:tcBorders>
          </w:tcPr>
          <w:p>
            <w:pPr>
              <w:spacing w:after="0"/>
              <w:rPr>
                <w:sz w:val="20"/>
                <w:szCs w:val="20"/>
                <w:color w:val="auto"/>
              </w:rPr>
            </w:pPr>
          </w:p>
        </w:tc>
        <w:tc>
          <w:tcPr>
            <w:tcW w:w="5540" w:type="dxa"/>
            <w:vAlign w:val="bottom"/>
            <w:gridSpan w:val="3"/>
          </w:tcPr>
          <w:p>
            <w:pPr>
              <w:ind w:left="340"/>
              <w:spacing w:after="0"/>
              <w:rPr>
                <w:sz w:val="20"/>
                <w:szCs w:val="20"/>
                <w:color w:val="auto"/>
              </w:rPr>
            </w:pPr>
            <w:r>
              <w:rPr>
                <w:rFonts w:ascii="Arial" w:cs="Arial" w:eastAsia="Arial" w:hAnsi="Arial"/>
                <w:sz w:val="18"/>
                <w:szCs w:val="18"/>
                <w:color w:val="auto"/>
              </w:rPr>
              <w:t>United States</w:t>
            </w:r>
          </w:p>
        </w:tc>
        <w:tc>
          <w:tcPr>
            <w:tcW w:w="2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980" w:type="dxa"/>
            <w:vAlign w:val="bottom"/>
            <w:tcBorders>
              <w:bottom w:val="single" w:sz="8" w:color="auto"/>
            </w:tcBorders>
            <w:gridSpan w:val="2"/>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1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5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7</w:t>
            </w: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100" w:type="dxa"/>
            <w:vAlign w:val="bottom"/>
            <w:tcBorders>
              <w:left w:val="single" w:sz="8" w:color="auto"/>
              <w:right w:val="single" w:sz="8" w:color="auto"/>
            </w:tcBorders>
            <w:vMerge w:val="continue"/>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1240" w:type="dxa"/>
            <w:vAlign w:val="bottom"/>
          </w:tcPr>
          <w:p>
            <w:pPr>
              <w:ind w:left="340"/>
              <w:spacing w:after="0" w:line="202" w:lineRule="exact"/>
              <w:rPr>
                <w:sz w:val="20"/>
                <w:szCs w:val="20"/>
                <w:color w:val="auto"/>
              </w:rPr>
            </w:pPr>
            <w:r>
              <w:rPr>
                <w:rFonts w:ascii="Arial" w:cs="Arial" w:eastAsia="Arial" w:hAnsi="Arial"/>
                <w:sz w:val="18"/>
                <w:szCs w:val="18"/>
                <w:color w:val="auto"/>
                <w:w w:val="95"/>
              </w:rPr>
              <w:t>46,113,250</w:t>
            </w:r>
          </w:p>
        </w:tc>
        <w:tc>
          <w:tcPr>
            <w:tcW w:w="37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5"/>
        </w:trPr>
        <w:tc>
          <w:tcPr>
            <w:tcW w:w="21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SHARES</w:t>
            </w:r>
          </w:p>
        </w:tc>
        <w:tc>
          <w:tcPr>
            <w:tcW w:w="56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100" w:type="dxa"/>
            <w:vAlign w:val="bottom"/>
            <w:tcBorders>
              <w:left w:val="single" w:sz="8" w:color="auto"/>
              <w:right w:val="single" w:sz="8" w:color="auto"/>
            </w:tcBorders>
            <w:vMerge w:val="continue"/>
          </w:tcPr>
          <w:p>
            <w:pPr>
              <w:spacing w:after="0"/>
              <w:rPr>
                <w:sz w:val="12"/>
                <w:szCs w:val="12"/>
                <w:color w:val="auto"/>
              </w:rPr>
            </w:pPr>
          </w:p>
        </w:tc>
        <w:tc>
          <w:tcPr>
            <w:tcW w:w="560" w:type="dxa"/>
            <w:vAlign w:val="bottom"/>
            <w:tcBorders>
              <w:right w:val="single" w:sz="8" w:color="auto"/>
            </w:tcBorders>
            <w:vMerge w:val="restart"/>
          </w:tcPr>
          <w:p>
            <w:pPr>
              <w:jc w:val="right"/>
              <w:ind w:right="170"/>
              <w:spacing w:after="0"/>
              <w:rPr>
                <w:sz w:val="20"/>
                <w:szCs w:val="20"/>
                <w:color w:val="auto"/>
              </w:rPr>
            </w:pPr>
            <w:r>
              <w:rPr>
                <w:rFonts w:ascii="Arial" w:cs="Arial" w:eastAsia="Arial" w:hAnsi="Arial"/>
                <w:sz w:val="18"/>
                <w:szCs w:val="18"/>
                <w:b w:val="1"/>
                <w:bCs w:val="1"/>
                <w:color w:val="auto"/>
              </w:rPr>
              <w:t>8</w:t>
            </w:r>
          </w:p>
        </w:tc>
        <w:tc>
          <w:tcPr>
            <w:tcW w:w="4980" w:type="dxa"/>
            <w:vAlign w:val="bottom"/>
            <w:gridSpan w:val="2"/>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2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1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560" w:type="dxa"/>
            <w:vAlign w:val="bottom"/>
            <w:tcBorders>
              <w:right w:val="single" w:sz="8" w:color="auto"/>
            </w:tcBorders>
            <w:vMerge w:val="continue"/>
          </w:tcPr>
          <w:p>
            <w:pPr>
              <w:spacing w:after="0"/>
              <w:rPr>
                <w:sz w:val="7"/>
                <w:szCs w:val="7"/>
                <w:color w:val="auto"/>
              </w:rPr>
            </w:pPr>
          </w:p>
        </w:tc>
        <w:tc>
          <w:tcPr>
            <w:tcW w:w="4980" w:type="dxa"/>
            <w:vAlign w:val="bottom"/>
            <w:gridSpan w:val="2"/>
            <w:vMerge w:val="continue"/>
          </w:tcPr>
          <w:p>
            <w:pPr>
              <w:spacing w:after="0"/>
              <w:rPr>
                <w:sz w:val="7"/>
                <w:szCs w:val="7"/>
                <w:color w:val="auto"/>
              </w:rPr>
            </w:pPr>
          </w:p>
        </w:tc>
        <w:tc>
          <w:tcPr>
            <w:tcW w:w="27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100" w:type="dxa"/>
            <w:vAlign w:val="bottom"/>
            <w:tcBorders>
              <w:left w:val="single" w:sz="8" w:color="auto"/>
              <w:right w:val="single" w:sz="8" w:color="auto"/>
            </w:tcBorders>
            <w:vMerge w:val="continue"/>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1240" w:type="dxa"/>
            <w:vAlign w:val="bottom"/>
            <w:vMerge w:val="restart"/>
          </w:tcPr>
          <w:p>
            <w:pPr>
              <w:ind w:left="340"/>
              <w:spacing w:after="0"/>
              <w:rPr>
                <w:sz w:val="20"/>
                <w:szCs w:val="20"/>
                <w:color w:val="auto"/>
              </w:rPr>
            </w:pPr>
            <w:r>
              <w:rPr>
                <w:rFonts w:ascii="Arial" w:cs="Arial" w:eastAsia="Arial" w:hAnsi="Arial"/>
                <w:sz w:val="18"/>
                <w:szCs w:val="18"/>
                <w:color w:val="auto"/>
              </w:rPr>
              <w:t>620,810</w:t>
            </w:r>
          </w:p>
        </w:tc>
        <w:tc>
          <w:tcPr>
            <w:tcW w:w="374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1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560" w:type="dxa"/>
            <w:vAlign w:val="bottom"/>
            <w:tcBorders>
              <w:right w:val="single" w:sz="8" w:color="auto"/>
            </w:tcBorders>
          </w:tcPr>
          <w:p>
            <w:pPr>
              <w:spacing w:after="0"/>
              <w:rPr>
                <w:sz w:val="8"/>
                <w:szCs w:val="8"/>
                <w:color w:val="auto"/>
              </w:rPr>
            </w:pPr>
          </w:p>
        </w:tc>
        <w:tc>
          <w:tcPr>
            <w:tcW w:w="1240" w:type="dxa"/>
            <w:vAlign w:val="bottom"/>
            <w:vMerge w:val="continue"/>
          </w:tcPr>
          <w:p>
            <w:pPr>
              <w:spacing w:after="0"/>
              <w:rPr>
                <w:sz w:val="8"/>
                <w:szCs w:val="8"/>
                <w:color w:val="auto"/>
              </w:rPr>
            </w:pPr>
          </w:p>
        </w:tc>
        <w:tc>
          <w:tcPr>
            <w:tcW w:w="374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100" w:type="dxa"/>
            <w:vAlign w:val="bottom"/>
            <w:tcBorders>
              <w:left w:val="single" w:sz="8" w:color="auto"/>
              <w:right w:val="single" w:sz="8" w:color="auto"/>
            </w:tcBorders>
            <w:vMerge w:val="continue"/>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100" w:type="dxa"/>
            <w:vAlign w:val="bottom"/>
            <w:tcBorders>
              <w:left w:val="single" w:sz="8" w:color="auto"/>
              <w:right w:val="single" w:sz="8" w:color="auto"/>
            </w:tcBorders>
            <w:vMerge w:val="continue"/>
          </w:tcPr>
          <w:p>
            <w:pPr>
              <w:spacing w:after="0"/>
              <w:rPr>
                <w:sz w:val="6"/>
                <w:szCs w:val="6"/>
                <w:color w:val="auto"/>
              </w:rPr>
            </w:pPr>
          </w:p>
        </w:tc>
        <w:tc>
          <w:tcPr>
            <w:tcW w:w="560" w:type="dxa"/>
            <w:vAlign w:val="bottom"/>
            <w:tcBorders>
              <w:right w:val="single" w:sz="8" w:color="auto"/>
            </w:tcBorders>
            <w:vMerge w:val="restart"/>
          </w:tcPr>
          <w:p>
            <w:pPr>
              <w:jc w:val="right"/>
              <w:ind w:right="170"/>
              <w:spacing w:after="0"/>
              <w:rPr>
                <w:sz w:val="20"/>
                <w:szCs w:val="20"/>
                <w:color w:val="auto"/>
              </w:rPr>
            </w:pPr>
            <w:r>
              <w:rPr>
                <w:rFonts w:ascii="Arial" w:cs="Arial" w:eastAsia="Arial" w:hAnsi="Arial"/>
                <w:sz w:val="18"/>
                <w:szCs w:val="18"/>
                <w:b w:val="1"/>
                <w:bCs w:val="1"/>
                <w:color w:val="auto"/>
              </w:rPr>
              <w:t>9</w:t>
            </w:r>
          </w:p>
        </w:tc>
        <w:tc>
          <w:tcPr>
            <w:tcW w:w="4980" w:type="dxa"/>
            <w:vAlign w:val="bottom"/>
            <w:gridSpan w:val="2"/>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2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1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EACH</w:t>
            </w:r>
          </w:p>
        </w:tc>
        <w:tc>
          <w:tcPr>
            <w:tcW w:w="560" w:type="dxa"/>
            <w:vAlign w:val="bottom"/>
            <w:tcBorders>
              <w:right w:val="single" w:sz="8" w:color="auto"/>
            </w:tcBorders>
            <w:vMerge w:val="continue"/>
          </w:tcPr>
          <w:p>
            <w:pPr>
              <w:spacing w:after="0"/>
              <w:rPr>
                <w:sz w:val="12"/>
                <w:szCs w:val="12"/>
                <w:color w:val="auto"/>
              </w:rPr>
            </w:pPr>
          </w:p>
        </w:tc>
        <w:tc>
          <w:tcPr>
            <w:tcW w:w="4980" w:type="dxa"/>
            <w:vAlign w:val="bottom"/>
            <w:gridSpan w:val="2"/>
            <w:vMerge w:val="continue"/>
          </w:tcPr>
          <w:p>
            <w:pPr>
              <w:spacing w:after="0"/>
              <w:rPr>
                <w:sz w:val="12"/>
                <w:szCs w:val="12"/>
                <w:color w:val="auto"/>
              </w:rPr>
            </w:pPr>
          </w:p>
        </w:tc>
        <w:tc>
          <w:tcPr>
            <w:tcW w:w="2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100" w:type="dxa"/>
            <w:vAlign w:val="bottom"/>
            <w:tcBorders>
              <w:left w:val="single" w:sz="8" w:color="auto"/>
              <w:right w:val="single" w:sz="8" w:color="auto"/>
            </w:tcBorders>
            <w:vMerge w:val="continue"/>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1240" w:type="dxa"/>
            <w:vAlign w:val="bottom"/>
            <w:vMerge w:val="restart"/>
          </w:tcPr>
          <w:p>
            <w:pPr>
              <w:ind w:left="340"/>
              <w:spacing w:after="0"/>
              <w:rPr>
                <w:sz w:val="20"/>
                <w:szCs w:val="20"/>
                <w:color w:val="auto"/>
              </w:rPr>
            </w:pPr>
            <w:r>
              <w:rPr>
                <w:rFonts w:ascii="Arial" w:cs="Arial" w:eastAsia="Arial" w:hAnsi="Arial"/>
                <w:sz w:val="18"/>
                <w:szCs w:val="18"/>
                <w:color w:val="auto"/>
                <w:w w:val="95"/>
              </w:rPr>
              <w:t>46,113,250</w:t>
            </w:r>
          </w:p>
        </w:tc>
        <w:tc>
          <w:tcPr>
            <w:tcW w:w="374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100" w:type="dxa"/>
            <w:vAlign w:val="bottom"/>
            <w:tcBorders>
              <w:left w:val="single" w:sz="8" w:color="auto"/>
              <w:right w:val="single" w:sz="8" w:color="auto"/>
            </w:tcBorders>
            <w:vMerge w:val="restart"/>
          </w:tcPr>
          <w:p>
            <w:pPr>
              <w:jc w:val="center"/>
              <w:spacing w:after="0" w:line="190" w:lineRule="exact"/>
              <w:rPr>
                <w:sz w:val="20"/>
                <w:szCs w:val="20"/>
                <w:color w:val="auto"/>
              </w:rPr>
            </w:pPr>
            <w:r>
              <w:rPr>
                <w:rFonts w:ascii="Arial" w:cs="Arial" w:eastAsia="Arial" w:hAnsi="Arial"/>
                <w:sz w:val="18"/>
                <w:szCs w:val="18"/>
                <w:color w:val="auto"/>
                <w:w w:val="93"/>
              </w:rPr>
              <w:t>REPORTING</w:t>
            </w:r>
          </w:p>
        </w:tc>
        <w:tc>
          <w:tcPr>
            <w:tcW w:w="560" w:type="dxa"/>
            <w:vAlign w:val="bottom"/>
            <w:tcBorders>
              <w:right w:val="single" w:sz="8" w:color="auto"/>
            </w:tcBorders>
          </w:tcPr>
          <w:p>
            <w:pPr>
              <w:spacing w:after="0"/>
              <w:rPr>
                <w:sz w:val="14"/>
                <w:szCs w:val="14"/>
                <w:color w:val="auto"/>
              </w:rPr>
            </w:pPr>
          </w:p>
        </w:tc>
        <w:tc>
          <w:tcPr>
            <w:tcW w:w="1240" w:type="dxa"/>
            <w:vAlign w:val="bottom"/>
            <w:vMerge w:val="continue"/>
          </w:tcPr>
          <w:p>
            <w:pPr>
              <w:spacing w:after="0"/>
              <w:rPr>
                <w:sz w:val="14"/>
                <w:szCs w:val="14"/>
                <w:color w:val="auto"/>
              </w:rPr>
            </w:pPr>
          </w:p>
        </w:tc>
        <w:tc>
          <w:tcPr>
            <w:tcW w:w="37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100" w:type="dxa"/>
            <w:vAlign w:val="bottom"/>
            <w:tcBorders>
              <w:left w:val="single" w:sz="8" w:color="auto"/>
              <w:right w:val="single" w:sz="8" w:color="auto"/>
            </w:tcBorders>
            <w:vMerge w:val="continue"/>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60" w:type="dxa"/>
            <w:vAlign w:val="bottom"/>
            <w:tcBorders>
              <w:right w:val="single" w:sz="8" w:color="auto"/>
            </w:tcBorders>
          </w:tcPr>
          <w:p>
            <w:pPr>
              <w:ind w:left="180"/>
              <w:spacing w:after="0"/>
              <w:rPr>
                <w:sz w:val="20"/>
                <w:szCs w:val="20"/>
                <w:color w:val="auto"/>
              </w:rPr>
            </w:pPr>
            <w:r>
              <w:rPr>
                <w:rFonts w:ascii="Arial" w:cs="Arial" w:eastAsia="Arial" w:hAnsi="Arial"/>
                <w:sz w:val="18"/>
                <w:szCs w:val="18"/>
                <w:b w:val="1"/>
                <w:bCs w:val="1"/>
                <w:color w:val="auto"/>
              </w:rPr>
              <w:t>10</w:t>
            </w: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Borders>
              <w:left w:val="single" w:sz="8" w:color="auto"/>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1240" w:type="dxa"/>
            <w:vAlign w:val="bottom"/>
          </w:tcPr>
          <w:p>
            <w:pPr>
              <w:ind w:left="340"/>
              <w:spacing w:after="0"/>
              <w:rPr>
                <w:sz w:val="20"/>
                <w:szCs w:val="20"/>
                <w:color w:val="auto"/>
              </w:rPr>
            </w:pPr>
            <w:r>
              <w:rPr>
                <w:rFonts w:ascii="Arial" w:cs="Arial" w:eastAsia="Arial" w:hAnsi="Arial"/>
                <w:sz w:val="18"/>
                <w:szCs w:val="18"/>
                <w:color w:val="auto"/>
              </w:rPr>
              <w:t>620,810</w:t>
            </w:r>
          </w:p>
        </w:tc>
        <w:tc>
          <w:tcPr>
            <w:tcW w:w="37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4980" w:type="dxa"/>
            <w:vAlign w:val="bottom"/>
            <w:tcBorders>
              <w:bottom w:val="single" w:sz="8" w:color="auto"/>
            </w:tcBorders>
            <w:gridSpan w:val="2"/>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11</w:t>
            </w:r>
          </w:p>
        </w:tc>
        <w:tc>
          <w:tcPr>
            <w:tcW w:w="5540" w:type="dxa"/>
            <w:vAlign w:val="bottom"/>
            <w:gridSpan w:val="3"/>
          </w:tcPr>
          <w:p>
            <w:pPr>
              <w:ind w:left="20"/>
              <w:spacing w:after="0"/>
              <w:rPr>
                <w:sz w:val="20"/>
                <w:szCs w:val="20"/>
                <w:color w:val="auto"/>
              </w:rPr>
            </w:pPr>
            <w:r>
              <w:rPr>
                <w:rFonts w:ascii="Arial" w:cs="Arial" w:eastAsia="Arial" w:hAnsi="Arial"/>
                <w:sz w:val="18"/>
                <w:szCs w:val="18"/>
                <w:color w:val="auto"/>
                <w:w w:val="96"/>
              </w:rPr>
              <w:t>AGGREGATE AMOUNT BENEFICIALLY OWNED BY EACH PERSON</w:t>
            </w:r>
          </w:p>
        </w:tc>
        <w:tc>
          <w:tcPr>
            <w:tcW w:w="2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Borders>
              <w:left w:val="single" w:sz="8" w:color="auto"/>
              <w:right w:val="single" w:sz="8" w:color="auto"/>
            </w:tcBorders>
          </w:tcPr>
          <w:p>
            <w:pPr>
              <w:spacing w:after="0"/>
              <w:rPr>
                <w:sz w:val="20"/>
                <w:szCs w:val="20"/>
                <w:color w:val="auto"/>
              </w:rPr>
            </w:pPr>
          </w:p>
        </w:tc>
        <w:tc>
          <w:tcPr>
            <w:tcW w:w="1800" w:type="dxa"/>
            <w:vAlign w:val="bottom"/>
            <w:gridSpan w:val="2"/>
          </w:tcPr>
          <w:p>
            <w:pPr>
              <w:ind w:left="340"/>
              <w:spacing w:after="0"/>
              <w:rPr>
                <w:sz w:val="20"/>
                <w:szCs w:val="20"/>
                <w:color w:val="auto"/>
              </w:rPr>
            </w:pPr>
            <w:r>
              <w:rPr>
                <w:rFonts w:ascii="Arial" w:cs="Arial" w:eastAsia="Arial" w:hAnsi="Arial"/>
                <w:sz w:val="18"/>
                <w:szCs w:val="18"/>
                <w:color w:val="auto"/>
              </w:rPr>
              <w:t>46,734,060</w:t>
            </w:r>
          </w:p>
        </w:tc>
        <w:tc>
          <w:tcPr>
            <w:tcW w:w="37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70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1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826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rPr>
              <w:t>CHECK IF THE AGGREGATE AMOUNT IN ROW (11) EXCLUDES CERTAIN SHARES</w:t>
            </w:r>
          </w:p>
        </w:tc>
        <w:tc>
          <w:tcPr>
            <w:tcW w:w="1020" w:type="dxa"/>
            <w:vAlign w:val="bottom"/>
            <w:tcBorders>
              <w:bottom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5540" w:type="dxa"/>
            <w:vAlign w:val="bottom"/>
            <w:gridSpan w:val="3"/>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2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Borders>
              <w:left w:val="single" w:sz="8" w:color="auto"/>
              <w:right w:val="single" w:sz="8" w:color="auto"/>
            </w:tcBorders>
          </w:tcPr>
          <w:p>
            <w:pPr>
              <w:spacing w:after="0"/>
              <w:rPr>
                <w:sz w:val="20"/>
                <w:szCs w:val="20"/>
                <w:color w:val="auto"/>
              </w:rPr>
            </w:pPr>
          </w:p>
        </w:tc>
        <w:tc>
          <w:tcPr>
            <w:tcW w:w="8260" w:type="dxa"/>
            <w:vAlign w:val="bottom"/>
            <w:gridSpan w:val="4"/>
          </w:tcPr>
          <w:p>
            <w:pPr>
              <w:ind w:left="340"/>
              <w:spacing w:after="0"/>
              <w:rPr>
                <w:sz w:val="20"/>
                <w:szCs w:val="20"/>
                <w:color w:val="auto"/>
              </w:rPr>
            </w:pPr>
            <w:r>
              <w:rPr>
                <w:rFonts w:ascii="Arial" w:cs="Arial" w:eastAsia="Arial" w:hAnsi="Arial"/>
                <w:sz w:val="18"/>
                <w:szCs w:val="18"/>
                <w:color w:val="auto"/>
              </w:rPr>
              <w:t>69.7% (based on 67,007,172 shares of Common Stock outstanding on August 9, 2019)</w:t>
            </w:r>
          </w:p>
        </w:tc>
        <w:tc>
          <w:tcPr>
            <w:tcW w:w="102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980" w:type="dxa"/>
            <w:vAlign w:val="bottom"/>
            <w:tcBorders>
              <w:bottom w:val="single" w:sz="8" w:color="auto"/>
            </w:tcBorders>
            <w:gridSpan w:val="2"/>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5540" w:type="dxa"/>
            <w:vAlign w:val="bottom"/>
            <w:gridSpan w:val="3"/>
          </w:tcPr>
          <w:p>
            <w:pPr>
              <w:ind w:left="20"/>
              <w:spacing w:after="0"/>
              <w:rPr>
                <w:sz w:val="20"/>
                <w:szCs w:val="20"/>
                <w:color w:val="auto"/>
              </w:rPr>
            </w:pPr>
            <w:r>
              <w:rPr>
                <w:rFonts w:ascii="Arial" w:cs="Arial" w:eastAsia="Arial" w:hAnsi="Arial"/>
                <w:sz w:val="18"/>
                <w:szCs w:val="18"/>
                <w:color w:val="auto"/>
              </w:rPr>
              <w:t>TYPE OF REPORTING PERSON</w:t>
            </w:r>
          </w:p>
        </w:tc>
        <w:tc>
          <w:tcPr>
            <w:tcW w:w="2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Borders>
              <w:left w:val="single" w:sz="8" w:color="auto"/>
              <w:right w:val="single" w:sz="8" w:color="auto"/>
            </w:tcBorders>
          </w:tcPr>
          <w:p>
            <w:pPr>
              <w:spacing w:after="0"/>
              <w:rPr>
                <w:sz w:val="20"/>
                <w:szCs w:val="20"/>
                <w:color w:val="auto"/>
              </w:rPr>
            </w:pPr>
          </w:p>
        </w:tc>
        <w:tc>
          <w:tcPr>
            <w:tcW w:w="560" w:type="dxa"/>
            <w:vAlign w:val="bottom"/>
          </w:tcPr>
          <w:p>
            <w:pPr>
              <w:ind w:left="340"/>
              <w:spacing w:after="0"/>
              <w:rPr>
                <w:sz w:val="20"/>
                <w:szCs w:val="20"/>
                <w:color w:val="auto"/>
              </w:rPr>
            </w:pPr>
            <w:r>
              <w:rPr>
                <w:rFonts w:ascii="Arial" w:cs="Arial" w:eastAsia="Arial" w:hAnsi="Arial"/>
                <w:sz w:val="18"/>
                <w:szCs w:val="18"/>
                <w:color w:val="auto"/>
                <w:w w:val="99"/>
              </w:rPr>
              <w:t>IN</w:t>
            </w:r>
          </w:p>
        </w:tc>
        <w:tc>
          <w:tcPr>
            <w:tcW w:w="12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980" w:type="dxa"/>
            <w:vAlign w:val="bottom"/>
            <w:tcBorders>
              <w:bottom w:val="single" w:sz="8" w:color="auto"/>
            </w:tcBorders>
            <w:gridSpan w:val="2"/>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41"/>
        </w:trPr>
        <w:tc>
          <w:tcPr>
            <w:tcW w:w="2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980" w:type="dxa"/>
            <w:vAlign w:val="bottom"/>
            <w:gridSpan w:val="2"/>
          </w:tcPr>
          <w:p>
            <w:pPr>
              <w:ind w:left="3000"/>
              <w:spacing w:after="0"/>
              <w:rPr>
                <w:sz w:val="20"/>
                <w:szCs w:val="20"/>
                <w:color w:val="auto"/>
              </w:rPr>
            </w:pPr>
            <w:r>
              <w:rPr>
                <w:rFonts w:ascii="Arial" w:cs="Arial" w:eastAsia="Arial" w:hAnsi="Arial"/>
                <w:sz w:val="18"/>
                <w:szCs w:val="18"/>
                <w:color w:val="auto"/>
              </w:rPr>
              <w:t>2</w:t>
            </w:r>
          </w:p>
        </w:tc>
        <w:tc>
          <w:tcPr>
            <w:tcW w:w="2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14" w:right="21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100" w:type="dxa"/>
            <w:vAlign w:val="bottom"/>
            <w:tcBorders>
              <w:top w:val="single" w:sz="8" w:color="auto"/>
              <w:left w:val="single" w:sz="8" w:color="auto"/>
            </w:tcBorders>
            <w:vMerge w:val="restart"/>
          </w:tcPr>
          <w:p>
            <w:pPr>
              <w:ind w:left="180"/>
              <w:spacing w:after="0"/>
              <w:rPr>
                <w:sz w:val="20"/>
                <w:szCs w:val="20"/>
                <w:color w:val="auto"/>
              </w:rPr>
            </w:pPr>
            <w:r>
              <w:rPr>
                <w:rFonts w:ascii="Arial" w:cs="Arial" w:eastAsia="Arial" w:hAnsi="Arial"/>
                <w:sz w:val="18"/>
                <w:szCs w:val="18"/>
                <w:b w:val="1"/>
                <w:bCs w:val="1"/>
                <w:color w:val="auto"/>
                <w:w w:val="97"/>
              </w:rPr>
              <w:t>CUSIP No. 74275G 107</w:t>
            </w:r>
          </w:p>
        </w:tc>
        <w:tc>
          <w:tcPr>
            <w:tcW w:w="560" w:type="dxa"/>
            <w:vAlign w:val="bottom"/>
            <w:tcBorders>
              <w:top w:val="single" w:sz="8" w:color="auto"/>
            </w:tcBorders>
          </w:tcPr>
          <w:p>
            <w:pPr>
              <w:spacing w:after="0"/>
              <w:rPr>
                <w:sz w:val="22"/>
                <w:szCs w:val="22"/>
                <w:color w:val="auto"/>
              </w:rPr>
            </w:pPr>
          </w:p>
        </w:tc>
        <w:tc>
          <w:tcPr>
            <w:tcW w:w="1240" w:type="dxa"/>
            <w:vAlign w:val="bottom"/>
            <w:tcBorders>
              <w:top w:val="single" w:sz="8" w:color="auto"/>
              <w:right w:val="single" w:sz="8" w:color="auto"/>
            </w:tcBorders>
          </w:tcPr>
          <w:p>
            <w:pPr>
              <w:spacing w:after="0"/>
              <w:rPr>
                <w:sz w:val="22"/>
                <w:szCs w:val="22"/>
                <w:color w:val="auto"/>
              </w:rPr>
            </w:pPr>
          </w:p>
        </w:tc>
        <w:tc>
          <w:tcPr>
            <w:tcW w:w="3740" w:type="dxa"/>
            <w:vAlign w:val="bottom"/>
            <w:tcBorders>
              <w:right w:val="single" w:sz="8" w:color="auto"/>
            </w:tcBorders>
          </w:tcPr>
          <w:p>
            <w:pPr>
              <w:ind w:left="1200"/>
              <w:spacing w:after="0"/>
              <w:rPr>
                <w:sz w:val="20"/>
                <w:szCs w:val="20"/>
                <w:color w:val="auto"/>
              </w:rPr>
            </w:pPr>
            <w:r>
              <w:rPr>
                <w:rFonts w:ascii="Arial" w:cs="Arial" w:eastAsia="Arial" w:hAnsi="Arial"/>
                <w:sz w:val="18"/>
                <w:szCs w:val="18"/>
                <w:b w:val="1"/>
                <w:bCs w:val="1"/>
                <w:color w:val="auto"/>
              </w:rPr>
              <w:t>SCHEDULE 13D</w:t>
            </w:r>
          </w:p>
        </w:tc>
        <w:tc>
          <w:tcPr>
            <w:tcW w:w="272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Page 3 of 7 Pages</w:t>
            </w:r>
          </w:p>
        </w:tc>
        <w:tc>
          <w:tcPr>
            <w:tcW w:w="1020" w:type="dxa"/>
            <w:vAlign w:val="bottom"/>
            <w:tcBorders>
              <w:top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1"/>
        </w:trPr>
        <w:tc>
          <w:tcPr>
            <w:tcW w:w="2100" w:type="dxa"/>
            <w:vAlign w:val="bottom"/>
            <w:tcBorders>
              <w:left w:val="single" w:sz="8" w:color="auto"/>
            </w:tcBorders>
            <w:vMerge w:val="continue"/>
          </w:tcPr>
          <w:p>
            <w:pPr>
              <w:spacing w:after="0"/>
              <w:rPr>
                <w:sz w:val="7"/>
                <w:szCs w:val="7"/>
                <w:color w:val="auto"/>
              </w:rPr>
            </w:pPr>
          </w:p>
        </w:tc>
        <w:tc>
          <w:tcPr>
            <w:tcW w:w="560" w:type="dxa"/>
            <w:vAlign w:val="bottom"/>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3740" w:type="dxa"/>
            <w:vAlign w:val="bottom"/>
            <w:tcBorders>
              <w:right w:val="single" w:sz="8" w:color="auto"/>
            </w:tcBorders>
          </w:tcPr>
          <w:p>
            <w:pPr>
              <w:spacing w:after="0"/>
              <w:rPr>
                <w:sz w:val="7"/>
                <w:szCs w:val="7"/>
                <w:color w:val="auto"/>
              </w:rPr>
            </w:pPr>
          </w:p>
        </w:tc>
        <w:tc>
          <w:tcPr>
            <w:tcW w:w="2720" w:type="dxa"/>
            <w:vAlign w:val="bottom"/>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210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10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gridSpan w:val="3"/>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w:t>
            </w:r>
          </w:p>
        </w:tc>
        <w:tc>
          <w:tcPr>
            <w:tcW w:w="5540" w:type="dxa"/>
            <w:vAlign w:val="bottom"/>
            <w:gridSpan w:val="3"/>
          </w:tcPr>
          <w:p>
            <w:pPr>
              <w:ind w:left="20"/>
              <w:spacing w:after="0"/>
              <w:rPr>
                <w:sz w:val="20"/>
                <w:szCs w:val="20"/>
                <w:color w:val="auto"/>
              </w:rPr>
            </w:pPr>
            <w:r>
              <w:rPr>
                <w:rFonts w:ascii="Arial" w:cs="Arial" w:eastAsia="Arial" w:hAnsi="Arial"/>
                <w:sz w:val="18"/>
                <w:szCs w:val="18"/>
                <w:color w:val="auto"/>
              </w:rPr>
              <w:t>NAME OF REPORTING PERSON</w:t>
            </w:r>
          </w:p>
        </w:tc>
        <w:tc>
          <w:tcPr>
            <w:tcW w:w="2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Borders>
              <w:left w:val="single" w:sz="8" w:color="auto"/>
              <w:right w:val="single" w:sz="8" w:color="auto"/>
            </w:tcBorders>
          </w:tcPr>
          <w:p>
            <w:pPr>
              <w:spacing w:after="0"/>
              <w:rPr>
                <w:sz w:val="20"/>
                <w:szCs w:val="20"/>
                <w:color w:val="auto"/>
              </w:rPr>
            </w:pPr>
          </w:p>
        </w:tc>
        <w:tc>
          <w:tcPr>
            <w:tcW w:w="5540" w:type="dxa"/>
            <w:vAlign w:val="bottom"/>
            <w:gridSpan w:val="3"/>
          </w:tcPr>
          <w:p>
            <w:pPr>
              <w:ind w:left="340"/>
              <w:spacing w:after="0"/>
              <w:rPr>
                <w:sz w:val="20"/>
                <w:szCs w:val="20"/>
                <w:color w:val="auto"/>
              </w:rPr>
            </w:pPr>
            <w:r>
              <w:rPr>
                <w:rFonts w:ascii="Arial" w:cs="Arial" w:eastAsia="Arial" w:hAnsi="Arial"/>
                <w:sz w:val="18"/>
                <w:szCs w:val="18"/>
                <w:color w:val="auto"/>
              </w:rPr>
              <w:t>Priority Incentive Equity Holdings, LLC</w:t>
            </w:r>
          </w:p>
        </w:tc>
        <w:tc>
          <w:tcPr>
            <w:tcW w:w="2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5540" w:type="dxa"/>
            <w:vAlign w:val="bottom"/>
            <w:tcBorders>
              <w:bottom w:val="single" w:sz="8" w:color="auto"/>
            </w:tcBorders>
            <w:gridSpan w:val="3"/>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100" w:type="dxa"/>
            <w:vAlign w:val="bottom"/>
            <w:tcBorders>
              <w:left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9"/>
              </w:rPr>
              <w:t>2</w:t>
            </w:r>
          </w:p>
        </w:tc>
        <w:tc>
          <w:tcPr>
            <w:tcW w:w="554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CHECK THE APPROPRIATE BOX IF A MEMBER OF A GROUP</w:t>
            </w:r>
          </w:p>
        </w:tc>
        <w:tc>
          <w:tcPr>
            <w:tcW w:w="2720" w:type="dxa"/>
            <w:vAlign w:val="bottom"/>
          </w:tcPr>
          <w:p>
            <w:pPr>
              <w:spacing w:after="0"/>
              <w:rPr>
                <w:sz w:val="16"/>
                <w:szCs w:val="16"/>
                <w:color w:val="auto"/>
              </w:rPr>
            </w:pPr>
          </w:p>
        </w:tc>
        <w:tc>
          <w:tcPr>
            <w:tcW w:w="1020" w:type="dxa"/>
            <w:vAlign w:val="bottom"/>
          </w:tcPr>
          <w:p>
            <w:pPr>
              <w:ind w:left="180"/>
              <w:spacing w:after="0" w:line="18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7"/>
        </w:trPr>
        <w:tc>
          <w:tcPr>
            <w:tcW w:w="2100" w:type="dxa"/>
            <w:vAlign w:val="bottom"/>
            <w:tcBorders>
              <w:left w:val="single" w:sz="8" w:color="auto"/>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ind w:left="1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5540" w:type="dxa"/>
            <w:vAlign w:val="bottom"/>
            <w:gridSpan w:val="3"/>
          </w:tcPr>
          <w:p>
            <w:pPr>
              <w:ind w:left="20"/>
              <w:spacing w:after="0"/>
              <w:rPr>
                <w:sz w:val="20"/>
                <w:szCs w:val="20"/>
                <w:color w:val="auto"/>
              </w:rPr>
            </w:pPr>
            <w:r>
              <w:rPr>
                <w:rFonts w:ascii="Arial" w:cs="Arial" w:eastAsia="Arial" w:hAnsi="Arial"/>
                <w:sz w:val="18"/>
                <w:szCs w:val="18"/>
                <w:color w:val="auto"/>
              </w:rPr>
              <w:t>SEC USE ONLY</w:t>
            </w:r>
          </w:p>
        </w:tc>
        <w:tc>
          <w:tcPr>
            <w:tcW w:w="2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5540" w:type="dxa"/>
            <w:vAlign w:val="bottom"/>
            <w:tcBorders>
              <w:bottom w:val="single" w:sz="8" w:color="auto"/>
            </w:tcBorders>
            <w:gridSpan w:val="3"/>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w:t>
            </w:r>
          </w:p>
        </w:tc>
        <w:tc>
          <w:tcPr>
            <w:tcW w:w="5540" w:type="dxa"/>
            <w:vAlign w:val="bottom"/>
            <w:gridSpan w:val="3"/>
          </w:tcPr>
          <w:p>
            <w:pPr>
              <w:ind w:left="20"/>
              <w:spacing w:after="0"/>
              <w:rPr>
                <w:sz w:val="20"/>
                <w:szCs w:val="20"/>
                <w:color w:val="auto"/>
              </w:rPr>
            </w:pPr>
            <w:r>
              <w:rPr>
                <w:rFonts w:ascii="Arial" w:cs="Arial" w:eastAsia="Arial" w:hAnsi="Arial"/>
                <w:sz w:val="18"/>
                <w:szCs w:val="18"/>
                <w:color w:val="auto"/>
              </w:rPr>
              <w:t>SOURCE OF FUNDS</w:t>
            </w:r>
          </w:p>
        </w:tc>
        <w:tc>
          <w:tcPr>
            <w:tcW w:w="2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Borders>
              <w:left w:val="single" w:sz="8" w:color="auto"/>
              <w:right w:val="single" w:sz="8" w:color="auto"/>
            </w:tcBorders>
          </w:tcPr>
          <w:p>
            <w:pPr>
              <w:spacing w:after="0"/>
              <w:rPr>
                <w:sz w:val="20"/>
                <w:szCs w:val="20"/>
                <w:color w:val="auto"/>
              </w:rPr>
            </w:pPr>
          </w:p>
        </w:tc>
        <w:tc>
          <w:tcPr>
            <w:tcW w:w="5540" w:type="dxa"/>
            <w:vAlign w:val="bottom"/>
            <w:gridSpan w:val="3"/>
          </w:tcPr>
          <w:p>
            <w:pPr>
              <w:ind w:left="340"/>
              <w:spacing w:after="0"/>
              <w:rPr>
                <w:sz w:val="20"/>
                <w:szCs w:val="20"/>
                <w:color w:val="auto"/>
              </w:rPr>
            </w:pPr>
            <w:r>
              <w:rPr>
                <w:rFonts w:ascii="Arial" w:cs="Arial" w:eastAsia="Arial" w:hAnsi="Arial"/>
                <w:sz w:val="18"/>
                <w:szCs w:val="18"/>
                <w:color w:val="auto"/>
              </w:rPr>
              <w:t>OO (See Item 3)</w:t>
            </w:r>
          </w:p>
        </w:tc>
        <w:tc>
          <w:tcPr>
            <w:tcW w:w="2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8260" w:type="dxa"/>
            <w:vAlign w:val="bottom"/>
            <w:tcBorders>
              <w:bottom w:val="single" w:sz="8" w:color="auto"/>
            </w:tcBorders>
            <w:gridSpan w:val="4"/>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w:t>
            </w:r>
          </w:p>
        </w:tc>
        <w:tc>
          <w:tcPr>
            <w:tcW w:w="8260" w:type="dxa"/>
            <w:vAlign w:val="bottom"/>
            <w:gridSpan w:val="4"/>
          </w:tcPr>
          <w:p>
            <w:pPr>
              <w:ind w:left="20"/>
              <w:spacing w:after="0"/>
              <w:rPr>
                <w:sz w:val="20"/>
                <w:szCs w:val="20"/>
                <w:color w:val="auto"/>
              </w:rPr>
            </w:pPr>
            <w:r>
              <w:rPr>
                <w:rFonts w:ascii="Arial" w:cs="Arial" w:eastAsia="Arial" w:hAnsi="Arial"/>
                <w:sz w:val="18"/>
                <w:szCs w:val="18"/>
                <w:color w:val="auto"/>
                <w:w w:val="97"/>
              </w:rPr>
              <w:t>CHECK BOX IF DISCLOSURE OF LEGAL PROCEEDING IS REQUIRED PURSUANT TO ITEMS 2(d) or</w:t>
            </w:r>
          </w:p>
        </w:tc>
        <w:tc>
          <w:tcPr>
            <w:tcW w:w="102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Borders>
              <w:left w:val="single" w:sz="8" w:color="auto"/>
              <w:right w:val="single" w:sz="8" w:color="auto"/>
            </w:tcBorders>
          </w:tcPr>
          <w:p>
            <w:pPr>
              <w:spacing w:after="0"/>
              <w:rPr>
                <w:sz w:val="20"/>
                <w:szCs w:val="20"/>
                <w:color w:val="auto"/>
              </w:rPr>
            </w:pPr>
          </w:p>
        </w:tc>
        <w:tc>
          <w:tcPr>
            <w:tcW w:w="560" w:type="dxa"/>
            <w:vAlign w:val="bottom"/>
          </w:tcPr>
          <w:p>
            <w:pPr>
              <w:jc w:val="right"/>
              <w:ind w:right="170"/>
              <w:spacing w:after="0"/>
              <w:rPr>
                <w:sz w:val="20"/>
                <w:szCs w:val="20"/>
                <w:color w:val="auto"/>
              </w:rPr>
            </w:pPr>
            <w:r>
              <w:rPr>
                <w:rFonts w:ascii="Arial" w:cs="Arial" w:eastAsia="Arial" w:hAnsi="Arial"/>
                <w:sz w:val="18"/>
                <w:szCs w:val="18"/>
                <w:color w:val="auto"/>
                <w:w w:val="87"/>
              </w:rPr>
              <w:t>2(e)</w:t>
            </w:r>
          </w:p>
        </w:tc>
        <w:tc>
          <w:tcPr>
            <w:tcW w:w="12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5540" w:type="dxa"/>
            <w:vAlign w:val="bottom"/>
            <w:tcBorders>
              <w:bottom w:val="single" w:sz="8" w:color="auto"/>
            </w:tcBorders>
            <w:gridSpan w:val="3"/>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w:t>
            </w:r>
          </w:p>
        </w:tc>
        <w:tc>
          <w:tcPr>
            <w:tcW w:w="5540" w:type="dxa"/>
            <w:vAlign w:val="bottom"/>
            <w:gridSpan w:val="3"/>
          </w:tcPr>
          <w:p>
            <w:pPr>
              <w:ind w:left="20"/>
              <w:spacing w:after="0"/>
              <w:rPr>
                <w:sz w:val="20"/>
                <w:szCs w:val="20"/>
                <w:color w:val="auto"/>
              </w:rPr>
            </w:pPr>
            <w:r>
              <w:rPr>
                <w:rFonts w:ascii="Arial" w:cs="Arial" w:eastAsia="Arial" w:hAnsi="Arial"/>
                <w:sz w:val="18"/>
                <w:szCs w:val="18"/>
                <w:color w:val="auto"/>
              </w:rPr>
              <w:t>CITIZENSHIP OR PLACE OF ORGANIZATION</w:t>
            </w:r>
          </w:p>
        </w:tc>
        <w:tc>
          <w:tcPr>
            <w:tcW w:w="2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Borders>
              <w:left w:val="single" w:sz="8" w:color="auto"/>
              <w:right w:val="single" w:sz="8" w:color="auto"/>
            </w:tcBorders>
          </w:tcPr>
          <w:p>
            <w:pPr>
              <w:spacing w:after="0"/>
              <w:rPr>
                <w:sz w:val="20"/>
                <w:szCs w:val="20"/>
                <w:color w:val="auto"/>
              </w:rPr>
            </w:pPr>
          </w:p>
        </w:tc>
        <w:tc>
          <w:tcPr>
            <w:tcW w:w="5540" w:type="dxa"/>
            <w:vAlign w:val="bottom"/>
            <w:gridSpan w:val="3"/>
          </w:tcPr>
          <w:p>
            <w:pPr>
              <w:ind w:left="340"/>
              <w:spacing w:after="0"/>
              <w:rPr>
                <w:sz w:val="20"/>
                <w:szCs w:val="20"/>
                <w:color w:val="auto"/>
              </w:rPr>
            </w:pPr>
            <w:r>
              <w:rPr>
                <w:rFonts w:ascii="Arial" w:cs="Arial" w:eastAsia="Arial" w:hAnsi="Arial"/>
                <w:sz w:val="18"/>
                <w:szCs w:val="18"/>
                <w:color w:val="auto"/>
              </w:rPr>
              <w:t>Delaware</w:t>
            </w:r>
          </w:p>
        </w:tc>
        <w:tc>
          <w:tcPr>
            <w:tcW w:w="2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980" w:type="dxa"/>
            <w:vAlign w:val="bottom"/>
            <w:tcBorders>
              <w:bottom w:val="single" w:sz="8" w:color="auto"/>
            </w:tcBorders>
            <w:gridSpan w:val="2"/>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1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5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7</w:t>
            </w: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100" w:type="dxa"/>
            <w:vAlign w:val="bottom"/>
            <w:tcBorders>
              <w:left w:val="single" w:sz="8" w:color="auto"/>
              <w:right w:val="single" w:sz="8" w:color="auto"/>
            </w:tcBorders>
            <w:vMerge w:val="continue"/>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1240" w:type="dxa"/>
            <w:vAlign w:val="bottom"/>
          </w:tcPr>
          <w:p>
            <w:pPr>
              <w:ind w:left="340"/>
              <w:spacing w:after="0" w:line="202" w:lineRule="exact"/>
              <w:rPr>
                <w:sz w:val="20"/>
                <w:szCs w:val="20"/>
                <w:color w:val="auto"/>
              </w:rPr>
            </w:pPr>
            <w:r>
              <w:rPr>
                <w:rFonts w:ascii="Arial" w:cs="Arial" w:eastAsia="Arial" w:hAnsi="Arial"/>
                <w:sz w:val="18"/>
                <w:szCs w:val="18"/>
                <w:color w:val="auto"/>
              </w:rPr>
              <w:t>0</w:t>
            </w:r>
          </w:p>
        </w:tc>
        <w:tc>
          <w:tcPr>
            <w:tcW w:w="37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5"/>
        </w:trPr>
        <w:tc>
          <w:tcPr>
            <w:tcW w:w="21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SHARES</w:t>
            </w:r>
          </w:p>
        </w:tc>
        <w:tc>
          <w:tcPr>
            <w:tcW w:w="56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100" w:type="dxa"/>
            <w:vAlign w:val="bottom"/>
            <w:tcBorders>
              <w:left w:val="single" w:sz="8" w:color="auto"/>
              <w:right w:val="single" w:sz="8" w:color="auto"/>
            </w:tcBorders>
            <w:vMerge w:val="continue"/>
          </w:tcPr>
          <w:p>
            <w:pPr>
              <w:spacing w:after="0"/>
              <w:rPr>
                <w:sz w:val="12"/>
                <w:szCs w:val="12"/>
                <w:color w:val="auto"/>
              </w:rPr>
            </w:pPr>
          </w:p>
        </w:tc>
        <w:tc>
          <w:tcPr>
            <w:tcW w:w="560" w:type="dxa"/>
            <w:vAlign w:val="bottom"/>
            <w:tcBorders>
              <w:right w:val="single" w:sz="8" w:color="auto"/>
            </w:tcBorders>
            <w:vMerge w:val="restart"/>
          </w:tcPr>
          <w:p>
            <w:pPr>
              <w:jc w:val="right"/>
              <w:ind w:right="170"/>
              <w:spacing w:after="0"/>
              <w:rPr>
                <w:sz w:val="20"/>
                <w:szCs w:val="20"/>
                <w:color w:val="auto"/>
              </w:rPr>
            </w:pPr>
            <w:r>
              <w:rPr>
                <w:rFonts w:ascii="Arial" w:cs="Arial" w:eastAsia="Arial" w:hAnsi="Arial"/>
                <w:sz w:val="18"/>
                <w:szCs w:val="18"/>
                <w:b w:val="1"/>
                <w:bCs w:val="1"/>
                <w:color w:val="auto"/>
              </w:rPr>
              <w:t>8</w:t>
            </w:r>
          </w:p>
        </w:tc>
        <w:tc>
          <w:tcPr>
            <w:tcW w:w="4980" w:type="dxa"/>
            <w:vAlign w:val="bottom"/>
            <w:gridSpan w:val="2"/>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2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1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560" w:type="dxa"/>
            <w:vAlign w:val="bottom"/>
            <w:tcBorders>
              <w:right w:val="single" w:sz="8" w:color="auto"/>
            </w:tcBorders>
            <w:vMerge w:val="continue"/>
          </w:tcPr>
          <w:p>
            <w:pPr>
              <w:spacing w:after="0"/>
              <w:rPr>
                <w:sz w:val="7"/>
                <w:szCs w:val="7"/>
                <w:color w:val="auto"/>
              </w:rPr>
            </w:pPr>
          </w:p>
        </w:tc>
        <w:tc>
          <w:tcPr>
            <w:tcW w:w="4980" w:type="dxa"/>
            <w:vAlign w:val="bottom"/>
            <w:gridSpan w:val="2"/>
            <w:vMerge w:val="continue"/>
          </w:tcPr>
          <w:p>
            <w:pPr>
              <w:spacing w:after="0"/>
              <w:rPr>
                <w:sz w:val="7"/>
                <w:szCs w:val="7"/>
                <w:color w:val="auto"/>
              </w:rPr>
            </w:pPr>
          </w:p>
        </w:tc>
        <w:tc>
          <w:tcPr>
            <w:tcW w:w="27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100" w:type="dxa"/>
            <w:vAlign w:val="bottom"/>
            <w:tcBorders>
              <w:left w:val="single" w:sz="8" w:color="auto"/>
              <w:right w:val="single" w:sz="8" w:color="auto"/>
            </w:tcBorders>
            <w:vMerge w:val="continue"/>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1240" w:type="dxa"/>
            <w:vAlign w:val="bottom"/>
            <w:vMerge w:val="restart"/>
          </w:tcPr>
          <w:p>
            <w:pPr>
              <w:ind w:left="340"/>
              <w:spacing w:after="0"/>
              <w:rPr>
                <w:sz w:val="20"/>
                <w:szCs w:val="20"/>
                <w:color w:val="auto"/>
              </w:rPr>
            </w:pPr>
            <w:r>
              <w:rPr>
                <w:rFonts w:ascii="Arial" w:cs="Arial" w:eastAsia="Arial" w:hAnsi="Arial"/>
                <w:sz w:val="18"/>
                <w:szCs w:val="18"/>
                <w:color w:val="auto"/>
              </w:rPr>
              <w:t>620,810</w:t>
            </w:r>
          </w:p>
        </w:tc>
        <w:tc>
          <w:tcPr>
            <w:tcW w:w="374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1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560" w:type="dxa"/>
            <w:vAlign w:val="bottom"/>
            <w:tcBorders>
              <w:right w:val="single" w:sz="8" w:color="auto"/>
            </w:tcBorders>
          </w:tcPr>
          <w:p>
            <w:pPr>
              <w:spacing w:after="0"/>
              <w:rPr>
                <w:sz w:val="8"/>
                <w:szCs w:val="8"/>
                <w:color w:val="auto"/>
              </w:rPr>
            </w:pPr>
          </w:p>
        </w:tc>
        <w:tc>
          <w:tcPr>
            <w:tcW w:w="1240" w:type="dxa"/>
            <w:vAlign w:val="bottom"/>
            <w:vMerge w:val="continue"/>
          </w:tcPr>
          <w:p>
            <w:pPr>
              <w:spacing w:after="0"/>
              <w:rPr>
                <w:sz w:val="8"/>
                <w:szCs w:val="8"/>
                <w:color w:val="auto"/>
              </w:rPr>
            </w:pPr>
          </w:p>
        </w:tc>
        <w:tc>
          <w:tcPr>
            <w:tcW w:w="374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100" w:type="dxa"/>
            <w:vAlign w:val="bottom"/>
            <w:tcBorders>
              <w:left w:val="single" w:sz="8" w:color="auto"/>
              <w:right w:val="single" w:sz="8" w:color="auto"/>
            </w:tcBorders>
            <w:vMerge w:val="continue"/>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100" w:type="dxa"/>
            <w:vAlign w:val="bottom"/>
            <w:tcBorders>
              <w:left w:val="single" w:sz="8" w:color="auto"/>
              <w:right w:val="single" w:sz="8" w:color="auto"/>
            </w:tcBorders>
            <w:vMerge w:val="continue"/>
          </w:tcPr>
          <w:p>
            <w:pPr>
              <w:spacing w:after="0"/>
              <w:rPr>
                <w:sz w:val="6"/>
                <w:szCs w:val="6"/>
                <w:color w:val="auto"/>
              </w:rPr>
            </w:pPr>
          </w:p>
        </w:tc>
        <w:tc>
          <w:tcPr>
            <w:tcW w:w="560" w:type="dxa"/>
            <w:vAlign w:val="bottom"/>
            <w:tcBorders>
              <w:right w:val="single" w:sz="8" w:color="auto"/>
            </w:tcBorders>
            <w:vMerge w:val="restart"/>
          </w:tcPr>
          <w:p>
            <w:pPr>
              <w:jc w:val="right"/>
              <w:ind w:right="170"/>
              <w:spacing w:after="0"/>
              <w:rPr>
                <w:sz w:val="20"/>
                <w:szCs w:val="20"/>
                <w:color w:val="auto"/>
              </w:rPr>
            </w:pPr>
            <w:r>
              <w:rPr>
                <w:rFonts w:ascii="Arial" w:cs="Arial" w:eastAsia="Arial" w:hAnsi="Arial"/>
                <w:sz w:val="18"/>
                <w:szCs w:val="18"/>
                <w:b w:val="1"/>
                <w:bCs w:val="1"/>
                <w:color w:val="auto"/>
              </w:rPr>
              <w:t>9</w:t>
            </w:r>
          </w:p>
        </w:tc>
        <w:tc>
          <w:tcPr>
            <w:tcW w:w="4980" w:type="dxa"/>
            <w:vAlign w:val="bottom"/>
            <w:gridSpan w:val="2"/>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2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1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EACH</w:t>
            </w:r>
          </w:p>
        </w:tc>
        <w:tc>
          <w:tcPr>
            <w:tcW w:w="560" w:type="dxa"/>
            <w:vAlign w:val="bottom"/>
            <w:tcBorders>
              <w:right w:val="single" w:sz="8" w:color="auto"/>
            </w:tcBorders>
            <w:vMerge w:val="continue"/>
          </w:tcPr>
          <w:p>
            <w:pPr>
              <w:spacing w:after="0"/>
              <w:rPr>
                <w:sz w:val="12"/>
                <w:szCs w:val="12"/>
                <w:color w:val="auto"/>
              </w:rPr>
            </w:pPr>
          </w:p>
        </w:tc>
        <w:tc>
          <w:tcPr>
            <w:tcW w:w="4980" w:type="dxa"/>
            <w:vAlign w:val="bottom"/>
            <w:gridSpan w:val="2"/>
            <w:vMerge w:val="continue"/>
          </w:tcPr>
          <w:p>
            <w:pPr>
              <w:spacing w:after="0"/>
              <w:rPr>
                <w:sz w:val="12"/>
                <w:szCs w:val="12"/>
                <w:color w:val="auto"/>
              </w:rPr>
            </w:pPr>
          </w:p>
        </w:tc>
        <w:tc>
          <w:tcPr>
            <w:tcW w:w="2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100" w:type="dxa"/>
            <w:vAlign w:val="bottom"/>
            <w:tcBorders>
              <w:left w:val="single" w:sz="8" w:color="auto"/>
              <w:right w:val="single" w:sz="8" w:color="auto"/>
            </w:tcBorders>
            <w:vMerge w:val="continue"/>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1240" w:type="dxa"/>
            <w:vAlign w:val="bottom"/>
            <w:vMerge w:val="restart"/>
          </w:tcPr>
          <w:p>
            <w:pPr>
              <w:ind w:left="340"/>
              <w:spacing w:after="0"/>
              <w:rPr>
                <w:sz w:val="20"/>
                <w:szCs w:val="20"/>
                <w:color w:val="auto"/>
              </w:rPr>
            </w:pPr>
            <w:r>
              <w:rPr>
                <w:rFonts w:ascii="Arial" w:cs="Arial" w:eastAsia="Arial" w:hAnsi="Arial"/>
                <w:sz w:val="18"/>
                <w:szCs w:val="18"/>
                <w:color w:val="auto"/>
              </w:rPr>
              <w:t>0</w:t>
            </w:r>
          </w:p>
        </w:tc>
        <w:tc>
          <w:tcPr>
            <w:tcW w:w="374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100" w:type="dxa"/>
            <w:vAlign w:val="bottom"/>
            <w:tcBorders>
              <w:left w:val="single" w:sz="8" w:color="auto"/>
              <w:right w:val="single" w:sz="8" w:color="auto"/>
            </w:tcBorders>
            <w:vMerge w:val="restart"/>
          </w:tcPr>
          <w:p>
            <w:pPr>
              <w:jc w:val="center"/>
              <w:spacing w:after="0" w:line="190" w:lineRule="exact"/>
              <w:rPr>
                <w:sz w:val="20"/>
                <w:szCs w:val="20"/>
                <w:color w:val="auto"/>
              </w:rPr>
            </w:pPr>
            <w:r>
              <w:rPr>
                <w:rFonts w:ascii="Arial" w:cs="Arial" w:eastAsia="Arial" w:hAnsi="Arial"/>
                <w:sz w:val="18"/>
                <w:szCs w:val="18"/>
                <w:color w:val="auto"/>
                <w:w w:val="93"/>
              </w:rPr>
              <w:t>REPORTING</w:t>
            </w:r>
          </w:p>
        </w:tc>
        <w:tc>
          <w:tcPr>
            <w:tcW w:w="560" w:type="dxa"/>
            <w:vAlign w:val="bottom"/>
            <w:tcBorders>
              <w:right w:val="single" w:sz="8" w:color="auto"/>
            </w:tcBorders>
          </w:tcPr>
          <w:p>
            <w:pPr>
              <w:spacing w:after="0"/>
              <w:rPr>
                <w:sz w:val="14"/>
                <w:szCs w:val="14"/>
                <w:color w:val="auto"/>
              </w:rPr>
            </w:pPr>
          </w:p>
        </w:tc>
        <w:tc>
          <w:tcPr>
            <w:tcW w:w="1240" w:type="dxa"/>
            <w:vAlign w:val="bottom"/>
            <w:vMerge w:val="continue"/>
          </w:tcPr>
          <w:p>
            <w:pPr>
              <w:spacing w:after="0"/>
              <w:rPr>
                <w:sz w:val="14"/>
                <w:szCs w:val="14"/>
                <w:color w:val="auto"/>
              </w:rPr>
            </w:pPr>
          </w:p>
        </w:tc>
        <w:tc>
          <w:tcPr>
            <w:tcW w:w="37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100" w:type="dxa"/>
            <w:vAlign w:val="bottom"/>
            <w:tcBorders>
              <w:left w:val="single" w:sz="8" w:color="auto"/>
              <w:right w:val="single" w:sz="8" w:color="auto"/>
            </w:tcBorders>
            <w:vMerge w:val="continue"/>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60" w:type="dxa"/>
            <w:vAlign w:val="bottom"/>
            <w:tcBorders>
              <w:right w:val="single" w:sz="8" w:color="auto"/>
            </w:tcBorders>
          </w:tcPr>
          <w:p>
            <w:pPr>
              <w:ind w:left="180"/>
              <w:spacing w:after="0"/>
              <w:rPr>
                <w:sz w:val="20"/>
                <w:szCs w:val="20"/>
                <w:color w:val="auto"/>
              </w:rPr>
            </w:pPr>
            <w:r>
              <w:rPr>
                <w:rFonts w:ascii="Arial" w:cs="Arial" w:eastAsia="Arial" w:hAnsi="Arial"/>
                <w:sz w:val="18"/>
                <w:szCs w:val="18"/>
                <w:b w:val="1"/>
                <w:bCs w:val="1"/>
                <w:color w:val="auto"/>
              </w:rPr>
              <w:t>10</w:t>
            </w: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Borders>
              <w:left w:val="single" w:sz="8" w:color="auto"/>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1240" w:type="dxa"/>
            <w:vAlign w:val="bottom"/>
          </w:tcPr>
          <w:p>
            <w:pPr>
              <w:ind w:left="340"/>
              <w:spacing w:after="0"/>
              <w:rPr>
                <w:sz w:val="20"/>
                <w:szCs w:val="20"/>
                <w:color w:val="auto"/>
              </w:rPr>
            </w:pPr>
            <w:r>
              <w:rPr>
                <w:rFonts w:ascii="Arial" w:cs="Arial" w:eastAsia="Arial" w:hAnsi="Arial"/>
                <w:sz w:val="18"/>
                <w:szCs w:val="18"/>
                <w:color w:val="auto"/>
              </w:rPr>
              <w:t>620,810</w:t>
            </w:r>
          </w:p>
        </w:tc>
        <w:tc>
          <w:tcPr>
            <w:tcW w:w="37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4980" w:type="dxa"/>
            <w:vAlign w:val="bottom"/>
            <w:tcBorders>
              <w:bottom w:val="single" w:sz="8" w:color="auto"/>
            </w:tcBorders>
            <w:gridSpan w:val="2"/>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11</w:t>
            </w:r>
          </w:p>
        </w:tc>
        <w:tc>
          <w:tcPr>
            <w:tcW w:w="5540" w:type="dxa"/>
            <w:vAlign w:val="bottom"/>
            <w:gridSpan w:val="3"/>
          </w:tcPr>
          <w:p>
            <w:pPr>
              <w:ind w:left="20"/>
              <w:spacing w:after="0"/>
              <w:rPr>
                <w:sz w:val="20"/>
                <w:szCs w:val="20"/>
                <w:color w:val="auto"/>
              </w:rPr>
            </w:pPr>
            <w:r>
              <w:rPr>
                <w:rFonts w:ascii="Arial" w:cs="Arial" w:eastAsia="Arial" w:hAnsi="Arial"/>
                <w:sz w:val="18"/>
                <w:szCs w:val="18"/>
                <w:color w:val="auto"/>
                <w:w w:val="96"/>
              </w:rPr>
              <w:t>AGGREGATE AMOUNT BENEFICIALLY OWNED BY EACH PERSON</w:t>
            </w:r>
          </w:p>
        </w:tc>
        <w:tc>
          <w:tcPr>
            <w:tcW w:w="2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Borders>
              <w:left w:val="single" w:sz="8" w:color="auto"/>
              <w:right w:val="single" w:sz="8" w:color="auto"/>
            </w:tcBorders>
          </w:tcPr>
          <w:p>
            <w:pPr>
              <w:spacing w:after="0"/>
              <w:rPr>
                <w:sz w:val="20"/>
                <w:szCs w:val="20"/>
                <w:color w:val="auto"/>
              </w:rPr>
            </w:pPr>
          </w:p>
        </w:tc>
        <w:tc>
          <w:tcPr>
            <w:tcW w:w="1800" w:type="dxa"/>
            <w:vAlign w:val="bottom"/>
            <w:gridSpan w:val="2"/>
          </w:tcPr>
          <w:p>
            <w:pPr>
              <w:ind w:left="340"/>
              <w:spacing w:after="0"/>
              <w:rPr>
                <w:sz w:val="20"/>
                <w:szCs w:val="20"/>
                <w:color w:val="auto"/>
              </w:rPr>
            </w:pPr>
            <w:r>
              <w:rPr>
                <w:rFonts w:ascii="Arial" w:cs="Arial" w:eastAsia="Arial" w:hAnsi="Arial"/>
                <w:sz w:val="18"/>
                <w:szCs w:val="18"/>
                <w:color w:val="auto"/>
              </w:rPr>
              <w:t>620,810</w:t>
            </w:r>
          </w:p>
        </w:tc>
        <w:tc>
          <w:tcPr>
            <w:tcW w:w="37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70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1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826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rPr>
              <w:t>CHECK IF THE AGGREGATE AMOUNT IN ROW (11) EXCLUDES CERTAIN SHARES</w:t>
            </w:r>
          </w:p>
        </w:tc>
        <w:tc>
          <w:tcPr>
            <w:tcW w:w="1020" w:type="dxa"/>
            <w:vAlign w:val="bottom"/>
            <w:tcBorders>
              <w:bottom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5540" w:type="dxa"/>
            <w:vAlign w:val="bottom"/>
            <w:gridSpan w:val="3"/>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2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Borders>
              <w:left w:val="single" w:sz="8" w:color="auto"/>
              <w:right w:val="single" w:sz="8" w:color="auto"/>
            </w:tcBorders>
          </w:tcPr>
          <w:p>
            <w:pPr>
              <w:spacing w:after="0"/>
              <w:rPr>
                <w:sz w:val="20"/>
                <w:szCs w:val="20"/>
                <w:color w:val="auto"/>
              </w:rPr>
            </w:pPr>
          </w:p>
        </w:tc>
        <w:tc>
          <w:tcPr>
            <w:tcW w:w="8260" w:type="dxa"/>
            <w:vAlign w:val="bottom"/>
            <w:gridSpan w:val="4"/>
          </w:tcPr>
          <w:p>
            <w:pPr>
              <w:ind w:left="340"/>
              <w:spacing w:after="0"/>
              <w:rPr>
                <w:sz w:val="20"/>
                <w:szCs w:val="20"/>
                <w:color w:val="auto"/>
              </w:rPr>
            </w:pPr>
            <w:r>
              <w:rPr>
                <w:rFonts w:ascii="Arial" w:cs="Arial" w:eastAsia="Arial" w:hAnsi="Arial"/>
                <w:sz w:val="18"/>
                <w:szCs w:val="18"/>
                <w:color w:val="auto"/>
              </w:rPr>
              <w:t>0.93% (based on 67,007,172 shares of Common Stock outstanding on August 9, 2019)</w:t>
            </w:r>
          </w:p>
        </w:tc>
        <w:tc>
          <w:tcPr>
            <w:tcW w:w="102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980" w:type="dxa"/>
            <w:vAlign w:val="bottom"/>
            <w:tcBorders>
              <w:bottom w:val="single" w:sz="8" w:color="auto"/>
            </w:tcBorders>
            <w:gridSpan w:val="2"/>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5540" w:type="dxa"/>
            <w:vAlign w:val="bottom"/>
            <w:gridSpan w:val="3"/>
          </w:tcPr>
          <w:p>
            <w:pPr>
              <w:ind w:left="20"/>
              <w:spacing w:after="0"/>
              <w:rPr>
                <w:sz w:val="20"/>
                <w:szCs w:val="20"/>
                <w:color w:val="auto"/>
              </w:rPr>
            </w:pPr>
            <w:r>
              <w:rPr>
                <w:rFonts w:ascii="Arial" w:cs="Arial" w:eastAsia="Arial" w:hAnsi="Arial"/>
                <w:sz w:val="18"/>
                <w:szCs w:val="18"/>
                <w:color w:val="auto"/>
              </w:rPr>
              <w:t>TYPE OF REPORTING PERSON</w:t>
            </w:r>
          </w:p>
        </w:tc>
        <w:tc>
          <w:tcPr>
            <w:tcW w:w="2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Borders>
              <w:left w:val="single" w:sz="8" w:color="auto"/>
              <w:right w:val="single" w:sz="8" w:color="auto"/>
            </w:tcBorders>
          </w:tcPr>
          <w:p>
            <w:pPr>
              <w:spacing w:after="0"/>
              <w:rPr>
                <w:sz w:val="20"/>
                <w:szCs w:val="20"/>
                <w:color w:val="auto"/>
              </w:rPr>
            </w:pPr>
          </w:p>
        </w:tc>
        <w:tc>
          <w:tcPr>
            <w:tcW w:w="5540" w:type="dxa"/>
            <w:vAlign w:val="bottom"/>
            <w:gridSpan w:val="3"/>
          </w:tcPr>
          <w:p>
            <w:pPr>
              <w:ind w:left="340"/>
              <w:spacing w:after="0"/>
              <w:rPr>
                <w:sz w:val="20"/>
                <w:szCs w:val="20"/>
                <w:color w:val="auto"/>
              </w:rPr>
            </w:pPr>
            <w:r>
              <w:rPr>
                <w:rFonts w:ascii="Arial" w:cs="Arial" w:eastAsia="Arial" w:hAnsi="Arial"/>
                <w:sz w:val="18"/>
                <w:szCs w:val="18"/>
                <w:color w:val="auto"/>
              </w:rPr>
              <w:t>OO</w:t>
            </w:r>
          </w:p>
        </w:tc>
        <w:tc>
          <w:tcPr>
            <w:tcW w:w="2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980" w:type="dxa"/>
            <w:vAlign w:val="bottom"/>
            <w:tcBorders>
              <w:bottom w:val="single" w:sz="8" w:color="auto"/>
            </w:tcBorders>
            <w:gridSpan w:val="2"/>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69"/>
        </w:trPr>
        <w:tc>
          <w:tcPr>
            <w:tcW w:w="2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980" w:type="dxa"/>
            <w:vAlign w:val="bottom"/>
            <w:gridSpan w:val="2"/>
          </w:tcPr>
          <w:p>
            <w:pPr>
              <w:ind w:left="3000"/>
              <w:spacing w:after="0"/>
              <w:rPr>
                <w:sz w:val="20"/>
                <w:szCs w:val="20"/>
                <w:color w:val="auto"/>
              </w:rPr>
            </w:pPr>
            <w:r>
              <w:rPr>
                <w:rFonts w:ascii="Arial" w:cs="Arial" w:eastAsia="Arial" w:hAnsi="Arial"/>
                <w:sz w:val="18"/>
                <w:szCs w:val="18"/>
                <w:color w:val="auto"/>
              </w:rPr>
              <w:t>3</w:t>
            </w:r>
          </w:p>
        </w:tc>
        <w:tc>
          <w:tcPr>
            <w:tcW w:w="2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970" w:right="21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900" w:type="dxa"/>
            <w:vAlign w:val="bottom"/>
            <w:tcBorders>
              <w:top w:val="single" w:sz="8" w:color="auto"/>
              <w:left w:val="single" w:sz="8" w:color="auto"/>
              <w:right w:val="single" w:sz="8" w:color="auto"/>
            </w:tcBorders>
            <w:vMerge w:val="restart"/>
          </w:tcPr>
          <w:p>
            <w:pPr>
              <w:ind w:left="180"/>
              <w:spacing w:after="0"/>
              <w:rPr>
                <w:sz w:val="20"/>
                <w:szCs w:val="20"/>
                <w:color w:val="auto"/>
              </w:rPr>
            </w:pPr>
            <w:r>
              <w:rPr>
                <w:rFonts w:ascii="Arial" w:cs="Arial" w:eastAsia="Arial" w:hAnsi="Arial"/>
                <w:sz w:val="18"/>
                <w:szCs w:val="18"/>
                <w:b w:val="1"/>
                <w:bCs w:val="1"/>
                <w:color w:val="auto"/>
              </w:rPr>
              <w:t>CUSIP No. 74275G 107</w:t>
            </w:r>
          </w:p>
        </w:tc>
        <w:tc>
          <w:tcPr>
            <w:tcW w:w="3760" w:type="dxa"/>
            <w:vAlign w:val="bottom"/>
            <w:tcBorders>
              <w:right w:val="single" w:sz="8" w:color="auto"/>
            </w:tcBorders>
          </w:tcPr>
          <w:p>
            <w:pPr>
              <w:ind w:left="1200"/>
              <w:spacing w:after="0"/>
              <w:rPr>
                <w:sz w:val="20"/>
                <w:szCs w:val="20"/>
                <w:color w:val="auto"/>
              </w:rPr>
            </w:pPr>
            <w:r>
              <w:rPr>
                <w:rFonts w:ascii="Arial" w:cs="Arial" w:eastAsia="Arial" w:hAnsi="Arial"/>
                <w:sz w:val="18"/>
                <w:szCs w:val="18"/>
                <w:b w:val="1"/>
                <w:bCs w:val="1"/>
                <w:color w:val="auto"/>
              </w:rPr>
              <w:t>SCHEDULE 13D</w:t>
            </w:r>
          </w:p>
        </w:tc>
        <w:tc>
          <w:tcPr>
            <w:tcW w:w="37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Page 4 of 7 Pages</w:t>
            </w:r>
          </w:p>
        </w:tc>
        <w:tc>
          <w:tcPr>
            <w:tcW w:w="0" w:type="dxa"/>
            <w:vAlign w:val="bottom"/>
          </w:tcPr>
          <w:p>
            <w:pPr>
              <w:spacing w:after="0"/>
              <w:rPr>
                <w:sz w:val="1"/>
                <w:szCs w:val="1"/>
                <w:color w:val="auto"/>
              </w:rPr>
            </w:pPr>
          </w:p>
        </w:tc>
      </w:tr>
      <w:tr>
        <w:trPr>
          <w:trHeight w:val="81"/>
        </w:trPr>
        <w:tc>
          <w:tcPr>
            <w:tcW w:w="3900" w:type="dxa"/>
            <w:vAlign w:val="bottom"/>
            <w:tcBorders>
              <w:left w:val="single" w:sz="8" w:color="auto"/>
              <w:right w:val="single" w:sz="8" w:color="auto"/>
            </w:tcBorders>
            <w:vMerge w:val="continue"/>
          </w:tcPr>
          <w:p>
            <w:pPr>
              <w:spacing w:after="0"/>
              <w:rPr>
                <w:sz w:val="7"/>
                <w:szCs w:val="7"/>
                <w:color w:val="auto"/>
              </w:rPr>
            </w:pPr>
          </w:p>
        </w:tc>
        <w:tc>
          <w:tcPr>
            <w:tcW w:w="3760" w:type="dxa"/>
            <w:vAlign w:val="bottom"/>
            <w:tcBorders>
              <w:right w:val="single" w:sz="8" w:color="auto"/>
            </w:tcBorders>
          </w:tcPr>
          <w:p>
            <w:pPr>
              <w:spacing w:after="0"/>
              <w:rPr>
                <w:sz w:val="7"/>
                <w:szCs w:val="7"/>
                <w:color w:val="auto"/>
              </w:rPr>
            </w:pPr>
          </w:p>
        </w:tc>
        <w:tc>
          <w:tcPr>
            <w:tcW w:w="37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3900" w:type="dxa"/>
            <w:vAlign w:val="bottom"/>
            <w:tcBorders>
              <w:left w:val="single" w:sz="8" w:color="auto"/>
              <w:bottom w:val="single" w:sz="8" w:color="auto"/>
              <w:right w:val="single" w:sz="8" w:color="auto"/>
            </w:tcBorders>
          </w:tcPr>
          <w:p>
            <w:pPr>
              <w:spacing w:after="0"/>
              <w:rPr>
                <w:sz w:val="24"/>
                <w:szCs w:val="24"/>
                <w:color w:val="auto"/>
              </w:rPr>
            </w:pPr>
          </w:p>
        </w:tc>
        <w:tc>
          <w:tcPr>
            <w:tcW w:w="3760" w:type="dxa"/>
            <w:vAlign w:val="bottom"/>
            <w:tcBorders>
              <w:right w:val="single" w:sz="8" w:color="auto"/>
            </w:tcBorders>
          </w:tcPr>
          <w:p>
            <w:pPr>
              <w:spacing w:after="0"/>
              <w:rPr>
                <w:sz w:val="24"/>
                <w:szCs w:val="24"/>
                <w:color w:val="auto"/>
              </w:rPr>
            </w:pPr>
          </w:p>
        </w:tc>
        <w:tc>
          <w:tcPr>
            <w:tcW w:w="3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This Amendment No. 1 (“</w:t>
      </w:r>
      <w:r>
        <w:rPr>
          <w:rFonts w:ascii="Arial" w:cs="Arial" w:eastAsia="Arial" w:hAnsi="Arial"/>
          <w:sz w:val="18"/>
          <w:szCs w:val="18"/>
          <w:u w:val="single" w:color="auto"/>
          <w:color w:val="auto"/>
        </w:rPr>
        <w:t>Amendment No. 1”</w:t>
      </w:r>
      <w:r>
        <w:rPr>
          <w:rFonts w:ascii="Arial" w:cs="Arial" w:eastAsia="Arial" w:hAnsi="Arial"/>
          <w:sz w:val="18"/>
          <w:szCs w:val="18"/>
          <w:color w:val="auto"/>
        </w:rPr>
        <w:t>) amends and supplements the statement on Schedule 13D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August 3, 2018 (the “</w:t>
      </w:r>
      <w:r>
        <w:rPr>
          <w:rFonts w:ascii="Arial" w:cs="Arial" w:eastAsia="Arial" w:hAnsi="Arial"/>
          <w:sz w:val="18"/>
          <w:szCs w:val="18"/>
          <w:u w:val="single" w:color="auto"/>
          <w:color w:val="auto"/>
        </w:rPr>
        <w:t>Original Schedule 13D</w:t>
      </w:r>
      <w:r>
        <w:rPr>
          <w:rFonts w:ascii="Arial" w:cs="Arial" w:eastAsia="Arial" w:hAnsi="Arial"/>
          <w:sz w:val="18"/>
          <w:szCs w:val="18"/>
          <w:color w:val="auto"/>
        </w:rPr>
        <w:t>”). Capitalized terms used herein and not otherwise defined in this Amendment No. 1 have the meanings set forth in the Original Schedule 13D.</w:t>
      </w:r>
    </w:p>
    <w:p>
      <w:pPr>
        <w:spacing w:after="0" w:line="123" w:lineRule="exact"/>
        <w:rPr>
          <w:sz w:val="20"/>
          <w:szCs w:val="20"/>
          <w:color w:val="auto"/>
        </w:rPr>
      </w:pPr>
    </w:p>
    <w:p>
      <w:pPr>
        <w:ind w:left="40"/>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28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Item 1 of the Original Schedule 13D is hereby amended and restated as follows:</w:t>
      </w:r>
    </w:p>
    <w:p>
      <w:pPr>
        <w:spacing w:after="0" w:line="279" w:lineRule="exact"/>
        <w:rPr>
          <w:sz w:val="20"/>
          <w:szCs w:val="20"/>
          <w:color w:val="auto"/>
        </w:rPr>
      </w:pPr>
    </w:p>
    <w:p>
      <w:pPr>
        <w:ind w:left="1140" w:right="780"/>
        <w:spacing w:after="0" w:line="264" w:lineRule="auto"/>
        <w:rPr>
          <w:sz w:val="20"/>
          <w:szCs w:val="20"/>
          <w:color w:val="auto"/>
        </w:rPr>
      </w:pPr>
      <w:r>
        <w:rPr>
          <w:rFonts w:ascii="Arial" w:cs="Arial" w:eastAsia="Arial" w:hAnsi="Arial"/>
          <w:sz w:val="18"/>
          <w:szCs w:val="18"/>
          <w:color w:val="auto"/>
        </w:rPr>
        <w:t>This Amendment No. 1 to Schedule 13D relates to the Common Stock, $0.001 par value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of Priority Technology Holdings, Inc., a Delaware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 with principal executive offices at 2001 Westside Parkway, Suite 155, Alpharetta, GA 30004.</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33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Item 2 of the Original Schedule 13D is hereby amended and restated as follows:</w:t>
      </w:r>
    </w:p>
    <w:p>
      <w:pPr>
        <w:spacing w:after="0" w:line="279" w:lineRule="exact"/>
        <w:rPr>
          <w:sz w:val="20"/>
          <w:szCs w:val="20"/>
          <w:color w:val="auto"/>
        </w:rPr>
      </w:pPr>
    </w:p>
    <w:p>
      <w:pPr>
        <w:ind w:left="1080" w:hanging="1045"/>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statement is filed by:</w:t>
      </w:r>
    </w:p>
    <w:p>
      <w:pPr>
        <w:spacing w:after="0" w:line="360" w:lineRule="exact"/>
        <w:rPr>
          <w:rFonts w:ascii="Arial" w:cs="Arial" w:eastAsia="Arial" w:hAnsi="Arial"/>
          <w:sz w:val="18"/>
          <w:szCs w:val="18"/>
          <w:color w:val="auto"/>
        </w:rPr>
      </w:pPr>
    </w:p>
    <w:p>
      <w:pPr>
        <w:ind w:left="1880" w:hanging="805"/>
        <w:spacing w:after="0"/>
        <w:tabs>
          <w:tab w:leader="none" w:pos="18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Priority Incentive Equity Holdings, LLC (“</w:t>
      </w:r>
      <w:r>
        <w:rPr>
          <w:rFonts w:ascii="Arial" w:cs="Arial" w:eastAsia="Arial" w:hAnsi="Arial"/>
          <w:sz w:val="18"/>
          <w:szCs w:val="18"/>
          <w:u w:val="single" w:color="auto"/>
          <w:color w:val="auto"/>
        </w:rPr>
        <w:t>PIEH</w:t>
      </w:r>
      <w:r>
        <w:rPr>
          <w:rFonts w:ascii="Arial" w:cs="Arial" w:eastAsia="Arial" w:hAnsi="Arial"/>
          <w:sz w:val="18"/>
          <w:szCs w:val="18"/>
          <w:color w:val="auto"/>
        </w:rPr>
        <w:t>”), with respect to the shares of Common Stock directly held by it; and</w:t>
      </w:r>
    </w:p>
    <w:p>
      <w:pPr>
        <w:spacing w:after="0" w:line="360" w:lineRule="exact"/>
        <w:rPr>
          <w:rFonts w:ascii="Arial" w:cs="Arial" w:eastAsia="Arial" w:hAnsi="Arial"/>
          <w:sz w:val="18"/>
          <w:szCs w:val="18"/>
          <w:color w:val="auto"/>
        </w:rPr>
      </w:pPr>
    </w:p>
    <w:p>
      <w:pPr>
        <w:ind w:left="1880" w:right="80" w:hanging="805"/>
        <w:spacing w:after="0" w:line="277" w:lineRule="auto"/>
        <w:tabs>
          <w:tab w:leader="none" w:pos="18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Thomas C. Priore (“</w:t>
      </w:r>
      <w:r>
        <w:rPr>
          <w:rFonts w:ascii="Arial" w:cs="Arial" w:eastAsia="Arial" w:hAnsi="Arial"/>
          <w:sz w:val="18"/>
          <w:szCs w:val="18"/>
          <w:u w:val="single" w:color="auto"/>
          <w:color w:val="auto"/>
        </w:rPr>
        <w:t>Mr. Priore</w:t>
      </w:r>
      <w:r>
        <w:rPr>
          <w:rFonts w:ascii="Arial" w:cs="Arial" w:eastAsia="Arial" w:hAnsi="Arial"/>
          <w:sz w:val="18"/>
          <w:szCs w:val="18"/>
          <w:color w:val="auto"/>
        </w:rPr>
        <w:t>”), who serves as the managing member of Priority Investment Holdings, LLC (“</w:t>
      </w:r>
      <w:r>
        <w:rPr>
          <w:rFonts w:ascii="Arial" w:cs="Arial" w:eastAsia="Arial" w:hAnsi="Arial"/>
          <w:sz w:val="18"/>
          <w:szCs w:val="18"/>
          <w:u w:val="single" w:color="auto"/>
          <w:color w:val="auto"/>
        </w:rPr>
        <w:t>PIH</w:t>
      </w:r>
      <w:r>
        <w:rPr>
          <w:rFonts w:ascii="Arial" w:cs="Arial" w:eastAsia="Arial" w:hAnsi="Arial"/>
          <w:sz w:val="18"/>
          <w:szCs w:val="18"/>
          <w:color w:val="auto"/>
        </w:rPr>
        <w:t>”), the manager of PIEH, with respect to the shares of Common Stock directly held by him and by PIEH.</w:t>
      </w:r>
    </w:p>
    <w:p>
      <w:pPr>
        <w:spacing w:after="0" w:line="306" w:lineRule="exact"/>
        <w:rPr>
          <w:sz w:val="20"/>
          <w:szCs w:val="20"/>
          <w:color w:val="auto"/>
        </w:rPr>
      </w:pPr>
    </w:p>
    <w:p>
      <w:pPr>
        <w:ind w:left="1080" w:right="240"/>
        <w:spacing w:after="0" w:line="308" w:lineRule="auto"/>
        <w:rPr>
          <w:sz w:val="20"/>
          <w:szCs w:val="20"/>
          <w:color w:val="auto"/>
        </w:rPr>
      </w:pPr>
      <w:r>
        <w:rPr>
          <w:rFonts w:ascii="Arial" w:cs="Arial" w:eastAsia="Arial" w:hAnsi="Arial"/>
          <w:sz w:val="17"/>
          <w:szCs w:val="17"/>
          <w:color w:val="auto"/>
        </w:rPr>
        <w:t>The foregoing persons are hereinafter sometimes collectively referred to as the “</w:t>
      </w:r>
      <w:r>
        <w:rPr>
          <w:rFonts w:ascii="Arial" w:cs="Arial" w:eastAsia="Arial" w:hAnsi="Arial"/>
          <w:sz w:val="17"/>
          <w:szCs w:val="17"/>
          <w:u w:val="single" w:color="auto"/>
          <w:color w:val="auto"/>
        </w:rPr>
        <w:t>Reporting Persons</w:t>
      </w:r>
      <w:r>
        <w:rPr>
          <w:rFonts w:ascii="Arial" w:cs="Arial" w:eastAsia="Arial" w:hAnsi="Arial"/>
          <w:sz w:val="17"/>
          <w:szCs w:val="17"/>
          <w:color w:val="auto"/>
        </w:rPr>
        <w:t>.” Any disclosures herein with respect to persons other than the Reporting Persons are made on information and belief after making inquiry to the appropriate party.</w:t>
      </w:r>
    </w:p>
    <w:p>
      <w:pPr>
        <w:spacing w:after="0" w:line="228" w:lineRule="exact"/>
        <w:rPr>
          <w:sz w:val="20"/>
          <w:szCs w:val="20"/>
          <w:color w:val="auto"/>
        </w:rPr>
      </w:pPr>
    </w:p>
    <w:p>
      <w:pPr>
        <w:ind w:left="1080" w:right="640"/>
        <w:spacing w:after="0" w:line="277" w:lineRule="auto"/>
        <w:rPr>
          <w:sz w:val="20"/>
          <w:szCs w:val="20"/>
          <w:color w:val="auto"/>
        </w:rPr>
      </w:pPr>
      <w:r>
        <w:rPr>
          <w:rFonts w:ascii="Arial" w:cs="Arial" w:eastAsia="Arial" w:hAnsi="Arial"/>
          <w:sz w:val="18"/>
          <w:szCs w:val="18"/>
          <w:color w:val="auto"/>
        </w:rPr>
        <w:t>The filing of this statement should not be construed as an admission that any Reporting Person is the beneficial owner of the securities reported herein.</w:t>
      </w:r>
    </w:p>
    <w:p>
      <w:pPr>
        <w:spacing w:after="0" w:line="251" w:lineRule="exact"/>
        <w:rPr>
          <w:sz w:val="20"/>
          <w:szCs w:val="20"/>
          <w:color w:val="auto"/>
        </w:rPr>
      </w:pPr>
    </w:p>
    <w:p>
      <w:pPr>
        <w:ind w:left="1080" w:right="40" w:hanging="1045"/>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principal business address of the Reporting Persons and PIH is c/o Priority Technology Holdings, Inc., 2001 Westside Parkway, Suite 155, Alpharetta, GA 30004.</w:t>
      </w:r>
    </w:p>
    <w:p>
      <w:pPr>
        <w:spacing w:after="0" w:line="305" w:lineRule="exact"/>
        <w:rPr>
          <w:rFonts w:ascii="Arial" w:cs="Arial" w:eastAsia="Arial" w:hAnsi="Arial"/>
          <w:sz w:val="18"/>
          <w:szCs w:val="18"/>
          <w:color w:val="auto"/>
        </w:rPr>
      </w:pPr>
    </w:p>
    <w:p>
      <w:pPr>
        <w:ind w:left="1080" w:right="540" w:hanging="1045"/>
        <w:spacing w:after="0" w:line="264"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principal business of PIEH is to hold shares of Common Stock reflecting equity incentive awards that have been granted to certain employees and former employees of the Issuer and its predecessor. The principal business of Mr. Priore is to serve as the sole managing member of PIEH. The principal business of PIH is to serve as the manager of PIEH.</w:t>
      </w:r>
    </w:p>
    <w:p>
      <w:pPr>
        <w:spacing w:after="0" w:line="302" w:lineRule="exact"/>
        <w:rPr>
          <w:rFonts w:ascii="Arial" w:cs="Arial" w:eastAsia="Arial" w:hAnsi="Arial"/>
          <w:sz w:val="18"/>
          <w:szCs w:val="18"/>
          <w:color w:val="auto"/>
        </w:rPr>
      </w:pPr>
    </w:p>
    <w:p>
      <w:pPr>
        <w:ind w:left="1080" w:right="120" w:hanging="1045"/>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None of the Reporting Persons nor PIH has, during the last five years, been convicted in a criminal proceeding (excluding traffic violations or similar misdemeanors).</w:t>
      </w:r>
    </w:p>
    <w:p>
      <w:pPr>
        <w:sectPr>
          <w:pgSz w:w="11900" w:h="16838" w:orient="portrait"/>
          <w:cols w:equalWidth="0" w:num="1">
            <w:col w:w="11400"/>
          </w:cols>
          <w:pgMar w:left="240" w:top="93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930" w:right="259" w:bottom="1440" w:gutter="0" w:footer="0" w:header="0"/>
          <w:type w:val="continuous"/>
        </w:sectPr>
      </w:pPr>
    </w:p>
    <w:bookmarkStart w:id="4" w:name="page5"/>
    <w:bookmarkEnd w:id="4"/>
    <w:tbl>
      <w:tblPr>
        <w:tblLayout w:type="fixed"/>
        <w:tblInd w:w="10" w:type="dxa"/>
        <w:tblCellMar>
          <w:top w:w="0" w:type="dxa"/>
          <w:left w:w="0" w:type="dxa"/>
          <w:bottom w:w="0" w:type="dxa"/>
          <w:right w:w="0" w:type="dxa"/>
        </w:tblCellMar>
      </w:tblPr>
      <w:tr>
        <w:trPr>
          <w:trHeight w:val="257"/>
        </w:trPr>
        <w:tc>
          <w:tcPr>
            <w:tcW w:w="3920" w:type="dxa"/>
            <w:vAlign w:val="bottom"/>
            <w:tcBorders>
              <w:top w:val="single" w:sz="8" w:color="auto"/>
              <w:left w:val="single" w:sz="8" w:color="auto"/>
              <w:right w:val="single" w:sz="8" w:color="auto"/>
            </w:tcBorders>
            <w:vMerge w:val="restart"/>
          </w:tcPr>
          <w:p>
            <w:pPr>
              <w:ind w:left="180"/>
              <w:spacing w:after="0"/>
              <w:rPr>
                <w:sz w:val="20"/>
                <w:szCs w:val="20"/>
                <w:color w:val="auto"/>
              </w:rPr>
            </w:pPr>
            <w:r>
              <w:rPr>
                <w:rFonts w:ascii="Arial" w:cs="Arial" w:eastAsia="Arial" w:hAnsi="Arial"/>
                <w:sz w:val="18"/>
                <w:szCs w:val="18"/>
                <w:b w:val="1"/>
                <w:bCs w:val="1"/>
                <w:color w:val="auto"/>
              </w:rPr>
              <w:t>CUSIP No. 74275G 107</w:t>
            </w:r>
          </w:p>
        </w:tc>
        <w:tc>
          <w:tcPr>
            <w:tcW w:w="3760" w:type="dxa"/>
            <w:vAlign w:val="bottom"/>
            <w:tcBorders>
              <w:right w:val="single" w:sz="8" w:color="auto"/>
            </w:tcBorders>
          </w:tcPr>
          <w:p>
            <w:pPr>
              <w:ind w:left="1200"/>
              <w:spacing w:after="0"/>
              <w:rPr>
                <w:sz w:val="20"/>
                <w:szCs w:val="20"/>
                <w:color w:val="auto"/>
              </w:rPr>
            </w:pPr>
            <w:r>
              <w:rPr>
                <w:rFonts w:ascii="Arial" w:cs="Arial" w:eastAsia="Arial" w:hAnsi="Arial"/>
                <w:sz w:val="18"/>
                <w:szCs w:val="18"/>
                <w:b w:val="1"/>
                <w:bCs w:val="1"/>
                <w:color w:val="auto"/>
              </w:rPr>
              <w:t>SCHEDULE 13D</w:t>
            </w:r>
          </w:p>
        </w:tc>
        <w:tc>
          <w:tcPr>
            <w:tcW w:w="37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Page 5 of 7 Pages</w:t>
            </w:r>
          </w:p>
        </w:tc>
        <w:tc>
          <w:tcPr>
            <w:tcW w:w="0" w:type="dxa"/>
            <w:vAlign w:val="bottom"/>
          </w:tcPr>
          <w:p>
            <w:pPr>
              <w:spacing w:after="0"/>
              <w:rPr>
                <w:sz w:val="1"/>
                <w:szCs w:val="1"/>
                <w:color w:val="auto"/>
              </w:rPr>
            </w:pPr>
          </w:p>
        </w:tc>
      </w:tr>
      <w:tr>
        <w:trPr>
          <w:trHeight w:val="81"/>
        </w:trPr>
        <w:tc>
          <w:tcPr>
            <w:tcW w:w="3920" w:type="dxa"/>
            <w:vAlign w:val="bottom"/>
            <w:tcBorders>
              <w:left w:val="single" w:sz="8" w:color="auto"/>
              <w:right w:val="single" w:sz="8" w:color="auto"/>
            </w:tcBorders>
            <w:vMerge w:val="continue"/>
          </w:tcPr>
          <w:p>
            <w:pPr>
              <w:spacing w:after="0"/>
              <w:rPr>
                <w:sz w:val="7"/>
                <w:szCs w:val="7"/>
                <w:color w:val="auto"/>
              </w:rPr>
            </w:pPr>
          </w:p>
        </w:tc>
        <w:tc>
          <w:tcPr>
            <w:tcW w:w="3760" w:type="dxa"/>
            <w:vAlign w:val="bottom"/>
            <w:tcBorders>
              <w:right w:val="single" w:sz="8" w:color="auto"/>
            </w:tcBorders>
          </w:tcPr>
          <w:p>
            <w:pPr>
              <w:spacing w:after="0"/>
              <w:rPr>
                <w:sz w:val="7"/>
                <w:szCs w:val="7"/>
                <w:color w:val="auto"/>
              </w:rPr>
            </w:pPr>
          </w:p>
        </w:tc>
        <w:tc>
          <w:tcPr>
            <w:tcW w:w="37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3920" w:type="dxa"/>
            <w:vAlign w:val="bottom"/>
            <w:tcBorders>
              <w:left w:val="single" w:sz="8" w:color="auto"/>
              <w:bottom w:val="single" w:sz="8" w:color="auto"/>
              <w:right w:val="single" w:sz="8" w:color="auto"/>
            </w:tcBorders>
          </w:tcPr>
          <w:p>
            <w:pPr>
              <w:spacing w:after="0"/>
              <w:rPr>
                <w:sz w:val="24"/>
                <w:szCs w:val="24"/>
                <w:color w:val="auto"/>
              </w:rPr>
            </w:pPr>
          </w:p>
        </w:tc>
        <w:tc>
          <w:tcPr>
            <w:tcW w:w="3760" w:type="dxa"/>
            <w:vAlign w:val="bottom"/>
            <w:tcBorders>
              <w:right w:val="single" w:sz="8" w:color="auto"/>
            </w:tcBorders>
          </w:tcPr>
          <w:p>
            <w:pPr>
              <w:spacing w:after="0"/>
              <w:rPr>
                <w:sz w:val="24"/>
                <w:szCs w:val="24"/>
                <w:color w:val="auto"/>
              </w:rPr>
            </w:pPr>
          </w:p>
        </w:tc>
        <w:tc>
          <w:tcPr>
            <w:tcW w:w="3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1080" w:right="60" w:hanging="1045"/>
        <w:spacing w:after="0" w:line="286"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On June 21, 2010, the SEC filed a civil lawsuit against ICP Asset Management ("</w:t>
      </w:r>
      <w:r>
        <w:rPr>
          <w:rFonts w:ascii="Arial" w:cs="Arial" w:eastAsia="Arial" w:hAnsi="Arial"/>
          <w:sz w:val="16"/>
          <w:szCs w:val="16"/>
          <w:u w:val="single" w:color="auto"/>
          <w:color w:val="auto"/>
        </w:rPr>
        <w:t>ICP"</w:t>
      </w:r>
      <w:r>
        <w:rPr>
          <w:rFonts w:ascii="Arial" w:cs="Arial" w:eastAsia="Arial" w:hAnsi="Arial"/>
          <w:sz w:val="16"/>
          <w:szCs w:val="16"/>
          <w:color w:val="auto"/>
        </w:rPr>
        <w:t>) and Mr. Priore in his role as majority owner, President and Chief Investment Officer of ICP’s registered investment advisor. The SEC principally alleged that portfolio rebalancing trades executed by ICP at the height of the credit crisis, in connection with its management of the assets of four collateralized debt obligation vehicles (the "</w:t>
      </w:r>
      <w:r>
        <w:rPr>
          <w:rFonts w:ascii="Arial" w:cs="Arial" w:eastAsia="Arial" w:hAnsi="Arial"/>
          <w:sz w:val="16"/>
          <w:szCs w:val="16"/>
          <w:u w:val="single" w:color="auto"/>
          <w:color w:val="auto"/>
        </w:rPr>
        <w:t>CDOs"</w:t>
      </w:r>
      <w:r>
        <w:rPr>
          <w:rFonts w:ascii="Arial" w:cs="Arial" w:eastAsia="Arial" w:hAnsi="Arial"/>
          <w:sz w:val="16"/>
          <w:szCs w:val="16"/>
          <w:color w:val="auto"/>
        </w:rPr>
        <w:t>), violated certain fiduciary duties and obligations under the CDOs’ trust indentures. The SEC contended that certain trades executed by ICP at purchase prices between the CDO trusts, should have been executed at then prevailing market prices and on an arms’ length basis, and, by failing to do so, ICP caused the CDOs to overpay for securities in violation of its fiduciary duty. The SEC further alleged that the nature of certain trades were mischaracterized to investors and executed without requisite approvals from the CDOs’ trustee. On August 14, 2012, Mr. Priore and ICP agreed to a civil settlement with regulators without admitting or denying the allegations, consenting to the entry of a civil order by the SEC. On March 11, 2015, the administrative settlement was entered pertaining to the SEC Order that barred Mr. Priore from associating with any broker, dealer, investment adviser, municipal securities dealer or transfer agent, and from participating in any offering involving a penny stock, for a minimum of five years from the date of the SEC Order with the right to apply to the applicable regulatory body for reentry thereafter. The SEC Order does not, nor has it ever, prohibited Mr. Priore’s involvement with Priority, or his service as Executive Chairman of the Issuer subsequent to the Business Combination.</w:t>
      </w:r>
    </w:p>
    <w:p>
      <w:pPr>
        <w:spacing w:after="0" w:line="282" w:lineRule="exact"/>
        <w:rPr>
          <w:rFonts w:ascii="Arial" w:cs="Arial" w:eastAsia="Arial" w:hAnsi="Arial"/>
          <w:sz w:val="16"/>
          <w:szCs w:val="16"/>
          <w:color w:val="auto"/>
        </w:rPr>
      </w:pPr>
    </w:p>
    <w:p>
      <w:pPr>
        <w:ind w:left="1080" w:right="540"/>
        <w:spacing w:after="0" w:line="312" w:lineRule="auto"/>
        <w:rPr>
          <w:rFonts w:ascii="Arial" w:cs="Arial" w:eastAsia="Arial" w:hAnsi="Arial"/>
          <w:sz w:val="16"/>
          <w:szCs w:val="16"/>
          <w:color w:val="auto"/>
        </w:rPr>
      </w:pPr>
      <w:r>
        <w:rPr>
          <w:rFonts w:ascii="Arial" w:cs="Arial" w:eastAsia="Arial" w:hAnsi="Arial"/>
          <w:sz w:val="16"/>
          <w:szCs w:val="16"/>
          <w:color w:val="auto"/>
        </w:rPr>
        <w:t>Neither PIEH nor PIH has,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308" w:lineRule="exact"/>
        <w:rPr>
          <w:rFonts w:ascii="Arial" w:cs="Arial" w:eastAsia="Arial" w:hAnsi="Arial"/>
          <w:sz w:val="16"/>
          <w:szCs w:val="16"/>
          <w:color w:val="auto"/>
        </w:rPr>
      </w:pPr>
    </w:p>
    <w:p>
      <w:pPr>
        <w:ind w:left="1080" w:hanging="1045"/>
        <w:spacing w:after="0"/>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PIEH is a Delaware limited liability company. Mr. Priore is a citizen of the United States. PIH is 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Amounts of Funds or Other Consideration</w:t>
      </w:r>
    </w:p>
    <w:p>
      <w:pPr>
        <w:spacing w:after="0" w:line="36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Item 3 of the Original Schedule 13D is hereby amended and supplemented by the addition of the following:</w:t>
      </w:r>
    </w:p>
    <w:p>
      <w:pPr>
        <w:spacing w:after="0" w:line="225" w:lineRule="exact"/>
        <w:rPr>
          <w:sz w:val="20"/>
          <w:szCs w:val="20"/>
          <w:color w:val="auto"/>
        </w:rPr>
      </w:pPr>
    </w:p>
    <w:p>
      <w:pPr>
        <w:ind w:left="1080" w:right="120"/>
        <w:spacing w:after="0" w:line="255" w:lineRule="auto"/>
        <w:rPr>
          <w:sz w:val="20"/>
          <w:szCs w:val="20"/>
          <w:color w:val="auto"/>
        </w:rPr>
      </w:pPr>
      <w:r>
        <w:rPr>
          <w:rFonts w:ascii="Arial" w:cs="Arial" w:eastAsia="Arial" w:hAnsi="Arial"/>
          <w:sz w:val="18"/>
          <w:szCs w:val="18"/>
          <w:color w:val="auto"/>
        </w:rPr>
        <w:t>On February 15, 2018, the Issuer consummated an offer to exchange warrants to acquire shares of Common Stock for shares of Common Stock (“</w:t>
      </w:r>
      <w:r>
        <w:rPr>
          <w:rFonts w:ascii="Arial" w:cs="Arial" w:eastAsia="Arial" w:hAnsi="Arial"/>
          <w:sz w:val="18"/>
          <w:szCs w:val="18"/>
          <w:u w:val="single" w:color="auto"/>
          <w:color w:val="auto"/>
        </w:rPr>
        <w:t>Warrant Exchange</w:t>
      </w:r>
      <w:r>
        <w:rPr>
          <w:rFonts w:ascii="Arial" w:cs="Arial" w:eastAsia="Arial" w:hAnsi="Arial"/>
          <w:sz w:val="18"/>
          <w:szCs w:val="18"/>
          <w:color w:val="auto"/>
        </w:rPr>
        <w:t>”). The Warrant Exchange was conducted pursuant to a Prospectus/Offer to Exchange, dated February 11, 2019, whereby each warrantholder whose warrants were exchanged pursuant to the offer received 0.1920 shares of Common Stock for each warrant validly tendered by such holder and exchanged. In the Warrant Exchange, Mr. Priore disposed of warrants to purchase 319,087 shares of Common Stock in exchange for 61,264 shares of Common Stock and PIEH disposed of warrants to purchase 20,403 shares of Common Stock in exchange for 3,917 shares of Common Stock.</w:t>
      </w:r>
    </w:p>
    <w:p>
      <w:pPr>
        <w:spacing w:after="0" w:line="193" w:lineRule="exact"/>
        <w:rPr>
          <w:sz w:val="20"/>
          <w:szCs w:val="20"/>
          <w:color w:val="auto"/>
        </w:rPr>
      </w:pPr>
    </w:p>
    <w:p>
      <w:pPr>
        <w:ind w:left="1080" w:right="600"/>
        <w:spacing w:after="0" w:line="342" w:lineRule="auto"/>
        <w:rPr>
          <w:sz w:val="20"/>
          <w:szCs w:val="20"/>
          <w:color w:val="auto"/>
        </w:rPr>
      </w:pPr>
      <w:r>
        <w:rPr>
          <w:rFonts w:ascii="Arial" w:cs="Arial" w:eastAsia="Arial" w:hAnsi="Arial"/>
          <w:sz w:val="16"/>
          <w:szCs w:val="16"/>
          <w:color w:val="auto"/>
        </w:rPr>
        <w:t>The foregoing description is a summary of the Warrant Exchange, and does not purport to be complete and is qualified in its entirety by reference to the full text of the Prospectus/Offer to Exchange, which is filed as Exhibit 5 to this Amendment No. 1 to Schedule 13D.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40"/>
          </w:cols>
          <w:pgMar w:left="240" w:top="498" w:right="21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57"/>
        </w:trPr>
        <w:tc>
          <w:tcPr>
            <w:tcW w:w="3940" w:type="dxa"/>
            <w:vAlign w:val="bottom"/>
            <w:tcBorders>
              <w:top w:val="single" w:sz="8" w:color="auto"/>
              <w:left w:val="single" w:sz="8" w:color="auto"/>
              <w:right w:val="single" w:sz="8" w:color="auto"/>
            </w:tcBorders>
            <w:gridSpan w:val="2"/>
            <w:vMerge w:val="restart"/>
          </w:tcPr>
          <w:p>
            <w:pPr>
              <w:ind w:left="180"/>
              <w:spacing w:after="0"/>
              <w:rPr>
                <w:sz w:val="20"/>
                <w:szCs w:val="20"/>
                <w:color w:val="auto"/>
              </w:rPr>
            </w:pPr>
            <w:r>
              <w:rPr>
                <w:rFonts w:ascii="Arial" w:cs="Arial" w:eastAsia="Arial" w:hAnsi="Arial"/>
                <w:sz w:val="18"/>
                <w:szCs w:val="18"/>
                <w:b w:val="1"/>
                <w:bCs w:val="1"/>
                <w:color w:val="auto"/>
              </w:rPr>
              <w:t>CUSIP No. 74275G 107</w:t>
            </w:r>
          </w:p>
        </w:tc>
        <w:tc>
          <w:tcPr>
            <w:tcW w:w="3740" w:type="dxa"/>
            <w:vAlign w:val="bottom"/>
            <w:tcBorders>
              <w:right w:val="single" w:sz="8" w:color="auto"/>
            </w:tcBorders>
          </w:tcPr>
          <w:p>
            <w:pPr>
              <w:ind w:left="1200"/>
              <w:spacing w:after="0"/>
              <w:rPr>
                <w:sz w:val="20"/>
                <w:szCs w:val="20"/>
                <w:color w:val="auto"/>
              </w:rPr>
            </w:pPr>
            <w:r>
              <w:rPr>
                <w:rFonts w:ascii="Arial" w:cs="Arial" w:eastAsia="Arial" w:hAnsi="Arial"/>
                <w:sz w:val="18"/>
                <w:szCs w:val="18"/>
                <w:b w:val="1"/>
                <w:bCs w:val="1"/>
                <w:color w:val="auto"/>
              </w:rPr>
              <w:t>SCHEDULE 13D</w:t>
            </w:r>
          </w:p>
        </w:tc>
        <w:tc>
          <w:tcPr>
            <w:tcW w:w="37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Page 6 of 7 Pages</w:t>
            </w:r>
          </w:p>
        </w:tc>
        <w:tc>
          <w:tcPr>
            <w:tcW w:w="0" w:type="dxa"/>
            <w:vAlign w:val="bottom"/>
          </w:tcPr>
          <w:p>
            <w:pPr>
              <w:spacing w:after="0"/>
              <w:rPr>
                <w:sz w:val="1"/>
                <w:szCs w:val="1"/>
                <w:color w:val="auto"/>
              </w:rPr>
            </w:pPr>
          </w:p>
        </w:tc>
      </w:tr>
      <w:tr>
        <w:trPr>
          <w:trHeight w:val="81"/>
        </w:trPr>
        <w:tc>
          <w:tcPr>
            <w:tcW w:w="3940" w:type="dxa"/>
            <w:vAlign w:val="bottom"/>
            <w:tcBorders>
              <w:left w:val="single" w:sz="8" w:color="auto"/>
              <w:right w:val="single" w:sz="8" w:color="auto"/>
            </w:tcBorders>
            <w:gridSpan w:val="2"/>
            <w:vMerge w:val="continue"/>
          </w:tcPr>
          <w:p>
            <w:pPr>
              <w:spacing w:after="0"/>
              <w:rPr>
                <w:sz w:val="7"/>
                <w:szCs w:val="7"/>
                <w:color w:val="auto"/>
              </w:rPr>
            </w:pPr>
          </w:p>
        </w:tc>
        <w:tc>
          <w:tcPr>
            <w:tcW w:w="3740" w:type="dxa"/>
            <w:vAlign w:val="bottom"/>
            <w:tcBorders>
              <w:right w:val="single" w:sz="8" w:color="auto"/>
            </w:tcBorders>
          </w:tcPr>
          <w:p>
            <w:pPr>
              <w:spacing w:after="0"/>
              <w:rPr>
                <w:sz w:val="7"/>
                <w:szCs w:val="7"/>
                <w:color w:val="auto"/>
              </w:rPr>
            </w:pPr>
          </w:p>
        </w:tc>
        <w:tc>
          <w:tcPr>
            <w:tcW w:w="37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820" w:type="dxa"/>
            <w:vAlign w:val="bottom"/>
            <w:tcBorders>
              <w:left w:val="single" w:sz="8" w:color="auto"/>
              <w:bottom w:val="single" w:sz="8" w:color="auto"/>
            </w:tcBorders>
          </w:tcPr>
          <w:p>
            <w:pPr>
              <w:spacing w:after="0"/>
              <w:rPr>
                <w:sz w:val="24"/>
                <w:szCs w:val="24"/>
                <w:color w:val="auto"/>
              </w:rPr>
            </w:pPr>
          </w:p>
        </w:tc>
        <w:tc>
          <w:tcPr>
            <w:tcW w:w="3120" w:type="dxa"/>
            <w:vAlign w:val="bottom"/>
            <w:tcBorders>
              <w:bottom w:val="single" w:sz="8" w:color="auto"/>
              <w:right w:val="single" w:sz="8" w:color="auto"/>
            </w:tcBorders>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3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5"/>
        </w:trPr>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Item 5.</w:t>
            </w:r>
          </w:p>
        </w:tc>
        <w:tc>
          <w:tcPr>
            <w:tcW w:w="3120" w:type="dxa"/>
            <w:vAlign w:val="bottom"/>
          </w:tcPr>
          <w:p>
            <w:pPr>
              <w:ind w:left="260"/>
              <w:spacing w:after="0"/>
              <w:rPr>
                <w:sz w:val="20"/>
                <w:szCs w:val="20"/>
                <w:color w:val="auto"/>
              </w:rPr>
            </w:pPr>
            <w:r>
              <w:rPr>
                <w:rFonts w:ascii="Arial" w:cs="Arial" w:eastAsia="Arial" w:hAnsi="Arial"/>
                <w:sz w:val="18"/>
                <w:szCs w:val="18"/>
                <w:b w:val="1"/>
                <w:bCs w:val="1"/>
                <w:color w:val="auto"/>
                <w:w w:val="97"/>
              </w:rPr>
              <w:t>Interest in Securities of the Issuer</w:t>
            </w:r>
          </w:p>
        </w:tc>
        <w:tc>
          <w:tcPr>
            <w:tcW w:w="37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Item 5 of the Original Schedule 13D is hereby amended and restated as follows:</w:t>
      </w:r>
    </w:p>
    <w:p>
      <w:pPr>
        <w:spacing w:after="0" w:line="200" w:lineRule="exact"/>
        <w:rPr>
          <w:sz w:val="20"/>
          <w:szCs w:val="20"/>
          <w:color w:val="auto"/>
        </w:rPr>
      </w:pPr>
    </w:p>
    <w:p>
      <w:pPr>
        <w:spacing w:after="0" w:line="295" w:lineRule="exact"/>
        <w:rPr>
          <w:sz w:val="20"/>
          <w:szCs w:val="20"/>
          <w:color w:val="auto"/>
        </w:rPr>
      </w:pPr>
    </w:p>
    <w:p>
      <w:pPr>
        <w:ind w:left="1080" w:right="160" w:hanging="1045"/>
        <w:spacing w:after="0" w:line="302" w:lineRule="auto"/>
        <w:tabs>
          <w:tab w:leader="none" w:pos="108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See rows (11) and (13) of the cover pages to this this Amendment No. 1 to Schedule 13D for the aggregate number of shares of Common Stock and percentages of the Common Stock beneficially owned by the Reporting Persons. The percentages used in this this Amendment No. 1 to Schedule 13D are calculated based upon 67,007,172 shares of Common Stock reported to be outstanding as of August 9, 2019, as disclosed in the Company’s Quarterly Report on Form 10-Q filed with the Securities and Exchange Commission on August 15, 2019.</w:t>
      </w:r>
    </w:p>
    <w:p>
      <w:pPr>
        <w:spacing w:after="0" w:line="289" w:lineRule="exact"/>
        <w:rPr>
          <w:rFonts w:ascii="Arial" w:cs="Arial" w:eastAsia="Arial" w:hAnsi="Arial"/>
          <w:sz w:val="16"/>
          <w:szCs w:val="16"/>
          <w:b w:val="1"/>
          <w:bCs w:val="1"/>
          <w:color w:val="auto"/>
        </w:rPr>
      </w:pPr>
    </w:p>
    <w:p>
      <w:pPr>
        <w:ind w:left="1080" w:right="180" w:hanging="1045"/>
        <w:spacing w:after="0" w:line="264" w:lineRule="auto"/>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See rows (7) through (10) of the cover pages to this this Amendment No. 1 to Schedule 13D for the number of shares of Common Stock as to which the Reporting Persons have the sole or shared power to vote or direct the vote and sole or shared power to dispose or to direct the disposition.</w:t>
      </w:r>
    </w:p>
    <w:p>
      <w:pPr>
        <w:spacing w:after="0" w:line="316" w:lineRule="exact"/>
        <w:rPr>
          <w:rFonts w:ascii="Arial" w:cs="Arial" w:eastAsia="Arial" w:hAnsi="Arial"/>
          <w:sz w:val="18"/>
          <w:szCs w:val="18"/>
          <w:b w:val="1"/>
          <w:bCs w:val="1"/>
          <w:color w:val="auto"/>
        </w:rPr>
      </w:pPr>
    </w:p>
    <w:p>
      <w:pPr>
        <w:ind w:left="1080" w:hanging="1045"/>
        <w:spacing w:after="0"/>
        <w:tabs>
          <w:tab w:leader="none" w:pos="108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On August 19, 2019, PIEH distributed an aggregate of 2,425,801 shares of Common Stock of the Issuer held by it to certain of its members.</w:t>
      </w:r>
    </w:p>
    <w:p>
      <w:pPr>
        <w:spacing w:after="0" w:line="221" w:lineRule="exact"/>
        <w:rPr>
          <w:rFonts w:ascii="Arial" w:cs="Arial" w:eastAsia="Arial" w:hAnsi="Arial"/>
          <w:sz w:val="16"/>
          <w:szCs w:val="16"/>
          <w:b w:val="1"/>
          <w:bCs w:val="1"/>
          <w:color w:val="auto"/>
        </w:rPr>
      </w:pPr>
    </w:p>
    <w:p>
      <w:pPr>
        <w:ind w:left="1180" w:right="300" w:hanging="1145"/>
        <w:spacing w:after="0" w:line="277" w:lineRule="auto"/>
        <w:tabs>
          <w:tab w:leader="none" w:pos="11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Certain employees and former employees of the Issuer and its predecessors have the power to direct the receipt of dividends from, and the right to receive proceeds from the sale, of the Subject Shares by PIEH.</w:t>
      </w:r>
    </w:p>
    <w:p>
      <w:pPr>
        <w:spacing w:after="0" w:line="305" w:lineRule="exact"/>
        <w:rPr>
          <w:rFonts w:ascii="Arial" w:cs="Arial" w:eastAsia="Arial" w:hAnsi="Arial"/>
          <w:sz w:val="18"/>
          <w:szCs w:val="18"/>
          <w:b w:val="1"/>
          <w:bCs w:val="1"/>
          <w:color w:val="auto"/>
        </w:rPr>
      </w:pPr>
    </w:p>
    <w:p>
      <w:pPr>
        <w:ind w:left="1180" w:hanging="1145"/>
        <w:spacing w:after="0"/>
        <w:tabs>
          <w:tab w:leader="none" w:pos="11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36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Item 6 of the Original Schedule 13D is hereby amended and supplemented by the addition of the following:</w:t>
      </w:r>
    </w:p>
    <w:p>
      <w:pPr>
        <w:spacing w:after="0" w:line="27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Mr. Priore has pledged 47,732,899 shares of Common Stock held by him pursuant to a letter of credit.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
        <w:spacing w:after="0"/>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36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Item 7 of the Original Schedule 13D is hereby amended and supplemented by the addition of the following:</w:t>
      </w:r>
    </w:p>
    <w:p>
      <w:pPr>
        <w:spacing w:after="0" w:line="198" w:lineRule="exact"/>
        <w:rPr>
          <w:sz w:val="20"/>
          <w:szCs w:val="20"/>
          <w:color w:val="auto"/>
        </w:rPr>
      </w:pPr>
    </w:p>
    <w:p>
      <w:pPr>
        <w:ind w:left="2440" w:right="40" w:hanging="1255"/>
        <w:spacing w:after="0" w:line="277" w:lineRule="auto"/>
        <w:tabs>
          <w:tab w:leader="none" w:pos="2420" w:val="left"/>
        </w:tabs>
        <w:rPr>
          <w:rFonts w:ascii="Arial" w:cs="Arial" w:eastAsia="Arial" w:hAnsi="Arial"/>
          <w:sz w:val="18"/>
          <w:szCs w:val="18"/>
          <w:u w:val="single" w:color="auto"/>
          <w:color w:val="0000EE"/>
        </w:rPr>
      </w:pPr>
      <w:r>
        <w:rPr>
          <w:rFonts w:ascii="Arial" w:cs="Arial" w:eastAsia="Arial" w:hAnsi="Arial"/>
          <w:sz w:val="18"/>
          <w:szCs w:val="18"/>
          <w:color w:val="auto"/>
        </w:rPr>
        <w:t>Exhibit 5</w:t>
      </w:r>
      <w:r>
        <w:rPr>
          <w:sz w:val="20"/>
          <w:szCs w:val="20"/>
          <w:color w:val="auto"/>
        </w:rPr>
        <w:tab/>
      </w:r>
      <w:hyperlink r:id="rId13">
        <w:r>
          <w:rPr>
            <w:rFonts w:ascii="Arial" w:cs="Arial" w:eastAsia="Arial" w:hAnsi="Arial"/>
            <w:sz w:val="18"/>
            <w:szCs w:val="18"/>
            <w:u w:val="single" w:color="auto"/>
            <w:color w:val="0000EE"/>
          </w:rPr>
          <w:t>Prospectus/Offer to Exchange (incorporated by reference to Form 424B3 filed with the Securities and Exchange</w:t>
        </w:r>
      </w:hyperlink>
      <w:r>
        <w:rPr>
          <w:rFonts w:ascii="Arial" w:cs="Arial" w:eastAsia="Arial" w:hAnsi="Arial"/>
          <w:sz w:val="18"/>
          <w:szCs w:val="18"/>
          <w:u w:val="single" w:color="auto"/>
          <w:color w:val="0000EE"/>
        </w:rPr>
        <w:t xml:space="preserve"> </w:t>
      </w:r>
      <w:hyperlink r:id="rId13">
        <w:r>
          <w:rPr>
            <w:rFonts w:ascii="Arial" w:cs="Arial" w:eastAsia="Arial" w:hAnsi="Arial"/>
            <w:sz w:val="18"/>
            <w:szCs w:val="18"/>
            <w:u w:val="single" w:color="auto"/>
            <w:color w:val="0000EE"/>
          </w:rPr>
          <w:t>Commission on February 11, 2019)</w:t>
        </w:r>
      </w:hyperlink>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40"/>
          </w:cols>
          <w:pgMar w:left="240" w:top="930" w:right="21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57"/>
        </w:trPr>
        <w:tc>
          <w:tcPr>
            <w:tcW w:w="3940" w:type="dxa"/>
            <w:vAlign w:val="bottom"/>
            <w:tcBorders>
              <w:top w:val="single" w:sz="8" w:color="auto"/>
              <w:left w:val="single" w:sz="8" w:color="auto"/>
              <w:right w:val="single" w:sz="8" w:color="auto"/>
            </w:tcBorders>
            <w:vMerge w:val="restart"/>
          </w:tcPr>
          <w:p>
            <w:pPr>
              <w:ind w:left="180"/>
              <w:spacing w:after="0"/>
              <w:rPr>
                <w:sz w:val="20"/>
                <w:szCs w:val="20"/>
                <w:color w:val="auto"/>
              </w:rPr>
            </w:pPr>
            <w:r>
              <w:rPr>
                <w:rFonts w:ascii="Arial" w:cs="Arial" w:eastAsia="Arial" w:hAnsi="Arial"/>
                <w:sz w:val="18"/>
                <w:szCs w:val="18"/>
                <w:b w:val="1"/>
                <w:bCs w:val="1"/>
                <w:color w:val="auto"/>
              </w:rPr>
              <w:t>CUSIP No. 74275G 107</w:t>
            </w:r>
          </w:p>
        </w:tc>
        <w:tc>
          <w:tcPr>
            <w:tcW w:w="3740" w:type="dxa"/>
            <w:vAlign w:val="bottom"/>
            <w:tcBorders>
              <w:right w:val="single" w:sz="8" w:color="auto"/>
            </w:tcBorders>
          </w:tcPr>
          <w:p>
            <w:pPr>
              <w:ind w:left="1200"/>
              <w:spacing w:after="0"/>
              <w:rPr>
                <w:sz w:val="20"/>
                <w:szCs w:val="20"/>
                <w:color w:val="auto"/>
              </w:rPr>
            </w:pPr>
            <w:r>
              <w:rPr>
                <w:rFonts w:ascii="Arial" w:cs="Arial" w:eastAsia="Arial" w:hAnsi="Arial"/>
                <w:sz w:val="18"/>
                <w:szCs w:val="18"/>
                <w:b w:val="1"/>
                <w:bCs w:val="1"/>
                <w:color w:val="auto"/>
              </w:rPr>
              <w:t>SCHEDULE 13D</w:t>
            </w:r>
          </w:p>
        </w:tc>
        <w:tc>
          <w:tcPr>
            <w:tcW w:w="37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Page 7 of 7 Pages</w:t>
            </w:r>
          </w:p>
        </w:tc>
        <w:tc>
          <w:tcPr>
            <w:tcW w:w="0" w:type="dxa"/>
            <w:vAlign w:val="bottom"/>
          </w:tcPr>
          <w:p>
            <w:pPr>
              <w:spacing w:after="0"/>
              <w:rPr>
                <w:sz w:val="1"/>
                <w:szCs w:val="1"/>
                <w:color w:val="auto"/>
              </w:rPr>
            </w:pPr>
          </w:p>
        </w:tc>
      </w:tr>
      <w:tr>
        <w:trPr>
          <w:trHeight w:val="81"/>
        </w:trPr>
        <w:tc>
          <w:tcPr>
            <w:tcW w:w="3940" w:type="dxa"/>
            <w:vAlign w:val="bottom"/>
            <w:tcBorders>
              <w:left w:val="single" w:sz="8" w:color="auto"/>
              <w:right w:val="single" w:sz="8" w:color="auto"/>
            </w:tcBorders>
            <w:vMerge w:val="continue"/>
          </w:tcPr>
          <w:p>
            <w:pPr>
              <w:spacing w:after="0"/>
              <w:rPr>
                <w:sz w:val="7"/>
                <w:szCs w:val="7"/>
                <w:color w:val="auto"/>
              </w:rPr>
            </w:pPr>
          </w:p>
        </w:tc>
        <w:tc>
          <w:tcPr>
            <w:tcW w:w="3740" w:type="dxa"/>
            <w:vAlign w:val="bottom"/>
            <w:tcBorders>
              <w:right w:val="single" w:sz="8" w:color="auto"/>
            </w:tcBorders>
          </w:tcPr>
          <w:p>
            <w:pPr>
              <w:spacing w:after="0"/>
              <w:rPr>
                <w:sz w:val="7"/>
                <w:szCs w:val="7"/>
                <w:color w:val="auto"/>
              </w:rPr>
            </w:pPr>
          </w:p>
        </w:tc>
        <w:tc>
          <w:tcPr>
            <w:tcW w:w="37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3940" w:type="dxa"/>
            <w:vAlign w:val="bottom"/>
            <w:tcBorders>
              <w:left w:val="single" w:sz="8" w:color="auto"/>
              <w:bottom w:val="single" w:sz="8" w:color="auto"/>
              <w:right w:val="single" w:sz="8" w:color="auto"/>
            </w:tcBorders>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3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After reasonable inquiry and to the best of its or his knowledge and belief, each of the undersigned certifies that the information set forth in this Amendment No. 1 to Schedule 13D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19, 2019</w:t>
      </w:r>
    </w:p>
    <w:p>
      <w:pPr>
        <w:spacing w:after="0" w:line="383"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PRIORITY INCENTIVE EQUITY HOLDINGS, LLC</w:t>
      </w:r>
    </w:p>
    <w:p>
      <w:pPr>
        <w:spacing w:after="0" w:line="364"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By:  Priority Investment Holdings LLC, its Manager</w:t>
      </w:r>
    </w:p>
    <w:p>
      <w:pPr>
        <w:spacing w:after="0" w:line="36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Thomas C. Priore</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Managing Member</w:t>
      </w:r>
    </w:p>
    <w:p>
      <w:pPr>
        <w:spacing w:after="0" w:line="200" w:lineRule="exact"/>
        <w:rPr>
          <w:sz w:val="20"/>
          <w:szCs w:val="20"/>
          <w:color w:val="auto"/>
        </w:rPr>
      </w:pPr>
    </w:p>
    <w:p>
      <w:pPr>
        <w:spacing w:after="0" w:line="24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THOMAS C. PRIORE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sectPr>
      <w:pgSz w:w="11900" w:h="16838" w:orient="portrait"/>
      <w:cols w:equalWidth="0" w:num="1">
        <w:col w:w="11440"/>
      </w:cols>
      <w:pgMar w:left="240" w:top="97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lvl w:ilvl="1">
      <w:lvlJc w:val="left"/>
      <w:lvlText w:val="(%2)"/>
      <w:numFmt w:val="lowerRoman"/>
      <w:start w:val="1"/>
    </w:lvl>
  </w:abstractNum>
  <w:abstractNum w:abstractNumId="2">
    <w:nsid w:val="625558EC"/>
    <w:multiLevelType w:val="hybridMultilevel"/>
    <w:lvl w:ilvl="0">
      <w:lvlJc w:val="left"/>
      <w:lvlText w:val="(%1)"/>
      <w:numFmt w:val="lowerLetter"/>
      <w:start w:val="2"/>
    </w:lvl>
  </w:abstractNum>
  <w:abstractNum w:abstractNumId="3">
    <w:nsid w:val="238E1F29"/>
    <w:multiLevelType w:val="hybridMultilevel"/>
    <w:lvl w:ilvl="0">
      <w:lvlJc w:val="left"/>
      <w:lvlText w:val="(%1)"/>
      <w:numFmt w:val="lowerLetter"/>
      <w:start w:val="5"/>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3" Type="http://schemas.openxmlformats.org/officeDocument/2006/relationships/hyperlink" Target="http://www.sec.gov/Archives/edgar/data/1653558/000161577419002268/0001615774-19-002268-ind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2019-11-30T00:06:42Z</dcterms:created>
  <dcterms:modified xsi:type="dcterms:W3CDTF">2019-11-30T00:06:42Z</dcterms:modified>
</cp:coreProperties>
</file>