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40"/>
        <w:spacing w:after="0"/>
        <w:rPr>
          <w:sz w:val="20"/>
          <w:szCs w:val="20"/>
          <w:color w:val="auto"/>
        </w:rPr>
      </w:pPr>
      <w:r>
        <w:rPr>
          <w:rFonts w:ascii="Arial" w:cs="Arial" w:eastAsia="Arial" w:hAnsi="Arial"/>
          <w:sz w:val="25"/>
          <w:szCs w:val="25"/>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ind w:left="1240" w:hanging="21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____________ to 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001-37872</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Priority Technology Holdings, Inc.</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right"/>
              <w:ind w:right="2335"/>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0"/>
        </w:trPr>
        <w:tc>
          <w:tcPr>
            <w:tcW w:w="57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(State or other jurisdiction of</w:t>
            </w:r>
          </w:p>
        </w:tc>
        <w:tc>
          <w:tcPr>
            <w:tcW w:w="57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57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incorporation or organization)</w:t>
            </w:r>
          </w:p>
        </w:tc>
        <w:tc>
          <w:tcPr>
            <w:tcW w:w="570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555"/>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2001 Westside Parkway, Suite 155</w:t>
            </w:r>
          </w:p>
        </w:tc>
        <w:tc>
          <w:tcPr>
            <w:tcW w:w="5700" w:type="dxa"/>
            <w:vAlign w:val="bottom"/>
          </w:tcPr>
          <w:p>
            <w:pPr>
              <w:spacing w:after="0"/>
              <w:rPr>
                <w:sz w:val="24"/>
                <w:szCs w:val="24"/>
                <w:color w:val="auto"/>
              </w:rPr>
            </w:pPr>
          </w:p>
        </w:tc>
      </w:tr>
      <w:tr>
        <w:trPr>
          <w:trHeight w:val="261"/>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Alpharetta, Georgia</w:t>
            </w:r>
          </w:p>
        </w:tc>
        <w:tc>
          <w:tcPr>
            <w:tcW w:w="5700" w:type="dxa"/>
            <w:vAlign w:val="bottom"/>
          </w:tcPr>
          <w:p>
            <w:pPr>
              <w:jc w:val="right"/>
              <w:ind w:right="2535"/>
              <w:spacing w:after="0"/>
              <w:rPr>
                <w:sz w:val="20"/>
                <w:szCs w:val="20"/>
                <w:color w:val="auto"/>
              </w:rPr>
            </w:pPr>
            <w:r>
              <w:rPr>
                <w:rFonts w:ascii="Arial" w:cs="Arial" w:eastAsia="Arial" w:hAnsi="Arial"/>
                <w:sz w:val="18"/>
                <w:szCs w:val="18"/>
                <w:b w:val="1"/>
                <w:bCs w:val="1"/>
                <w:color w:val="auto"/>
              </w:rPr>
              <w:t>30004</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7"/>
        </w:trPr>
        <w:tc>
          <w:tcPr>
            <w:tcW w:w="57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(Address of principal executive offices)</w:t>
            </w:r>
          </w:p>
        </w:tc>
        <w:tc>
          <w:tcPr>
            <w:tcW w:w="5700" w:type="dxa"/>
            <w:vAlign w:val="bottom"/>
          </w:tcPr>
          <w:p>
            <w:pPr>
              <w:jc w:val="center"/>
              <w:spacing w:after="0"/>
              <w:rPr>
                <w:sz w:val="20"/>
                <w:szCs w:val="20"/>
                <w:color w:val="auto"/>
              </w:rPr>
            </w:pPr>
            <w:r>
              <w:rPr>
                <w:rFonts w:ascii="Arial" w:cs="Arial" w:eastAsia="Arial" w:hAnsi="Arial"/>
                <w:sz w:val="16"/>
                <w:szCs w:val="16"/>
                <w:color w:val="auto"/>
                <w:w w:val="92"/>
              </w:rPr>
              <w:t>(Zip Code)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9" w:lineRule="exact"/>
        <w:rPr>
          <w:sz w:val="24"/>
          <w:szCs w:val="24"/>
          <w:color w:val="auto"/>
        </w:rPr>
      </w:pPr>
    </w:p>
    <w:tbl>
      <w:tblPr>
        <w:tblLayout w:type="fixed"/>
        <w:tblInd w:w="260" w:type="dxa"/>
        <w:tblCellMar>
          <w:top w:w="0" w:type="dxa"/>
          <w:left w:w="0" w:type="dxa"/>
          <w:bottom w:w="0" w:type="dxa"/>
          <w:right w:w="0" w:type="dxa"/>
        </w:tblCellMar>
      </w:tblPr>
      <w:tr>
        <w:trPr>
          <w:trHeight w:val="234"/>
        </w:trPr>
        <w:tc>
          <w:tcPr>
            <w:tcW w:w="6660" w:type="dxa"/>
            <w:vAlign w:val="bottom"/>
            <w:gridSpan w:val="2"/>
          </w:tcPr>
          <w:p>
            <w:pPr>
              <w:ind w:left="2600"/>
              <w:spacing w:after="0"/>
              <w:rPr>
                <w:sz w:val="20"/>
                <w:szCs w:val="20"/>
                <w:color w:val="auto"/>
              </w:rPr>
            </w:pPr>
            <w:r>
              <w:rPr>
                <w:rFonts w:ascii="Arial" w:cs="Arial" w:eastAsia="Arial" w:hAnsi="Arial"/>
                <w:sz w:val="18"/>
                <w:szCs w:val="18"/>
                <w:b w:val="1"/>
                <w:bCs w:val="1"/>
                <w:color w:val="auto"/>
              </w:rPr>
              <w:t>Title of each class</w:t>
            </w: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6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3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4260" w:type="dxa"/>
            <w:vAlign w:val="bottom"/>
          </w:tcPr>
          <w:p>
            <w:pPr>
              <w:ind w:left="20"/>
              <w:spacing w:after="0"/>
              <w:rPr>
                <w:sz w:val="20"/>
                <w:szCs w:val="20"/>
                <w:color w:val="auto"/>
              </w:rPr>
            </w:pPr>
            <w:r>
              <w:rPr>
                <w:rFonts w:ascii="Arial" w:cs="Arial" w:eastAsia="Arial" w:hAnsi="Arial"/>
                <w:sz w:val="18"/>
                <w:szCs w:val="18"/>
                <w:color w:val="auto"/>
              </w:rPr>
              <w:t>Nasdaq Global Market</w:t>
            </w:r>
          </w:p>
        </w:tc>
      </w:tr>
    </w:tbl>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040" w:val="left"/>
        </w:tabs>
        <w:rPr>
          <w:sz w:val="20"/>
          <w:szCs w:val="20"/>
          <w:color w:val="auto"/>
        </w:rPr>
      </w:pPr>
      <w:r>
        <w:rPr>
          <w:rFonts w:ascii="Arial" w:cs="Arial" w:eastAsia="Arial" w:hAnsi="Arial"/>
          <w:sz w:val="16"/>
          <w:szCs w:val="16"/>
          <w:color w:val="auto"/>
        </w:rPr>
        <w:t>days.  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ectPr>
          <w:pgSz w:w="11900" w:h="16838" w:orient="portrait"/>
          <w:cols w:equalWidth="0" w:num="1">
            <w:col w:w="11420"/>
          </w:cols>
          <w:pgMar w:left="240" w:top="535" w:right="239" w:bottom="1440" w:gutter="0" w:footer="0" w:header="0"/>
        </w:sectPr>
      </w:pPr>
    </w:p>
    <w:bookmarkStart w:id="1" w:name="page2"/>
    <w:bookmarkEnd w:id="1"/>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4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1"/>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200" w:type="dxa"/>
            <w:vAlign w:val="bottom"/>
          </w:tcPr>
          <w:p>
            <w:pPr>
              <w:ind w:left="700"/>
              <w:spacing w:after="0"/>
              <w:rPr>
                <w:sz w:val="20"/>
                <w:szCs w:val="20"/>
                <w:color w:val="auto"/>
              </w:rPr>
            </w:pPr>
            <w:r>
              <w:rPr>
                <w:rFonts w:ascii="Arial" w:cs="Arial" w:eastAsia="Arial" w:hAnsi="Arial"/>
                <w:sz w:val="16"/>
                <w:szCs w:val="16"/>
                <w:color w:val="auto"/>
              </w:rPr>
              <w:t>x</w:t>
            </w:r>
          </w:p>
        </w:tc>
        <w:tc>
          <w:tcPr>
            <w:tcW w:w="3640" w:type="dxa"/>
            <w:vAlign w:val="bottom"/>
          </w:tcPr>
          <w:p>
            <w:pPr>
              <w:ind w:left="134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rPr>
                <w:sz w:val="20"/>
                <w:szCs w:val="20"/>
                <w:color w:val="auto"/>
              </w:rPr>
            </w:pPr>
            <w:r>
              <w:rPr>
                <w:rFonts w:ascii="Arial" w:cs="Arial" w:eastAsia="Arial" w:hAnsi="Arial"/>
                <w:sz w:val="16"/>
                <w:szCs w:val="16"/>
                <w:color w:val="auto"/>
              </w:rPr>
              <w:t>x</w:t>
            </w:r>
          </w:p>
        </w:tc>
      </w:tr>
      <w:tr>
        <w:trPr>
          <w:trHeight w:val="270"/>
        </w:trPr>
        <w:tc>
          <w:tcPr>
            <w:tcW w:w="21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640" w:type="dxa"/>
            <w:vAlign w:val="bottom"/>
          </w:tcPr>
          <w:p>
            <w:pPr>
              <w:ind w:left="134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20"/>
              <w:spacing w:after="0"/>
              <w:rPr>
                <w:sz w:val="20"/>
                <w:szCs w:val="20"/>
                <w:color w:val="auto"/>
              </w:rPr>
            </w:pPr>
            <w:r>
              <w:rPr>
                <w:rFonts w:ascii="Arial" w:cs="Arial" w:eastAsia="Arial" w:hAnsi="Arial"/>
                <w:sz w:val="16"/>
                <w:szCs w:val="16"/>
                <w:color w:val="auto"/>
              </w:rPr>
              <w:t>x</w:t>
            </w:r>
          </w:p>
        </w:tc>
      </w:tr>
    </w:tbl>
    <w:p>
      <w:pPr>
        <w:spacing w:after="0" w:line="320" w:lineRule="exact"/>
        <w:rPr>
          <w:sz w:val="20"/>
          <w:szCs w:val="20"/>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line="184"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25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As of June 29, 2018, the last business day of the registrant's most recently completed second fiscal quarter, the aggregate market value of the registrant's common stock held by non-affiliates of the registrant was approximately $52.8 million (based upon the closing sale price of the common stock on that date on The Nasdaq Capital Market).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2019, 67,034,980 shares of common stock, par value $0.001 per share, were issued and outstanding.</w:t>
      </w:r>
    </w:p>
    <w:p>
      <w:pPr>
        <w:sectPr>
          <w:pgSz w:w="11900" w:h="16838" w:orient="portrait"/>
          <w:cols w:equalWidth="0" w:num="1">
            <w:col w:w="11420"/>
          </w:cols>
          <w:pgMar w:left="240" w:top="37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Amendment No. 1 on Form 10-K/A (this "Amendment") amends our Annual Report on Form 10-K for the fiscal year ended December 31, 2018, originally filed on March 29, 2019 (the "Original Filing"). We are filing this Amendment to include the information required by Part III and not included in the Original Filing, as we do not intend to file a definitive proxy statement for an annual general meeting of stockholders within 120 days of the end of our fiscal year ended December 31, 2018.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Accordingly, Item 15 of Part IV has also been amended solely to reflect the filing of these new certifications. Because no financial statements have been included in this Amendment and this Amendment does not contain or amend any disclosure with respect to Items 307 and 308 of Regulation S-K, paragraphs 3, 4 and 5 of the certifications have been omitted.</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Some of the statements made in this Amendment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Amendment include, but are not limited to, statements about:</w:t>
      </w:r>
    </w:p>
    <w:p>
      <w:pPr>
        <w:spacing w:after="0" w:line="16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section of the Original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Amendment.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forward-looking statements contained in this Amendment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forward-looking statements involve a number of risks, uncertainties (some of which are beyond our control) or other assumptions, including the risk factors set forth under "Item 1A - Risk Factors" in the Original Filing,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Amendment,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read this Amendment with the understanding that our actual future results, levels of activity, performance and achievements may be materially different from what we expect. We qualify all of our forward-looking statements by these cautionary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Used in the Amendment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Amendment,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860" w:type="dxa"/>
            <w:vAlign w:val="bottom"/>
            <w:shd w:val="clear" w:color="auto" w:fill="CCEEFF"/>
          </w:tcPr>
          <w:p>
            <w:pPr>
              <w:spacing w:after="0"/>
              <w:rPr>
                <w:sz w:val="22"/>
                <w:szCs w:val="22"/>
                <w:color w:val="auto"/>
              </w:rPr>
            </w:pPr>
          </w:p>
        </w:tc>
        <w:tc>
          <w:tcPr>
            <w:tcW w:w="90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Page</w:t>
            </w:r>
          </w:p>
        </w:tc>
      </w:tr>
      <w:tr>
        <w:trPr>
          <w:trHeight w:val="243"/>
        </w:trPr>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7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III.</w:t>
            </w:r>
          </w:p>
        </w:tc>
        <w:tc>
          <w:tcPr>
            <w:tcW w:w="8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Item 10.</w:t>
            </w:r>
          </w:p>
        </w:tc>
        <w:tc>
          <w:tcPr>
            <w:tcW w:w="886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4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780" w:type="dxa"/>
            <w:vAlign w:val="bottom"/>
          </w:tcPr>
          <w:p>
            <w:pPr>
              <w:spacing w:after="0"/>
              <w:rPr>
                <w:sz w:val="17"/>
                <w:szCs w:val="17"/>
                <w:color w:val="auto"/>
              </w:rPr>
            </w:pPr>
          </w:p>
        </w:tc>
        <w:tc>
          <w:tcPr>
            <w:tcW w:w="880" w:type="dxa"/>
            <w:vAlign w:val="bottom"/>
          </w:tcPr>
          <w:p>
            <w:pPr>
              <w:ind w:left="60"/>
              <w:spacing w:after="0" w:line="202" w:lineRule="exact"/>
              <w:rPr>
                <w:sz w:val="20"/>
                <w:szCs w:val="20"/>
                <w:color w:val="auto"/>
              </w:rPr>
            </w:pPr>
            <w:r>
              <w:rPr>
                <w:rFonts w:ascii="Arial" w:cs="Arial" w:eastAsia="Arial" w:hAnsi="Arial"/>
                <w:sz w:val="18"/>
                <w:szCs w:val="18"/>
                <w:color w:val="auto"/>
              </w:rPr>
              <w:t>Item 11.</w:t>
            </w:r>
          </w:p>
        </w:tc>
        <w:tc>
          <w:tcPr>
            <w:tcW w:w="8860" w:type="dxa"/>
            <w:vAlign w:val="bottom"/>
          </w:tcPr>
          <w:p>
            <w:pPr>
              <w:ind w:left="22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4"/>
          </w:tcPr>
          <w:p>
            <w:pPr>
              <w:jc w:val="center"/>
              <w:ind w:left="270"/>
              <w:spacing w:after="0" w:line="20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8</w:t>
              </w:r>
            </w:hyperlink>
          </w:p>
        </w:tc>
        <w:tc>
          <w:tcPr>
            <w:tcW w:w="360" w:type="dxa"/>
            <w:vAlign w:val="bottom"/>
          </w:tcPr>
          <w:p>
            <w:pPr>
              <w:spacing w:after="0"/>
              <w:rPr>
                <w:sz w:val="17"/>
                <w:szCs w:val="17"/>
                <w:color w:val="auto"/>
              </w:rPr>
            </w:pPr>
          </w:p>
        </w:tc>
      </w:tr>
      <w:tr>
        <w:trPr>
          <w:trHeight w:val="48"/>
        </w:trPr>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78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Item 12.</w:t>
            </w:r>
          </w:p>
        </w:tc>
        <w:tc>
          <w:tcPr>
            <w:tcW w:w="8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14</w:t>
              </w:r>
            </w:hyperlink>
          </w:p>
        </w:tc>
        <w:tc>
          <w:tcPr>
            <w:tcW w:w="360" w:type="dxa"/>
            <w:vAlign w:val="bottom"/>
            <w:shd w:val="clear" w:color="auto" w:fill="CCEEFF"/>
          </w:tcPr>
          <w:p>
            <w:pPr>
              <w:spacing w:after="0"/>
              <w:rPr>
                <w:sz w:val="17"/>
                <w:szCs w:val="17"/>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8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tcPr>
          <w:p>
            <w:pPr>
              <w:spacing w:after="0"/>
              <w:rPr>
                <w:sz w:val="17"/>
                <w:szCs w:val="17"/>
                <w:color w:val="auto"/>
              </w:rPr>
            </w:pPr>
          </w:p>
        </w:tc>
        <w:tc>
          <w:tcPr>
            <w:tcW w:w="880" w:type="dxa"/>
            <w:vAlign w:val="bottom"/>
          </w:tcPr>
          <w:p>
            <w:pPr>
              <w:ind w:left="60"/>
              <w:spacing w:after="0" w:line="202" w:lineRule="exact"/>
              <w:rPr>
                <w:sz w:val="20"/>
                <w:szCs w:val="20"/>
                <w:color w:val="auto"/>
              </w:rPr>
            </w:pPr>
            <w:r>
              <w:rPr>
                <w:rFonts w:ascii="Arial" w:cs="Arial" w:eastAsia="Arial" w:hAnsi="Arial"/>
                <w:sz w:val="18"/>
                <w:szCs w:val="18"/>
                <w:color w:val="auto"/>
              </w:rPr>
              <w:t>Item 13.</w:t>
            </w:r>
          </w:p>
        </w:tc>
        <w:tc>
          <w:tcPr>
            <w:tcW w:w="8860" w:type="dxa"/>
            <w:vAlign w:val="bottom"/>
          </w:tcPr>
          <w:p>
            <w:pPr>
              <w:ind w:left="22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4"/>
          </w:tcPr>
          <w:p>
            <w:pPr>
              <w:jc w:val="center"/>
              <w:ind w:left="27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15</w:t>
              </w:r>
            </w:hyperlink>
          </w:p>
        </w:tc>
        <w:tc>
          <w:tcPr>
            <w:tcW w:w="360" w:type="dxa"/>
            <w:vAlign w:val="bottom"/>
          </w:tcPr>
          <w:p>
            <w:pPr>
              <w:spacing w:after="0"/>
              <w:rPr>
                <w:sz w:val="17"/>
                <w:szCs w:val="17"/>
                <w:color w:val="auto"/>
              </w:rPr>
            </w:pPr>
          </w:p>
        </w:tc>
      </w:tr>
      <w:tr>
        <w:trPr>
          <w:trHeight w:val="48"/>
        </w:trPr>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780" w:type="dxa"/>
            <w:vAlign w:val="bottom"/>
            <w:shd w:val="clear" w:color="auto" w:fill="CCEEFF"/>
          </w:tcPr>
          <w:p>
            <w:pPr>
              <w:spacing w:after="0"/>
              <w:rPr>
                <w:sz w:val="21"/>
                <w:szCs w:val="21"/>
                <w:color w:val="auto"/>
              </w:rPr>
            </w:pPr>
          </w:p>
        </w:tc>
        <w:tc>
          <w:tcPr>
            <w:tcW w:w="8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Item 14.</w:t>
            </w:r>
          </w:p>
        </w:tc>
        <w:tc>
          <w:tcPr>
            <w:tcW w:w="8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Accounting Fees and Services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16</w:t>
              </w:r>
            </w:hyperlink>
          </w:p>
        </w:tc>
        <w:tc>
          <w:tcPr>
            <w:tcW w:w="360" w:type="dxa"/>
            <w:vAlign w:val="bottom"/>
            <w:shd w:val="clear" w:color="auto" w:fill="CCEEFF"/>
          </w:tcPr>
          <w:p>
            <w:pPr>
              <w:spacing w:after="0"/>
              <w:rPr>
                <w:sz w:val="21"/>
                <w:szCs w:val="21"/>
                <w:color w:val="auto"/>
              </w:rPr>
            </w:pPr>
          </w:p>
        </w:tc>
      </w:tr>
      <w:tr>
        <w:trPr>
          <w:trHeight w:val="176"/>
        </w:trPr>
        <w:tc>
          <w:tcPr>
            <w:tcW w:w="7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88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r>
      <w:tr>
        <w:trPr>
          <w:trHeight w:val="250"/>
        </w:trPr>
        <w:tc>
          <w:tcPr>
            <w:tcW w:w="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Part IV.</w:t>
            </w:r>
          </w:p>
        </w:tc>
        <w:tc>
          <w:tcPr>
            <w:tcW w:w="8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Item 15.</w:t>
            </w:r>
          </w:p>
        </w:tc>
        <w:tc>
          <w:tcPr>
            <w:tcW w:w="8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Exhibits</w:t>
            </w: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17</w:t>
              </w:r>
            </w:hyperlink>
          </w:p>
        </w:tc>
        <w:tc>
          <w:tcPr>
            <w:tcW w:w="360" w:type="dxa"/>
            <w:vAlign w:val="bottom"/>
            <w:shd w:val="clear" w:color="auto" w:fill="CCEEFF"/>
          </w:tcPr>
          <w:p>
            <w:pPr>
              <w:spacing w:after="0"/>
              <w:rPr>
                <w:sz w:val="21"/>
                <w:szCs w:val="21"/>
                <w:color w:val="auto"/>
              </w:rPr>
            </w:pPr>
          </w:p>
        </w:tc>
      </w:tr>
      <w:tr>
        <w:trPr>
          <w:trHeight w:val="243"/>
        </w:trPr>
        <w:tc>
          <w:tcPr>
            <w:tcW w:w="7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886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r>
      <w:tr>
        <w:trPr>
          <w:trHeight w:val="203"/>
        </w:trPr>
        <w:tc>
          <w:tcPr>
            <w:tcW w:w="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Signature</w:t>
            </w:r>
          </w:p>
        </w:tc>
        <w:tc>
          <w:tcPr>
            <w:tcW w:w="880" w:type="dxa"/>
            <w:vAlign w:val="bottom"/>
            <w:shd w:val="clear" w:color="auto" w:fill="CCEEFF"/>
          </w:tcPr>
          <w:p>
            <w:pPr>
              <w:spacing w:after="0"/>
              <w:rPr>
                <w:sz w:val="17"/>
                <w:szCs w:val="17"/>
                <w:color w:val="auto"/>
              </w:rPr>
            </w:pPr>
          </w:p>
        </w:tc>
        <w:tc>
          <w:tcPr>
            <w:tcW w:w="886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center"/>
              <w:ind w:left="2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360" w:type="dxa"/>
            <w:vAlign w:val="bottom"/>
            <w:shd w:val="clear" w:color="auto" w:fill="CCEEFF"/>
          </w:tcPr>
          <w:p>
            <w:pPr>
              <w:spacing w:after="0"/>
              <w:rPr>
                <w:sz w:val="17"/>
                <w:szCs w:val="17"/>
                <w:color w:val="auto"/>
              </w:rPr>
            </w:pPr>
          </w:p>
        </w:tc>
      </w:tr>
      <w:tr>
        <w:trPr>
          <w:trHeight w:val="48"/>
        </w:trPr>
        <w:tc>
          <w:tcPr>
            <w:tcW w:w="7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8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executive officers and directors, as of April 30, 2019.</w:t>
      </w:r>
    </w:p>
    <w:p>
      <w:pPr>
        <w:spacing w:after="0" w:line="280" w:lineRule="exact"/>
        <w:rPr>
          <w:sz w:val="20"/>
          <w:szCs w:val="20"/>
          <w:color w:val="auto"/>
        </w:rPr>
      </w:pPr>
    </w:p>
    <w:tbl>
      <w:tblPr>
        <w:tblLayout w:type="fixed"/>
        <w:tblInd w:w="1180" w:type="dxa"/>
        <w:tblCellMar>
          <w:top w:w="0" w:type="dxa"/>
          <w:left w:w="0" w:type="dxa"/>
          <w:bottom w:w="0" w:type="dxa"/>
          <w:right w:w="0" w:type="dxa"/>
        </w:tblCellMar>
      </w:tblPr>
      <w:tr>
        <w:trPr>
          <w:trHeight w:val="264"/>
        </w:trPr>
        <w:tc>
          <w:tcPr>
            <w:tcW w:w="2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3"/>
              </w:rPr>
              <w:t>Age</w:t>
            </w:r>
          </w:p>
        </w:tc>
        <w:tc>
          <w:tcPr>
            <w:tcW w:w="120" w:type="dxa"/>
            <w:vAlign w:val="bottom"/>
            <w:shd w:val="clear" w:color="auto" w:fill="CCEEFF"/>
          </w:tcPr>
          <w:p>
            <w:pPr>
              <w:spacing w:after="0"/>
              <w:rPr>
                <w:sz w:val="22"/>
                <w:szCs w:val="22"/>
                <w:color w:val="auto"/>
              </w:rPr>
            </w:pPr>
          </w:p>
        </w:tc>
        <w:tc>
          <w:tcPr>
            <w:tcW w:w="5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Thomas Priore</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President, Chief Executive Officer and Chairman</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Priore</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Vice-Chairman</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Michael Vollkommer</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Sean Kiewiet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Chief Technology Officer</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Timothy Schneible</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Chief Operating Officer</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Cindy O'Neill</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President of Commercial Payments</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David McMiller</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President of Commercial Business Services</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Afshin Yazdian</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President of Core Acquiring</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Chris Prince</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General Counsel</w:t>
            </w: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Gahan</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Director</w:t>
            </w:r>
          </w:p>
        </w:tc>
      </w:tr>
      <w:tr>
        <w:trPr>
          <w:trHeight w:val="243"/>
        </w:trPr>
        <w:tc>
          <w:tcPr>
            <w:tcW w:w="2900" w:type="dxa"/>
            <w:vAlign w:val="bottom"/>
            <w:gridSpan w:val="2"/>
          </w:tcPr>
          <w:p>
            <w:pPr>
              <w:ind w:left="40"/>
              <w:spacing w:after="0"/>
              <w:rPr>
                <w:sz w:val="20"/>
                <w:szCs w:val="20"/>
                <w:color w:val="auto"/>
              </w:rPr>
            </w:pPr>
            <w:r>
              <w:rPr>
                <w:rFonts w:ascii="Arial" w:cs="Arial" w:eastAsia="Arial" w:hAnsi="Arial"/>
                <w:sz w:val="18"/>
                <w:szCs w:val="18"/>
                <w:color w:val="auto"/>
              </w:rPr>
              <w:t>Matthew Kearney</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3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President, Chief Executive Officer and Chairman since December 2018 and as Executive Chairman and founding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from August 2005 through November 2018.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John Priore </w:t>
      </w:r>
      <w:r>
        <w:rPr>
          <w:rFonts w:ascii="Arial" w:cs="Arial" w:eastAsia="Arial" w:hAnsi="Arial"/>
          <w:sz w:val="16"/>
          <w:szCs w:val="16"/>
          <w:color w:val="auto"/>
        </w:rPr>
        <w:t>is the co-founder of Priority and has served as Vice-Chairman of Priority since December 2018. Prior to that, John Priore served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Michael Vollkommer </w:t>
      </w:r>
      <w:r>
        <w:rPr>
          <w:rFonts w:ascii="Arial" w:cs="Arial" w:eastAsia="Arial" w:hAnsi="Arial"/>
          <w:sz w:val="17"/>
          <w:szCs w:val="17"/>
          <w:color w:val="auto"/>
        </w:rPr>
        <w:t>has served as Chief Financial Officer of Priority since December 2018. Mr. Vollkommer is a CPA who has over 30 years of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has served as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Priority since August 2005. Mr. Kiewiet previously worked in software development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Timothy Schneible </w:t>
      </w:r>
      <w:r>
        <w:rPr>
          <w:rFonts w:ascii="Arial" w:cs="Arial" w:eastAsia="Arial" w:hAnsi="Arial"/>
          <w:sz w:val="18"/>
          <w:szCs w:val="18"/>
          <w:color w:val="auto"/>
        </w:rPr>
        <w:t>has served as Priority's Chief Operating Officer since October 2018. Prior to joining Priority, Mr. Schneible spent 18 years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Cindy O'Neill </w:t>
      </w:r>
      <w:r>
        <w:rPr>
          <w:rFonts w:ascii="Arial" w:cs="Arial" w:eastAsia="Arial" w:hAnsi="Arial"/>
          <w:sz w:val="17"/>
          <w:szCs w:val="17"/>
          <w:color w:val="auto"/>
        </w:rPr>
        <w:t>has served as Priority's President of Commercial Payments since March 2017. From July 2016 to March 2017, Ms. O'Neill worked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Ms. O'Neill served as Managing Director, Group Head of Cash Management Product, at Bank of the West. From June 2010 to February 2015, Ms. O'Neill served as the Head of Global Product Management and Region Head of U.S. Commercial Business at Visa. Prior to assuming those positions, Ms. O'Neill spent 17 years in treasury management, holding leadership positions at Wells Fargo (February 2007 to June 2010) and Bank of America (October 1994 to February 2007).</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Mr. McMiller previously served as VP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and Franchise at Priority since October 2008. Mr. McMiller brings over thirty-five years of executive development experience after serving as the Executive Vice President for NOVA and development roles for Uptons and Kohl's.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Mr. Yazdian was previously President &amp; CEO of Cynergy Data from</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Chris Prince </w:t>
      </w:r>
      <w:r>
        <w:rPr>
          <w:rFonts w:ascii="Arial" w:cs="Arial" w:eastAsia="Arial" w:hAnsi="Arial"/>
          <w:sz w:val="18"/>
          <w:szCs w:val="18"/>
          <w:color w:val="auto"/>
        </w:rPr>
        <w:t>has served as Priority's General Counsel since August 2010. Prior to joining Priority, Mr. Prince was Counsel at the international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King &amp; Spalding LLP, where he was a member of the Corporate, Technology and Global Transactions practice groups, focusing on M&amp;A, joint venture and strategic alliances for domestic and international licensing of intellectual property and technology.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William Gahan </w:t>
      </w:r>
      <w:r>
        <w:rPr>
          <w:rFonts w:ascii="Arial" w:cs="Arial" w:eastAsia="Arial" w:hAnsi="Arial"/>
          <w:sz w:val="16"/>
          <w:szCs w:val="16"/>
          <w:color w:val="auto"/>
        </w:rPr>
        <w:t>has served as a director of Priority since July 25, 2018. Mr. Gahan is a risk management specialist focused on institutional fixed income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debt capital markets. Most recently, from 2011 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Matthew Kearney </w:t>
      </w:r>
      <w:r>
        <w:rPr>
          <w:rFonts w:ascii="Arial" w:cs="Arial" w:eastAsia="Arial" w:hAnsi="Arial"/>
          <w:sz w:val="17"/>
          <w:szCs w:val="17"/>
          <w:color w:val="auto"/>
        </w:rPr>
        <w:t>has served as a director of Priority since July 25, 2018. Mr. Kearney has been an Operating Partner at Rockbridge Growth Equity, LLC</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2015. Mr. Kearney is responsible for driving a range of 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Acquisitions, Inc. Mr. Kearney previously served as CEO of Screenvision, a cinema advertising and media distribution company. Mr. Kearney holds a B.S. degree in Aeronautical Engineering from the University of Manchester and an MBA from London Business School.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April 30, 2019, Marc Manuel resigned as a director of Priority.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our Vice-Chairman, are brothers.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Other than the above, to our knowledge, during the past ten years, none of our directors, executive officers, promoters, control persons, or nominees has been:</w:t>
      </w:r>
    </w:p>
    <w:p>
      <w:pPr>
        <w:spacing w:after="0" w:line="24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convicted in a criminal proceeding or is subject to a pending criminal proceeding (excluding traffic violations and other minor offenses);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 by a court of competent jurisdiction (in a civil action), the SEC or the Commodity Futures Trading Commission to have violated a federal or state securities or commodities law;</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t>
      </w:r>
      <w:r>
        <w:rPr>
          <w:rFonts w:ascii="Arial" w:cs="Arial" w:eastAsia="Arial" w:hAnsi="Arial"/>
          <w:sz w:val="18"/>
          <w:szCs w:val="18"/>
          <w:i w:val="1"/>
          <w:iCs w:val="1"/>
          <w:color w:val="auto"/>
        </w:rPr>
        <w:t>www.prth.com</w:t>
      </w:r>
      <w:r>
        <w:rPr>
          <w:rFonts w:ascii="Arial" w:cs="Arial" w:eastAsia="Arial" w:hAnsi="Arial"/>
          <w:sz w:val="18"/>
          <w:szCs w:val="18"/>
          <w:color w:val="auto"/>
        </w:rPr>
        <w:t>. We intend to disclose on our website any future amendments of the Code of Ethics or waivers that exempt any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financial officer, principal accounting officer or controller, persons performing similar functions, or our directors from provisions in the Code of Ethics.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Thomas Priore continues to control a majority of the voting power of our outstanding common stock. As a result, we are a "controlled company" within the meaning of the corporate governance standards of the Nasdaq Stock Market LLC ("NASDAQ"). Under these rules, a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(the "Board") consist of independent directors;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requirement that we have a Nominating and Governance Committee that is composed entirely of independent directors with a written charter addressing the Committee purpose and responsibilities; and</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and intend to continue to utilize these exemptions. As a result, we do not currently have a majority of independent directors and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 In the event that we cease to be a "controlled company" and our shares continue to be listed on the Nasdaq Global Market, we will be required to comply with these provisions within the applicable transition periods.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 our securities trading policy, all covered persons, including all executive officers and directors, are prohibited from purchasing Company securities on margin or pledging Company securities as collateral. We granted an exception to Thomas Priore, our President, Chief Executive Officer and Chairman, allowing him to pledge 47,732,899 shares of our common stock held by him pursuant to a letter of credit. In the event of a default under the letter of credit, the secured parties may foreclose upon any and all shares of common stock pledged to them. As of April 30, 2019, borrowings of $1,146,000 were outstanding under the letter of credit.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our common stock being listed on the Nasdaq Global Market,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Messrs. Gahan and Kearney are independent directors. Our independent directors have regularly scheduled meetings at which only independent directors are present.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 to consideration, include, but are not limited to, provide that persons to be nominated:</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should have the highest ethical standards, a strong sense of professionalism and intense dedication to serving the interest of stockholders.</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Nominating and Governance Committee considers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does not distinguish among nominees recommended by stockholders and other persons.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and Interested Party Communications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and Audit Committee each met three time during 2018. The Compensation Committee and the Nominating and Governance Committee did not meet during 2018. All of our directors attended all three of the Board meetings during 2018 and all members of the Audit Committee attended all three meetings of that committee during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Attendance at Annual Meetings of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non-management directors are held regularly throughout the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has the following standing committees: Audit Committee, Compensation Committee, and Nominating and Governance Committee. The charters for each committee are available in the investor relations section for our website at www.prth.com or in print by contacting Mr. Prince at the Company's address. The Board may also establish other committees to assist in the discharge of its responsibilities.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committee members and committee chairperson (as indicated by a "C") as of April 30, 2019:</w:t>
      </w: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Nominating and</w:t>
            </w:r>
          </w:p>
        </w:tc>
      </w:tr>
      <w:tr>
        <w:trPr>
          <w:trHeight w:val="261"/>
        </w:trPr>
        <w:tc>
          <w:tcPr>
            <w:tcW w:w="60" w:type="dxa"/>
            <w:vAlign w:val="bottom"/>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5"/>
              </w:rPr>
              <w:t>Audit</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Corporate Governance</w:t>
            </w:r>
          </w:p>
        </w:tc>
      </w:tr>
      <w:tr>
        <w:trPr>
          <w:trHeight w:val="237"/>
        </w:trPr>
        <w:tc>
          <w:tcPr>
            <w:tcW w:w="60" w:type="dxa"/>
            <w:vAlign w:val="bottom"/>
          </w:tcPr>
          <w:p>
            <w:pPr>
              <w:spacing w:after="0"/>
              <w:rPr>
                <w:sz w:val="20"/>
                <w:szCs w:val="20"/>
                <w:color w:val="auto"/>
              </w:rPr>
            </w:pP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Priore</w:t>
            </w:r>
          </w:p>
        </w:tc>
        <w:tc>
          <w:tcPr>
            <w:tcW w:w="10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10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7"/>
        </w:trPr>
        <w:tc>
          <w:tcPr>
            <w:tcW w:w="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Priore</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6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Matthew Kearney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Gahan *</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70"/>
        </w:trPr>
        <w:tc>
          <w:tcPr>
            <w:tcW w:w="3840" w:type="dxa"/>
            <w:vAlign w:val="bottom"/>
            <w:gridSpan w:val="3"/>
          </w:tcPr>
          <w:p>
            <w:pPr>
              <w:spacing w:after="0"/>
              <w:rPr>
                <w:sz w:val="20"/>
                <w:szCs w:val="20"/>
                <w:color w:val="auto"/>
              </w:rPr>
            </w:pPr>
            <w:r>
              <w:rPr>
                <w:rFonts w:ascii="Arial" w:cs="Arial" w:eastAsia="Arial" w:hAnsi="Arial"/>
                <w:sz w:val="18"/>
                <w:szCs w:val="18"/>
                <w:color w:val="auto"/>
              </w:rPr>
              <w:t>* Independent director</w:t>
            </w: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has established an Audit Committee comprised of independent directors. The Audit Committee consists of William Gahan and Matthew Kearney. Each of the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intend to add a new independent director to our Board in May 2019 and for such director to become a member of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Kearney serves as the financial expert on the Audit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established a Compensation Committee consisting of Thomas Priore, John Priore and William Gahan, with Thomas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Governance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has established a Nominating and Governance Committee comprised of Thomas Priore, John Priore and William Gahan, with Thomas Priore as the chairman of the Nominating and Governance Committee. Each member of the Nominating and Governance Committee is independent under NASDAQ listing standards. The Nominating and Governance Committee has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Based on that review and on written information given to use by our executive officers and directors, we believe that all Section 16(a) filings during the past fiscal year were filed on a timely basis and that all directors, executive officers and 10% beneficial owners have fully complied with such requirements during the past fiscal year except for the following: one report covering one transaction filed by Marc Manuel (Form 4), one report covering one transaction filed by Michael Vollkommer (Form 4) and one report covering one transaction filed by Timothy Schneible (Form 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and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NEOs for Priority's year ended December 31, 2018 were:</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Thomas Priore, its Executive Chairman in 2017 and, as of December 1, 2018, its President, Chief Executive Officer and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in 2017 and, as of December 1, 2018, its Vice-Chairman;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Afshin Yazdian, its President of Core Acquiring;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Vollkommer, its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years ended December 31, 2017 and 2018 for the Named Executive Officers:</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5"/>
              </w:rPr>
              <w:t>Change in Pension</w:t>
            </w: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35"/>
        </w:trPr>
        <w:tc>
          <w:tcPr>
            <w:tcW w:w="2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Value and</w:t>
            </w: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2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Non-Equity</w:t>
            </w:r>
          </w:p>
        </w:tc>
        <w:tc>
          <w:tcPr>
            <w:tcW w:w="12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2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b w:val="1"/>
                <w:bCs w:val="1"/>
                <w:color w:val="auto"/>
              </w:rPr>
              <w:t>Stock</w:t>
            </w: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b w:val="1"/>
                <w:bCs w:val="1"/>
                <w:color w:val="auto"/>
              </w:rPr>
              <w:t>Option</w:t>
            </w:r>
          </w:p>
        </w:tc>
        <w:tc>
          <w:tcPr>
            <w:tcW w:w="12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Incentive</w:t>
            </w:r>
          </w:p>
        </w:tc>
        <w:tc>
          <w:tcPr>
            <w:tcW w:w="12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08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b w:val="1"/>
                <w:bCs w:val="1"/>
                <w:color w:val="auto"/>
              </w:rPr>
              <w:t>All Other</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74"/>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Name and Principal Position</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Year</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Salary $</w:t>
            </w: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Bonus $</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Awards $</w:t>
            </w:r>
          </w:p>
        </w:tc>
        <w:tc>
          <w:tcPr>
            <w:tcW w:w="3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Awards $</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6"/>
              </w:rPr>
              <w:t>Compensation $</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0"/>
              </w:rPr>
              <w:t>Earnings $</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4"/>
              </w:rPr>
              <w:t>Compensation $</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3"/>
                <w:szCs w:val="13"/>
                <w:b w:val="1"/>
                <w:bCs w:val="1"/>
                <w:color w:val="auto"/>
              </w:rPr>
              <w:t>Total $</w:t>
            </w:r>
          </w:p>
        </w:tc>
      </w:tr>
      <w:tr>
        <w:trPr>
          <w:trHeight w:val="176"/>
        </w:trPr>
        <w:tc>
          <w:tcPr>
            <w:tcW w:w="2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27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Thomas Priore</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400,000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900,000</w:t>
            </w:r>
          </w:p>
        </w:tc>
      </w:tr>
      <w:tr>
        <w:trPr>
          <w:trHeight w:val="262"/>
        </w:trPr>
        <w:tc>
          <w:tcPr>
            <w:tcW w:w="2220" w:type="dxa"/>
            <w:vAlign w:val="bottom"/>
            <w:gridSpan w:val="2"/>
          </w:tcPr>
          <w:p>
            <w:pPr>
              <w:ind w:left="160"/>
              <w:spacing w:after="0"/>
              <w:rPr>
                <w:sz w:val="20"/>
                <w:szCs w:val="20"/>
                <w:color w:val="auto"/>
              </w:rPr>
            </w:pPr>
            <w:r>
              <w:rPr>
                <w:rFonts w:ascii="Arial" w:cs="Arial" w:eastAsia="Arial" w:hAnsi="Arial"/>
                <w:sz w:val="13"/>
                <w:szCs w:val="13"/>
                <w:i w:val="1"/>
                <w:iCs w:val="1"/>
                <w:color w:val="auto"/>
              </w:rPr>
              <w:t>Executive Chairman *</w:t>
            </w:r>
          </w:p>
        </w:tc>
        <w:tc>
          <w:tcPr>
            <w:tcW w:w="440" w:type="dxa"/>
            <w:vAlign w:val="bottom"/>
          </w:tcPr>
          <w:p>
            <w:pPr>
              <w:ind w:left="10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500,000</w:t>
            </w:r>
          </w:p>
        </w:tc>
        <w:tc>
          <w:tcPr>
            <w:tcW w:w="3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250,000</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750,000</w:t>
            </w:r>
          </w:p>
        </w:tc>
      </w:tr>
      <w:tr>
        <w:trPr>
          <w:trHeight w:val="238"/>
        </w:trPr>
        <w:tc>
          <w:tcPr>
            <w:tcW w:w="2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62"/>
        </w:trPr>
        <w:tc>
          <w:tcPr>
            <w:tcW w:w="2220" w:type="dxa"/>
            <w:vAlign w:val="bottom"/>
            <w:gridSpan w:val="2"/>
          </w:tcPr>
          <w:p>
            <w:pPr>
              <w:ind w:left="20"/>
              <w:spacing w:after="0"/>
              <w:rPr>
                <w:sz w:val="20"/>
                <w:szCs w:val="20"/>
                <w:color w:val="auto"/>
              </w:rPr>
            </w:pPr>
            <w:r>
              <w:rPr>
                <w:rFonts w:ascii="Arial" w:cs="Arial" w:eastAsia="Arial" w:hAnsi="Arial"/>
                <w:sz w:val="13"/>
                <w:szCs w:val="13"/>
                <w:color w:val="auto"/>
              </w:rPr>
              <w:t>John Priore</w:t>
            </w:r>
          </w:p>
        </w:tc>
        <w:tc>
          <w:tcPr>
            <w:tcW w:w="440" w:type="dxa"/>
            <w:vAlign w:val="bottom"/>
          </w:tcPr>
          <w:p>
            <w:pPr>
              <w:ind w:left="10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513,583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22,143</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585,726</w:t>
            </w:r>
          </w:p>
        </w:tc>
      </w:tr>
      <w:tr>
        <w:trPr>
          <w:trHeight w:val="278"/>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3"/>
                <w:szCs w:val="13"/>
                <w:i w:val="1"/>
                <w:iCs w:val="1"/>
                <w:color w:val="auto"/>
              </w:rPr>
              <w:t>President and CEO **</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467,200</w:t>
            </w:r>
          </w:p>
        </w:tc>
        <w:tc>
          <w:tcPr>
            <w:tcW w:w="3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350,000</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20,533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837,733</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Afshin Yazdian</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3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180,000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21,713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601,713</w:t>
            </w:r>
          </w:p>
        </w:tc>
      </w:tr>
      <w:tr>
        <w:trPr>
          <w:trHeight w:val="262"/>
        </w:trPr>
        <w:tc>
          <w:tcPr>
            <w:tcW w:w="2220" w:type="dxa"/>
            <w:vAlign w:val="bottom"/>
            <w:gridSpan w:val="2"/>
          </w:tcPr>
          <w:p>
            <w:pPr>
              <w:ind w:left="160"/>
              <w:spacing w:after="0"/>
              <w:rPr>
                <w:sz w:val="20"/>
                <w:szCs w:val="20"/>
                <w:color w:val="auto"/>
              </w:rPr>
            </w:pPr>
            <w:r>
              <w:rPr>
                <w:rFonts w:ascii="Arial" w:cs="Arial" w:eastAsia="Arial" w:hAnsi="Arial"/>
                <w:sz w:val="13"/>
                <w:szCs w:val="13"/>
                <w:i w:val="1"/>
                <w:iCs w:val="1"/>
                <w:color w:val="auto"/>
              </w:rPr>
              <w:t>President of Core Acquiring</w:t>
            </w:r>
          </w:p>
        </w:tc>
        <w:tc>
          <w:tcPr>
            <w:tcW w:w="440" w:type="dxa"/>
            <w:vAlign w:val="bottom"/>
          </w:tcPr>
          <w:p>
            <w:pPr>
              <w:ind w:left="100"/>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381,923</w:t>
            </w:r>
          </w:p>
        </w:tc>
        <w:tc>
          <w:tcPr>
            <w:tcW w:w="3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232,500</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20,730</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(5)</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635,153</w:t>
            </w:r>
          </w:p>
        </w:tc>
      </w:tr>
      <w:tr>
        <w:trPr>
          <w:trHeight w:val="197"/>
        </w:trPr>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62"/>
        </w:trPr>
        <w:tc>
          <w:tcPr>
            <w:tcW w:w="2220" w:type="dxa"/>
            <w:vAlign w:val="bottom"/>
            <w:gridSpan w:val="2"/>
          </w:tcPr>
          <w:p>
            <w:pPr>
              <w:ind w:left="20"/>
              <w:spacing w:after="0"/>
              <w:rPr>
                <w:sz w:val="20"/>
                <w:szCs w:val="20"/>
                <w:color w:val="auto"/>
              </w:rPr>
            </w:pPr>
            <w:r>
              <w:rPr>
                <w:rFonts w:ascii="Arial" w:cs="Arial" w:eastAsia="Arial" w:hAnsi="Arial"/>
                <w:sz w:val="13"/>
                <w:szCs w:val="13"/>
                <w:color w:val="auto"/>
              </w:rPr>
              <w:t>Michael Vollkommer</w:t>
            </w:r>
          </w:p>
        </w:tc>
        <w:tc>
          <w:tcPr>
            <w:tcW w:w="440" w:type="dxa"/>
            <w:vAlign w:val="bottom"/>
          </w:tcPr>
          <w:p>
            <w:pPr>
              <w:ind w:left="10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16,346</w:t>
            </w:r>
          </w:p>
        </w:tc>
        <w:tc>
          <w:tcPr>
            <w:tcW w:w="3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750,000</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750,000</w:t>
            </w:r>
          </w:p>
        </w:tc>
      </w:tr>
      <w:tr>
        <w:trPr>
          <w:trHeight w:val="278"/>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3"/>
                <w:szCs w:val="13"/>
                <w:i w:val="1"/>
                <w:iCs w:val="1"/>
                <w:color w:val="auto"/>
              </w:rPr>
              <w:t>Chief Financial Officer</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bl>
    <w:p>
      <w:pPr>
        <w:spacing w:after="0" w:line="179" w:lineRule="exact"/>
        <w:rPr>
          <w:sz w:val="20"/>
          <w:szCs w:val="20"/>
          <w:color w:val="auto"/>
        </w:rPr>
      </w:pPr>
    </w:p>
    <w:p>
      <w:pPr>
        <w:ind w:right="4220" w:firstLine="8"/>
        <w:spacing w:after="0" w:line="310" w:lineRule="auto"/>
        <w:tabs>
          <w:tab w:leader="none" w:pos="122" w:val="left"/>
        </w:tabs>
        <w:numPr>
          <w:ilvl w:val="0"/>
          <w:numId w:val="7"/>
        </w:numPr>
        <w:rPr>
          <w:rFonts w:ascii="Arial" w:cs="Arial" w:eastAsia="Arial" w:hAnsi="Arial"/>
          <w:sz w:val="15"/>
          <w:szCs w:val="15"/>
          <w:color w:val="auto"/>
        </w:rPr>
      </w:pPr>
      <w:r>
        <w:rPr>
          <w:rFonts w:ascii="Arial" w:cs="Arial" w:eastAsia="Arial" w:hAnsi="Arial"/>
          <w:sz w:val="15"/>
          <w:szCs w:val="15"/>
          <w:color w:val="auto"/>
        </w:rPr>
        <w:t>Executive Chairman in 2017 and, as of December 1, 2018, President, Chief Executive Officer and Chairman. ** President and Chief Executive Officer in 2017 and, as of December 1, 2018, Vice-Chairman.</w:t>
      </w:r>
    </w:p>
    <w:p>
      <w:pPr>
        <w:spacing w:after="0" w:line="149"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Salary includes $20,833 in director fees paid to Mr. John Priore in his capacity as Vice-Chairman.</w:t>
      </w:r>
    </w:p>
    <w:p>
      <w:pPr>
        <w:spacing w:after="0" w:line="19" w:lineRule="exact"/>
        <w:rPr>
          <w:rFonts w:ascii="Arial" w:cs="Arial" w:eastAsia="Arial" w:hAnsi="Arial"/>
          <w:sz w:val="16"/>
          <w:szCs w:val="16"/>
          <w:color w:val="auto"/>
        </w:rPr>
      </w:pPr>
    </w:p>
    <w:p>
      <w:pPr>
        <w:ind w:firstLine="8"/>
        <w:spacing w:after="0" w:line="246"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(i) Priority's payment of Mr. John Priore's health insurance premiums in the amount of $9,653 and (ii) a 401(k) plan matching contribution in the amount of $11,000.</w:t>
      </w:r>
    </w:p>
    <w:p>
      <w:pPr>
        <w:ind w:firstLine="8"/>
        <w:spacing w:after="0" w:line="246"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(i) Priority's payment of Mr. John Priore's health insurance premiums in the amount of $9,933 and (ii) a 401(k) plan matching contribution in the amount of $10,600.</w:t>
      </w:r>
    </w:p>
    <w:p>
      <w:pPr>
        <w:ind w:left="240" w:hanging="232"/>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(i) Priority's payment of Mr. Yazdian's health insurance premiums in the amount of $10,137 and (ii) a 401(k) plan matching contribution in the amount of $11,000.</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(i) Priority's payment of Mr. Yazdian's health insurance premiums in the amount of $10,130 and (ii) a 401(k) plan matching contribution in the amount of $10,600.</w:t>
      </w:r>
    </w:p>
    <w:p>
      <w:pPr>
        <w:spacing w:after="0" w:line="28" w:lineRule="exact"/>
        <w:rPr>
          <w:rFonts w:ascii="Arial" w:cs="Arial" w:eastAsia="Arial" w:hAnsi="Arial"/>
          <w:sz w:val="14"/>
          <w:szCs w:val="14"/>
          <w:color w:val="auto"/>
        </w:rPr>
      </w:pPr>
    </w:p>
    <w:p>
      <w:pPr>
        <w:jc w:val="both"/>
        <w:ind w:firstLine="8"/>
        <w:spacing w:after="0" w:line="250"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the terms of an employment agreement and an equity award agreement executed in December 2018 between the Company and Mr. Vollkommer, the Board granted restricted stock units for 107,143 shares of the Company's common stock with a grant-date fair value of $750,000. At vesting of the award, the Company has not guaranteed that the vested award will have any specific monetary value, nor may Mr. Vollkommer or the Company elect settlement in any deliverable other than shares of the Company's common stock.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He is eligible to receive a monthly fee in the amount of $41,667 and a discretionary annual fee in an amount up to $400,000.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Thomas Priore Director Agreement may be terminated at any time by mutual written agreement of the parties or by any party for cause in the event the other party materially breaches its duties and obligations or is in default of any obligation. Upon any termination of the Thomas Priore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John Priore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November 30, 2018, Mr. John Priore served as our President and Chief Executive Officer. Effective as of December 1, 2018, Mr. John Priore was appointed as our Vice-Chairman.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John Priore has been a party to an employment agreement among the Employers, and Priority, dated May 21, 2014 (which we refer to as the "John Priore Employment Agreement"). In connection with the change in Mr. John Priore's position with us, Mr. John Priore entered into an amendment to the John Priore Employment Agreement, dated November 13, 2018 (which we refer to as the "Priore Amendment") as well as a new Director Agreement with the Company, dated December 1, 2018 (which we refer to as the "John Priore Director Agreement").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John Priore Director Agreement and the John Priore Employment Agreement, as amended by the Priore Amendment, Mr. John Priore will receive a monthly fee of $20,833.34 ($250,000 per year) as Vice-Chairman. He is also eligible to receive a performance fee of up to $12,500 per quarter (up to $50,000 per year) and an additional annual fee of up to $50,000, each in the discretion of our Board. Payment of the monthly fee is subject to applicable restrictions under the debt and equity financing agreements of the Company and its subsidiaries. If such restrictions prohibit payment of the monthly fee such amount will accrue interest at a rate of 6% per annum until such amount is permitted to be paid. The John Priore Director Agreement may be terminated at any time by mutual written agreement of the parties or by any party for cause in the event the other party materially breaches its duties and obligations or is in default of any obligation. If Mr. John Priore ceases to be a director of the Company for any reason other than a reason that would constitute a removal for Cause (as provided under the John Priore Employment Agreement) prior to November 30, 2020, Mr. John Priore will receive a lump sum equal to the monthly fee that he would have been entitled to receive through November 30, 2020, subject to his compliance with restrictive covenants included in the John Priore Employment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John Priore Employment Agreement, as amended by the Priore Amendment, with respect to equity securities of the Company held by Mr. John Priore, in any year following a termination of Mr. John Priore's service, either (1) the Company may repurchase up to $2.0 million of equity securities of the Company held by Mr. John Priore unless Mr. John Priore beneficially owns less than 5% of the Company's outstanding equity, or (2) Mr. John Priore may require the Company purchase up to $2.0 million of equity securities of the Company held by him unless Mr. John Priore beneficially owns less than 5% of the Company's outstanding equity or the Company files a resale registration statement allowing him to sell at least $2.0 million of equity securities on NASDAQ.</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the John Priore Employment Agreement, Mr. John Priore had received an annual base salary ($467,200 per year in 2017 and $492,750 per year in 2018) and was eligible for an annual bonus prior to Mr. John Priore's appointment as our Vice-Chairman on December 1, 2018. Mr. John Priore's annual bonus had a target payment of at least 70% of his base salary based on the achievement of performance criteria, which could be increased to 100% of his base salary in the discretion of our Board if such performance criteria are achieved. For 2017, the performance criteria for Mr. John Priore's annual bonus was achievement of a total company recurring operating margin greater than or equal to $56,265,000. The actual amount achieved was $59,206,617,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resulting in a bonus in the amount of $327,040, and our Board exercised its discretion to increase the total amount of Mr. John Priore's 2017 annual bonus to $350,000.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John Priore Employment Agreement also provided that, in the event of Mr. John Priore's termination of employment by the Employers without Cause or if he resigned for Good Reason, then subject to his execution of a release and compliance with restrictive covenants set forth in the John Priore Employment Agreement, he would have been entitled to:</w:t>
      </w:r>
    </w:p>
    <w:p>
      <w:pPr>
        <w:spacing w:after="0" w:line="181"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"Cause" generally means Mr. John Priore's: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 breach of the John Priore Employment Agreement;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John Priore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our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breach of the John Priore Employment Agreement by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Employers, with the actual knowledge of our Board, provide processing services with respect to adult entertainment merchant accounts; 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successor's failure to assume the John Priore Employment Agreement in writing.</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Afshin Yazdian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Yazdian Employment Agreement, Mr. Yazdian receives an annual base salary (currently $410,010 per year) and the Employers pay 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our Board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our Board exercised its discretion to increase the total amount of Mr. Yazdian's 2017 annual bonus to $232,500.</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our Board clearly communicated to him.</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purposes of the Yazdian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change in his title or reporting responsibilities such that he no longer reports to our Board or the chief executive officer of the Employers;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Vollkommer Employment Agreement, Mr. Vollkommer's receives an annual base salary ($425,000 in 2018) and, commencing in 2019, is eligible for an annual discretionary bonus ranging from 25%-50% of Mr. Vollkommer's annual base salary. Mr. Vollkommer also received a restricted stock unit award in December 2018 with a grant-date fair value $750,000, subject to a two-year service vesting schedule. Mr. Vollkommer is also eligible to receive an annual award of restricted stock units with a value of up to $750,000 on each of the first four anniversary dates of his hiring as our Chief Financial Officer, each of which would be subject to a two-year service vesting schedule.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"Cause" generally means Mr. Vollkommer's:</w:t>
      </w:r>
    </w:p>
    <w:p>
      <w:pPr>
        <w:spacing w:after="0" w:line="225" w:lineRule="exact"/>
        <w:rPr>
          <w:sz w:val="20"/>
          <w:szCs w:val="20"/>
          <w:color w:val="auto"/>
        </w:rPr>
      </w:pPr>
    </w:p>
    <w:p>
      <w:pPr>
        <w:ind w:left="660" w:right="7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arbitrary, unreasonable or willful failure to perform, in any material respect, the duties and responsibilities required under the Vollkommer Employment Agreement and assigned by the Executive Chairman from time to time (including, without limitation, continuous constructive collaboration with the Executive Chairman and other members of the management team);</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Mr. Vollkommer's duties under the Vollkommer Employment Agreement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commission of an act constituting fraud, embezzlement, breach of any fiduciary duty owed to Priority or its stockholders or other material dishonesty with respect to Priority;</w:t>
      </w:r>
    </w:p>
    <w:p>
      <w:pPr>
        <w:ind w:left="660" w:right="2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conviction of, or the filing of a plea of nolo contendere or its equivalent, with respect to a felony or any other crime involving dishonesty or moral turpitude; or</w:t>
      </w:r>
    </w:p>
    <w:p>
      <w:pPr>
        <w:ind w:left="660" w:right="2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substance abuse (for the purposes of the Vollkommer Employment Agreement substance abuse is the use of alcohol or illegal substances including misuse of otherwise legally obtained medications that otherwise interferes with Mr. Vollkommer's ability to perform the functions of the position) that is materially injurious to Priority (whether from a monetary perspective or otherwise); or</w:t>
      </w:r>
    </w:p>
    <w:p>
      <w:pPr>
        <w:spacing w:after="0" w:line="1"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material breach of Mr. Vollkommer's obligations under the Vollkommer Employment Agreement or Employee Confidentiality, Assignment of Inventions, and Non-Solicitation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Vollkommer Employment Agreement, "Good Reason" generally means: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2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Priority reduces Mr. Vollkommer's base salary or benefits (other than in connection with a proportional reduction of the base salaries or benefits in excess of twenty percent (20%) of all executive employees of Priority); or</w:t>
      </w:r>
    </w:p>
    <w:p>
      <w:pPr>
        <w:spacing w:after="0" w:line="1"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Priority materially breaches any of compensation provisions in the Vollkommer Employment Agreement, or otherwise requires Mr. Vollkommer to report to a senior executive other than the Chairman of the Board or the Chief Executive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Mr. Yazdian and Mr. Vollkommer and, prior to becoming an independent contractor on December 1, 2018, Mr. John Priore. Prior to December 1, 2018, Mr. Thomas Priore served Priority as an independent contractor and was therefore not eligible to participate in the 401(k)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compensation received by Mr. Thomas Priore and Mr. John Priore as previously described herein, no director of Priority received compensation for his or her services to Priority for the year ended December 31, 2017. The following table presents summary information regarding the total compensation for Priority's year ended December 31, 2018 for our non-employee directors:</w:t>
      </w:r>
    </w:p>
    <w:p>
      <w:pPr>
        <w:spacing w:after="0" w:line="10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Change in Pension</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vMerge w:val="continue"/>
            <w:shd w:val="clear" w:color="auto" w:fill="CCEEFF"/>
          </w:tcPr>
          <w:p>
            <w:pPr>
              <w:spacing w:after="0"/>
              <w:rPr>
                <w:sz w:val="12"/>
                <w:szCs w:val="12"/>
                <w:color w:val="auto"/>
              </w:rPr>
            </w:pPr>
          </w:p>
        </w:tc>
        <w:tc>
          <w:tcPr>
            <w:tcW w:w="1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Value and Non-</w:t>
            </w: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Name of Director</w:t>
            </w:r>
          </w:p>
        </w:tc>
        <w:tc>
          <w:tcPr>
            <w:tcW w:w="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4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3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qualified Deferred</w:t>
            </w:r>
          </w:p>
        </w:tc>
        <w:tc>
          <w:tcPr>
            <w:tcW w:w="1300" w:type="dxa"/>
            <w:vAlign w:val="bottom"/>
            <w:gridSpan w:val="2"/>
            <w:vMerge w:val="continue"/>
            <w:shd w:val="clear" w:color="auto" w:fill="CCEEFF"/>
          </w:tcPr>
          <w:p>
            <w:pPr>
              <w:spacing w:after="0"/>
              <w:rPr>
                <w:sz w:val="12"/>
                <w:szCs w:val="12"/>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1900" w:type="dxa"/>
            <w:vAlign w:val="bottom"/>
            <w:gridSpan w:val="2"/>
            <w:vMerge w:val="continue"/>
            <w:shd w:val="clear" w:color="auto" w:fill="CCEEFF"/>
          </w:tcPr>
          <w:p>
            <w:pPr>
              <w:spacing w:after="0"/>
              <w:rPr>
                <w:sz w:val="16"/>
                <w:szCs w:val="16"/>
                <w:color w:val="auto"/>
              </w:rPr>
            </w:pP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1"/>
              </w:rPr>
              <w:t>Cash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Awards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Awards $</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Compensation $</w:t>
            </w: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 Manuel</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21,625</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21,625</w:t>
            </w: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William Gahan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21,625</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21,625</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Matthew Kearney</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32,987</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32,987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19, 2018, we entered into agreements with each of our independent directors - Marc Manuel, William Gahan, and Matthew Kearney - pursuant to which, commencing as of July 25, 2018, they receive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In addition, pursuant to Mr. Kearney's agreement, Mr. Kearney will receive an additional $25,000 per year, payable in monthly cash installments, for serving as chair of our Audit Committee. Each of our independent directors are also reimbursed for reasonable and documented out-of-pocket expenses incurred by them in the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2018 YEAR END</w:t>
      </w:r>
    </w:p>
    <w:p>
      <w:pPr>
        <w:spacing w:after="0" w:line="200" w:lineRule="exact"/>
        <w:rPr>
          <w:sz w:val="20"/>
          <w:szCs w:val="20"/>
          <w:color w:val="auto"/>
        </w:rPr>
      </w:pP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provides information regarding unexercised stock options, stock that has not yet vested, and equity incentive plan awards for each NEO outstanding as of the end of 2018. Each outstanding award is represented by a separate row that indicates the number of securities underlying the award.</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18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gridSpan w:val="4"/>
            <w:shd w:val="clear" w:color="auto" w:fill="CCEEFF"/>
          </w:tcPr>
          <w:p>
            <w:pPr>
              <w:ind w:left="114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780" w:type="dxa"/>
            <w:vAlign w:val="bottom"/>
            <w:tcBorders>
              <w:bottom w:val="single" w:sz="8" w:color="auto"/>
            </w:tcBorders>
            <w:gridSpan w:val="3"/>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Equity</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32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 Stock,</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8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Stock, Units, or</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49"/>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Yet</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Yet Vested ($)</w:t>
            </w:r>
          </w:p>
        </w:tc>
        <w:tc>
          <w:tcPr>
            <w:tcW w:w="0" w:type="dxa"/>
            <w:vAlign w:val="bottom"/>
          </w:tcPr>
          <w:p>
            <w:pPr>
              <w:spacing w:after="0"/>
              <w:rPr>
                <w:sz w:val="1"/>
                <w:szCs w:val="1"/>
                <w:color w:val="auto"/>
              </w:rPr>
            </w:pPr>
          </w:p>
        </w:tc>
      </w:tr>
      <w:tr>
        <w:trPr>
          <w:trHeight w:val="192"/>
        </w:trPr>
        <w:tc>
          <w:tcPr>
            <w:tcW w:w="1800" w:type="dxa"/>
            <w:vAlign w:val="bottom"/>
            <w:vMerge w:val="continue"/>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(Exercisable) (#)</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(Unexercisable) (#)</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Price ($)</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3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162"/>
        </w:trPr>
        <w:tc>
          <w:tcPr>
            <w:tcW w:w="18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Arial" w:cs="Arial" w:eastAsia="Arial" w:hAnsi="Arial"/>
                <w:sz w:val="14"/>
                <w:szCs w:val="14"/>
                <w:color w:val="auto"/>
              </w:rPr>
              <w:t>John Priore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18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Arial" w:cs="Arial" w:eastAsia="Arial" w:hAnsi="Arial"/>
                <w:sz w:val="14"/>
                <w:szCs w:val="14"/>
                <w:color w:val="auto"/>
              </w:rPr>
              <w:t>Afshin Yazdian</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323,237</w:t>
            </w:r>
          </w:p>
        </w:tc>
        <w:tc>
          <w:tcPr>
            <w:tcW w:w="320" w:type="dxa"/>
            <w:vAlign w:val="bottom"/>
          </w:tcPr>
          <w:p>
            <w:pPr>
              <w:ind w:left="20"/>
              <w:spacing w:after="0"/>
              <w:rPr>
                <w:sz w:val="20"/>
                <w:szCs w:val="20"/>
                <w:color w:val="auto"/>
              </w:rPr>
            </w:pPr>
            <w:r>
              <w:rPr>
                <w:rFonts w:ascii="Arial" w:cs="Arial" w:eastAsia="Arial" w:hAnsi="Arial"/>
                <w:sz w:val="14"/>
                <w:szCs w:val="14"/>
                <w:color w:val="auto"/>
              </w:rPr>
              <w:t>(b)</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2,585,896</w:t>
            </w:r>
          </w:p>
        </w:tc>
        <w:tc>
          <w:tcPr>
            <w:tcW w:w="0" w:type="dxa"/>
            <w:vAlign w:val="bottom"/>
          </w:tcPr>
          <w:p>
            <w:pPr>
              <w:spacing w:after="0"/>
              <w:rPr>
                <w:sz w:val="1"/>
                <w:szCs w:val="1"/>
                <w:color w:val="auto"/>
              </w:rPr>
            </w:pPr>
          </w:p>
        </w:tc>
      </w:tr>
      <w:tr>
        <w:trPr>
          <w:trHeight w:val="141"/>
        </w:trPr>
        <w:tc>
          <w:tcPr>
            <w:tcW w:w="1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20"/>
              <w:spacing w:after="0"/>
              <w:rPr>
                <w:sz w:val="20"/>
                <w:szCs w:val="20"/>
                <w:color w:val="auto"/>
              </w:rPr>
            </w:pPr>
            <w:r>
              <w:rPr>
                <w:rFonts w:ascii="Arial" w:cs="Arial" w:eastAsia="Arial" w:hAnsi="Arial"/>
                <w:sz w:val="14"/>
                <w:szCs w:val="14"/>
                <w:color w:val="auto"/>
              </w:rPr>
              <w:t>Michael Vollkommer</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107,143</w:t>
            </w:r>
          </w:p>
        </w:tc>
        <w:tc>
          <w:tcPr>
            <w:tcW w:w="320" w:type="dxa"/>
            <w:vAlign w:val="bottom"/>
          </w:tcPr>
          <w:p>
            <w:pPr>
              <w:ind w:left="20"/>
              <w:spacing w:after="0"/>
              <w:rPr>
                <w:sz w:val="20"/>
                <w:szCs w:val="20"/>
                <w:color w:val="auto"/>
              </w:rPr>
            </w:pPr>
            <w:r>
              <w:rPr>
                <w:rFonts w:ascii="Arial" w:cs="Arial" w:eastAsia="Arial" w:hAnsi="Arial"/>
                <w:sz w:val="14"/>
                <w:szCs w:val="14"/>
                <w:color w:val="auto"/>
              </w:rPr>
              <w:t>(c)</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857,144</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the closing price per share of the Company's common stock of $8.00 as traded on the Nasdaq Global Market on December 31, 2018.</w:t>
      </w:r>
    </w:p>
    <w:p>
      <w:pPr>
        <w:spacing w:after="0" w:line="221" w:lineRule="exact"/>
        <w:rPr>
          <w:rFonts w:ascii="Arial" w:cs="Arial" w:eastAsia="Arial" w:hAnsi="Arial"/>
          <w:sz w:val="16"/>
          <w:szCs w:val="16"/>
          <w:color w:val="auto"/>
        </w:rPr>
      </w:pPr>
    </w:p>
    <w:p>
      <w:pPr>
        <w:jc w:val="both"/>
        <w:ind w:left="660" w:hanging="4"/>
        <w:spacing w:after="0" w:line="268" w:lineRule="auto"/>
        <w:tabs>
          <w:tab w:leader="none" w:pos="889" w:val="left"/>
        </w:tabs>
        <w:numPr>
          <w:ilvl w:val="0"/>
          <w:numId w:val="17"/>
        </w:numPr>
        <w:rPr>
          <w:rFonts w:ascii="Arial" w:cs="Arial" w:eastAsia="Arial" w:hAnsi="Arial"/>
          <w:sz w:val="15"/>
          <w:szCs w:val="15"/>
          <w:color w:val="auto"/>
        </w:rPr>
      </w:pPr>
      <w:r>
        <w:rPr>
          <w:rFonts w:ascii="Arial" w:cs="Arial" w:eastAsia="Arial" w:hAnsi="Arial"/>
          <w:sz w:val="15"/>
          <w:szCs w:val="15"/>
          <w:color w:val="auto"/>
        </w:rPr>
        <w:t>During 2016 and 2018, time-based and performance-based awards were made under the Priority Holdings Management Incentive Plan ("MIP") pursuant to the operating agreement of Priority Holdings, LLC. Simultaneously with the Company's July 25, 2018 business combination and recapitalization, the MIP was assumed by the Company and vesting continues pursuant to the vesting schedules associated with the grants made under the MIP. Approximately 3.0 million of the Company's shares of common stock, which approximated the fair value of the MIP awards just prior to assumption on July 25, 2018, were issued to the MIP on July 25, 2018 for vested and unvested grants associated with the MIP. Until the vesting periods have elapsed for all grants and participants under the MIP, all vested and unvested shares of the Company's common stock associated with the MIP are held by Priority Investment Equity Holdings, LLC ("PIEH"). On July 25, 2018 in connection with the Company's merger and recapitalization, Mr. Yazdain's grants under the MIP converted to 1,301,967 grants for shares of the Company's common stock held by PIEH. Of this amount, 100% of the performance-based grants are vested at December 31, 2018, but 323,237 time-based grants remain unvested. For the 323,237 time-based grants unvested at December 31, 2018, vesting is scheduled as follows: 53,873 on January 1, 2019; 215,491 on May 21, 2019; and 53,873 on January 1, 2020.</w:t>
      </w:r>
    </w:p>
    <w:p>
      <w:pPr>
        <w:spacing w:after="0" w:line="180" w:lineRule="exact"/>
        <w:rPr>
          <w:rFonts w:ascii="Arial" w:cs="Arial" w:eastAsia="Arial" w:hAnsi="Arial"/>
          <w:sz w:val="15"/>
          <w:szCs w:val="15"/>
          <w:color w:val="auto"/>
        </w:rPr>
      </w:pPr>
    </w:p>
    <w:p>
      <w:pPr>
        <w:jc w:val="both"/>
        <w:ind w:left="660" w:hanging="4"/>
        <w:spacing w:after="0" w:line="261"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107,143 relates to a December 2018 time-based restricted stock unit award that vests 50% on December 3, 2019 and 50% on December 3, 2020. At vesting, the Company has not guaranteed that the vested award will have any specific monetary value, nor may Mr. Vollkommer or the Company elect settlement in any deliverable other than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April 30, 2019 regarding the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Approximate Percentage of</w:t>
            </w:r>
          </w:p>
        </w:tc>
      </w:tr>
      <w:tr>
        <w:trPr>
          <w:trHeight w:val="203"/>
        </w:trPr>
        <w:tc>
          <w:tcPr>
            <w:tcW w:w="5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Amount and Nature of</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Outstanding Common Stock</w:t>
            </w:r>
          </w:p>
        </w:tc>
      </w:tr>
      <w:tr>
        <w:trPr>
          <w:trHeight w:val="243"/>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 and Address of Beneficial Owner (1)</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Beneficial Ownership</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(2)</w:t>
            </w:r>
          </w:p>
        </w:tc>
      </w:tr>
      <w:tr>
        <w:trPr>
          <w:trHeight w:val="169"/>
        </w:trPr>
        <w:tc>
          <w:tcPr>
            <w:tcW w:w="5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r>
      <w:tr>
        <w:trPr>
          <w:trHeight w:val="250"/>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5% or Greater Stockholders (Other than below):</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gridSpan w:val="2"/>
          </w:tcPr>
          <w:p>
            <w:pPr>
              <w:ind w:left="160"/>
              <w:spacing w:after="0"/>
              <w:rPr>
                <w:sz w:val="20"/>
                <w:szCs w:val="20"/>
                <w:color w:val="auto"/>
              </w:rPr>
            </w:pPr>
            <w:r>
              <w:rPr>
                <w:rFonts w:ascii="Arial" w:cs="Arial" w:eastAsia="Arial" w:hAnsi="Arial"/>
                <w:sz w:val="16"/>
                <w:szCs w:val="16"/>
                <w:color w:val="auto"/>
              </w:rPr>
              <w:t>None</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6"/>
                <w:szCs w:val="16"/>
                <w:i w:val="1"/>
                <w:iCs w:val="1"/>
                <w:color w:val="auto"/>
              </w:rPr>
              <w:t>Directors and Named Executive Officers: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Thomas Priore (3)</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48,820,371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37"/>
        </w:trPr>
        <w:tc>
          <w:tcPr>
            <w:tcW w:w="5360" w:type="dxa"/>
            <w:vAlign w:val="bottom"/>
            <w:gridSpan w:val="2"/>
          </w:tcPr>
          <w:p>
            <w:pPr>
              <w:ind w:left="160"/>
              <w:spacing w:after="0"/>
              <w:rPr>
                <w:sz w:val="20"/>
                <w:szCs w:val="20"/>
                <w:color w:val="auto"/>
              </w:rPr>
            </w:pPr>
            <w:r>
              <w:rPr>
                <w:rFonts w:ascii="Arial" w:cs="Arial" w:eastAsia="Arial" w:hAnsi="Arial"/>
                <w:sz w:val="16"/>
                <w:szCs w:val="16"/>
                <w:color w:val="auto"/>
              </w:rPr>
              <w:t>John Priore (4)</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9,231,296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Afshin Yazdian</w:t>
            </w:r>
          </w:p>
        </w:tc>
        <w:tc>
          <w:tcPr>
            <w:tcW w:w="2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7"/>
        </w:trPr>
        <w:tc>
          <w:tcPr>
            <w:tcW w:w="5360" w:type="dxa"/>
            <w:vAlign w:val="bottom"/>
            <w:gridSpan w:val="2"/>
          </w:tcPr>
          <w:p>
            <w:pPr>
              <w:ind w:left="160"/>
              <w:spacing w:after="0"/>
              <w:rPr>
                <w:sz w:val="20"/>
                <w:szCs w:val="20"/>
                <w:color w:val="auto"/>
              </w:rPr>
            </w:pPr>
            <w:r>
              <w:rPr>
                <w:rFonts w:ascii="Arial" w:cs="Arial" w:eastAsia="Arial" w:hAnsi="Arial"/>
                <w:sz w:val="16"/>
                <w:szCs w:val="16"/>
                <w:color w:val="auto"/>
              </w:rPr>
              <w:t>Michael Vollkommer</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William Gahan</w:t>
            </w:r>
          </w:p>
        </w:tc>
        <w:tc>
          <w:tcPr>
            <w:tcW w:w="2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7"/>
        </w:trPr>
        <w:tc>
          <w:tcPr>
            <w:tcW w:w="5360" w:type="dxa"/>
            <w:vAlign w:val="bottom"/>
            <w:gridSpan w:val="2"/>
          </w:tcPr>
          <w:p>
            <w:pPr>
              <w:ind w:left="160"/>
              <w:spacing w:after="0"/>
              <w:rPr>
                <w:sz w:val="20"/>
                <w:szCs w:val="20"/>
                <w:color w:val="auto"/>
              </w:rPr>
            </w:pPr>
            <w:r>
              <w:rPr>
                <w:rFonts w:ascii="Arial" w:cs="Arial" w:eastAsia="Arial" w:hAnsi="Arial"/>
                <w:sz w:val="16"/>
                <w:szCs w:val="16"/>
                <w:color w:val="auto"/>
              </w:rPr>
              <w:t>Matthew Kearney</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12,457</w:t>
            </w:r>
          </w:p>
        </w:tc>
        <w:tc>
          <w:tcPr>
            <w:tcW w:w="100" w:type="dxa"/>
            <w:vAlign w:val="bottom"/>
          </w:tcPr>
          <w:p>
            <w:pPr>
              <w:spacing w:after="0"/>
              <w:rPr>
                <w:sz w:val="20"/>
                <w:szCs w:val="20"/>
                <w:color w:val="auto"/>
              </w:rPr>
            </w:pPr>
          </w:p>
        </w:tc>
        <w:tc>
          <w:tcPr>
            <w:tcW w:w="216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All directors and executive officers as a group (11 individuals)</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60,119,424</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33"/>
        </w:trPr>
        <w:tc>
          <w:tcPr>
            <w:tcW w:w="5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125" w:lineRule="exact"/>
        <w:rPr>
          <w:sz w:val="20"/>
          <w:szCs w:val="20"/>
          <w:color w:val="auto"/>
        </w:rPr>
      </w:pPr>
    </w:p>
    <w:p>
      <w:pPr>
        <w:ind w:left="800" w:hanging="144"/>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6"/>
          <w:szCs w:val="16"/>
          <w:color w:val="auto"/>
        </w:rPr>
        <w:t>Less than 1%</w:t>
      </w:r>
    </w:p>
    <w:p>
      <w:pPr>
        <w:spacing w:after="0" w:line="200" w:lineRule="exact"/>
        <w:rPr>
          <w:sz w:val="20"/>
          <w:szCs w:val="20"/>
          <w:color w:val="auto"/>
        </w:rPr>
      </w:pPr>
    </w:p>
    <w:p>
      <w:pPr>
        <w:spacing w:after="0" w:line="282" w:lineRule="exact"/>
        <w:rPr>
          <w:sz w:val="20"/>
          <w:szCs w:val="20"/>
          <w:color w:val="auto"/>
        </w:rPr>
      </w:pPr>
    </w:p>
    <w:p>
      <w:pPr>
        <w:ind w:left="660" w:hanging="4"/>
        <w:spacing w:after="0" w:line="275" w:lineRule="auto"/>
        <w:tabs>
          <w:tab w:leader="none" w:pos="9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Priority Technology Holdings, Inc., 2001 Westside Parkway, Alpharetta, GA 30004.</w:t>
      </w:r>
    </w:p>
    <w:p>
      <w:pPr>
        <w:spacing w:after="0" w:line="172" w:lineRule="exact"/>
        <w:rPr>
          <w:rFonts w:ascii="Arial" w:cs="Arial" w:eastAsia="Arial" w:hAnsi="Arial"/>
          <w:sz w:val="16"/>
          <w:szCs w:val="16"/>
          <w:color w:val="auto"/>
        </w:rPr>
      </w:pPr>
    </w:p>
    <w:p>
      <w:pPr>
        <w:jc w:val="both"/>
        <w:ind w:left="660" w:hanging="4"/>
        <w:spacing w:after="0" w:line="315" w:lineRule="auto"/>
        <w:tabs>
          <w:tab w:leader="none" w:pos="889"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percentage of beneficial ownership of Priority is calculated based on 67,034,980 shares of common stock outstanding. The amount of beneficial ownership for each individual or entity includes shares of common stock issuable in respect of private warrants. Unless otherwise indicated, we believe that all persons named in the table have sole voting and investment power with respect to all shares of common stock beneficially owned by them as of the date indicated.</w:t>
      </w:r>
    </w:p>
    <w:p>
      <w:pPr>
        <w:spacing w:after="0" w:line="149" w:lineRule="exact"/>
        <w:rPr>
          <w:rFonts w:ascii="Arial" w:cs="Arial" w:eastAsia="Arial" w:hAnsi="Arial"/>
          <w:sz w:val="14"/>
          <w:szCs w:val="14"/>
          <w:color w:val="auto"/>
        </w:rPr>
      </w:pPr>
    </w:p>
    <w:p>
      <w:pPr>
        <w:jc w:val="both"/>
        <w:ind w:left="660" w:hanging="4"/>
        <w:spacing w:after="0" w:line="278" w:lineRule="auto"/>
        <w:tabs>
          <w:tab w:leader="none" w:pos="88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3,026,208 shares of the Company's common stock directly held by Priority Incentive Equity Holdings, LLC. Following the business combination in July 2018, Thomas Priore became the managing member of Priority Investment Holdings LLC, which is the non-member manager of Priority Incentive Equity Holdings, LLC. Thomas Priore may be deemed to beneficially own such shares of stock directly or indirectly controlled by him. The address of Thomas Priore and each of the other entities listed in this footnote is c/o Priority Technology Holdings, Inc., 2001 Westside Parkway, Alpharetta, GA 30004.</w:t>
      </w:r>
    </w:p>
    <w:p>
      <w:pPr>
        <w:spacing w:after="0" w:line="146"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As of April 30, 2019, Thomas Priore had pledged, hypothecated or granted security interests in substantially 47,732,899 shares of our common stock held by him pursuant to a margin loan agreement. In the event of a default under the margin loan agreement, the secured parties may foreclose upon any and all shares of common stock pledged to them.</w:t>
      </w:r>
    </w:p>
    <w:p>
      <w:pPr>
        <w:spacing w:after="0" w:line="156" w:lineRule="exact"/>
        <w:rPr>
          <w:sz w:val="20"/>
          <w:szCs w:val="20"/>
          <w:color w:val="auto"/>
        </w:rPr>
      </w:pPr>
    </w:p>
    <w:p>
      <w:pPr>
        <w:ind w:left="660" w:hanging="4"/>
        <w:spacing w:after="0" w:line="275" w:lineRule="auto"/>
        <w:tabs>
          <w:tab w:leader="none" w:pos="8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9,231,296 shares of the Company's common stock directly held by AESV Credit Card Consulting LLC, which is controlled by John Priore. John Priore may be deemed to beneficially own such shares of stock directly or indirectly controlled by him.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Priority has a management services agreement and an annual bonus payout with PSD Partners LP, whose Managing Member is Thomas Priore, who is the President, Chief Executive Officer and Chairman and majority owner of the Company. For the years ended December 31, 2018, 2017 and 2016, Priority incurred a total of $1,137,542, $850,600, and $838,758, respectively, for costs related to management services fees, annual bonus payout and occupancy fees.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eTab</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2019, a subsidiary of the Company, Priority Hospitality Technology, LLC ("PHT"), acquired substantially all of the operating assets and assumed certain liabilities of eTab, LLC ("eTab") and CUMULUS POS, LLC ("Cumulus") under asset contribution agreements. Prior to these transactions, eTab was 80% owned by Thomas Priore, our President, Chief Executive Officer and Chairman. No cash consideration was paid to the sellers of eTab or Cumulus at acquisition. As consideration for these acquired net assets, the sellers were issued preferred equity interests in PHT. Under these preferred equity interests, the sellers are eligible to receive up to $4.5 million of profits earned by PHT, plus a preferred yield on any of the $4.5 million amount that has not been distributed to them. Thomas Priore received and owns 80% of such preferred equity interests in PHT. Once a total of $4.5 million plus the preferred yield has been distributed to the holders of the preferred equity interests, the preferred equity interests will cease to exist. We will recognize the fair value of the net assets acquired since the consideration was of a non-cash nature. We are continuing to finalize the estimated fair values of the net assets acquired.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years in each of the following categories including related expenses were:</w:t>
      </w:r>
    </w:p>
    <w:p>
      <w:pPr>
        <w:spacing w:after="0" w:line="225" w:lineRule="exact"/>
        <w:rPr>
          <w:sz w:val="20"/>
          <w:szCs w:val="20"/>
          <w:color w:val="auto"/>
        </w:rPr>
      </w:pPr>
    </w:p>
    <w:tbl>
      <w:tblPr>
        <w:tblLayout w:type="fixed"/>
        <w:tblInd w:w="1740" w:type="dxa"/>
        <w:tblCellMar>
          <w:top w:w="0" w:type="dxa"/>
          <w:left w:w="0" w:type="dxa"/>
          <w:bottom w:w="0" w:type="dxa"/>
          <w:right w:w="0" w:type="dxa"/>
        </w:tblCellMar>
      </w:tblPr>
      <w:tr>
        <w:trPr>
          <w:trHeight w:val="264"/>
        </w:trPr>
        <w:tc>
          <w:tcPr>
            <w:tcW w:w="386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2017</w:t>
            </w:r>
          </w:p>
        </w:tc>
      </w:tr>
      <w:tr>
        <w:trPr>
          <w:trHeight w:val="189"/>
        </w:trPr>
        <w:tc>
          <w:tcPr>
            <w:tcW w:w="3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864,013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816,791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2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2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864,013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816,791</w:t>
            </w:r>
          </w:p>
        </w:tc>
      </w:tr>
      <w:tr>
        <w:trPr>
          <w:trHeight w:val="20"/>
        </w:trPr>
        <w:tc>
          <w:tcPr>
            <w:tcW w:w="3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Fees for audit services for 2018 include the audit of the Company's consolidated financial statements as of and for the year ended December 31, 2018, review of the Company's quarterly report on Form 10-Q for the three months and nine months ended September 30, 2018, and services related to the accounting and reporting for the July 2018 business combination. Fees for audit services for 2017 include audits of the Company's consolidated financial statements in compliance with the auditing standards of the Public Company Accounting Oversight Board for the years ended December 31, 2017, 2016, and 2015. The Company was not required to have an audit of its internal control over financial reporting for any year.</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also adopted policies and procedures for pre-approving all non-audit work performed by RSM US LLP ("RSM"). The Audit Committee has pre-approved the use, as needed, of RSM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RSM in the table below were pre-approved by the Audit Committee.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 Exhibits. The following exhibits are filed with this Amendment: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Exhibit</w:t>
            </w:r>
          </w:p>
        </w:tc>
        <w:tc>
          <w:tcPr>
            <w:tcW w:w="10160" w:type="dxa"/>
            <w:vAlign w:val="bottom"/>
            <w:shd w:val="clear" w:color="auto" w:fill="CCEEFF"/>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tcBorders>
              <w:top w:val="single" w:sz="8" w:color="auto"/>
            </w:tcBorders>
          </w:tcPr>
          <w:p>
            <w:pPr>
              <w:spacing w:after="0"/>
              <w:rPr>
                <w:sz w:val="21"/>
                <w:szCs w:val="21"/>
                <w:color w:val="auto"/>
              </w:rPr>
            </w:pPr>
          </w:p>
        </w:tc>
      </w:tr>
      <w:tr>
        <w:trPr>
          <w:trHeight w:val="229"/>
        </w:trPr>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 of Principal Executive Officer pursuant to Rule 13a-14 and Rule 15d-14(a), promulgated under the Securities and Exchange</w:t>
            </w:r>
          </w:p>
        </w:tc>
      </w:tr>
      <w:tr>
        <w:trPr>
          <w:trHeight w:val="237"/>
        </w:trPr>
        <w:tc>
          <w:tcPr>
            <w:tcW w:w="1160" w:type="dxa"/>
            <w:vAlign w:val="bottom"/>
            <w:gridSpan w:val="3"/>
            <w:shd w:val="clear" w:color="auto" w:fill="CCEEFF"/>
          </w:tcPr>
          <w:p>
            <w:pPr>
              <w:ind w:left="40"/>
              <w:spacing w:after="0" w:line="190"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100" w:type="dxa"/>
            <w:vAlign w:val="bottom"/>
            <w:shd w:val="clear" w:color="auto" w:fill="CCEEFF"/>
          </w:tcPr>
          <w:p>
            <w:pPr>
              <w:spacing w:after="0"/>
              <w:rPr>
                <w:sz w:val="20"/>
                <w:szCs w:val="20"/>
                <w:color w:val="auto"/>
              </w:rPr>
            </w:pPr>
          </w:p>
        </w:tc>
        <w:tc>
          <w:tcPr>
            <w:tcW w:w="10160" w:type="dxa"/>
            <w:vAlign w:val="bottom"/>
            <w:shd w:val="clear" w:color="auto" w:fill="CCEEFF"/>
          </w:tcPr>
          <w:p>
            <w:pPr>
              <w:ind w:left="40"/>
              <w:spacing w:after="0" w:line="190" w:lineRule="exact"/>
              <w:rPr>
                <w:sz w:val="20"/>
                <w:szCs w:val="20"/>
                <w:color w:val="auto"/>
              </w:rPr>
            </w:pPr>
            <w:r>
              <w:rPr>
                <w:rFonts w:ascii="Arial" w:cs="Arial" w:eastAsia="Arial" w:hAnsi="Arial"/>
                <w:sz w:val="18"/>
                <w:szCs w:val="18"/>
                <w:color w:val="auto"/>
              </w:rPr>
              <w:t>Act of 1934, as amended.</w:t>
            </w:r>
          </w:p>
        </w:tc>
      </w:tr>
      <w:tr>
        <w:trPr>
          <w:trHeight w:val="229"/>
        </w:trPr>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1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93"/>
              </w:rPr>
              <w:t>Certification of Principal Financial Officer pursuant to Rule 13a-14 and Rule 15d-14(a), promulgated under the Securities and Exchange</w:t>
            </w:r>
          </w:p>
        </w:tc>
      </w:tr>
      <w:tr>
        <w:trPr>
          <w:trHeight w:val="190"/>
        </w:trPr>
        <w:tc>
          <w:tcPr>
            <w:tcW w:w="1160" w:type="dxa"/>
            <w:vAlign w:val="bottom"/>
            <w:gridSpan w:val="3"/>
          </w:tcPr>
          <w:p>
            <w:pPr>
              <w:ind w:left="40"/>
              <w:spacing w:after="0" w:line="190"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100" w:type="dxa"/>
            <w:vAlign w:val="bottom"/>
          </w:tcPr>
          <w:p>
            <w:pPr>
              <w:spacing w:after="0"/>
              <w:rPr>
                <w:sz w:val="16"/>
                <w:szCs w:val="16"/>
                <w:color w:val="auto"/>
              </w:rPr>
            </w:pPr>
          </w:p>
        </w:tc>
        <w:tc>
          <w:tcPr>
            <w:tcW w:w="10160" w:type="dxa"/>
            <w:vAlign w:val="bottom"/>
          </w:tcPr>
          <w:p>
            <w:pPr>
              <w:ind w:left="40"/>
              <w:spacing w:after="0" w:line="190" w:lineRule="exact"/>
              <w:rPr>
                <w:sz w:val="20"/>
                <w:szCs w:val="20"/>
                <w:color w:val="auto"/>
              </w:rPr>
            </w:pPr>
            <w:r>
              <w:rPr>
                <w:rFonts w:ascii="Arial" w:cs="Arial" w:eastAsia="Arial" w:hAnsi="Arial"/>
                <w:sz w:val="18"/>
                <w:szCs w:val="18"/>
                <w:color w:val="auto"/>
              </w:rPr>
              <w:t>Act of 1934, as amended.</w:t>
            </w:r>
          </w:p>
        </w:tc>
      </w:tr>
      <w:tr>
        <w:trPr>
          <w:trHeight w:val="723"/>
        </w:trPr>
        <w:tc>
          <w:tcPr>
            <w:tcW w:w="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w w:val="96"/>
              </w:rPr>
              <w:t>PRIORITY TECHNOLOGY HOLDINGS, INC.</w:t>
            </w:r>
          </w:p>
        </w:tc>
      </w:tr>
      <w:tr>
        <w:trPr>
          <w:trHeight w:val="702"/>
        </w:trPr>
        <w:tc>
          <w:tcPr>
            <w:tcW w:w="3320" w:type="dxa"/>
            <w:vAlign w:val="bottom"/>
          </w:tcPr>
          <w:p>
            <w:pPr>
              <w:spacing w:after="0"/>
              <w:rPr>
                <w:sz w:val="20"/>
                <w:szCs w:val="20"/>
                <w:color w:val="auto"/>
              </w:rPr>
            </w:pPr>
            <w:r>
              <w:rPr>
                <w:rFonts w:ascii="Arial" w:cs="Arial" w:eastAsia="Arial" w:hAnsi="Arial"/>
                <w:sz w:val="18"/>
                <w:szCs w:val="18"/>
                <w:color w:val="auto"/>
              </w:rPr>
              <w:t>April 30, 2019</w:t>
            </w:r>
          </w:p>
        </w:tc>
        <w:tc>
          <w:tcPr>
            <w:tcW w:w="26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 Thomas C. Priore</w:t>
            </w:r>
          </w:p>
        </w:tc>
      </w:tr>
      <w:tr>
        <w:trPr>
          <w:trHeight w:val="222"/>
        </w:trPr>
        <w:tc>
          <w:tcPr>
            <w:tcW w:w="33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C. Priore</w:t>
            </w:r>
          </w:p>
        </w:tc>
        <w:tc>
          <w:tcPr>
            <w:tcW w:w="2280" w:type="dxa"/>
            <w:vAlign w:val="bottom"/>
          </w:tcPr>
          <w:p>
            <w:pPr>
              <w:spacing w:after="0"/>
              <w:rPr>
                <w:sz w:val="19"/>
                <w:szCs w:val="19"/>
                <w:color w:val="auto"/>
              </w:rPr>
            </w:pPr>
          </w:p>
        </w:tc>
      </w:tr>
      <w:tr>
        <w:trPr>
          <w:trHeight w:val="216"/>
        </w:trPr>
        <w:tc>
          <w:tcPr>
            <w:tcW w:w="3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w w:val="96"/>
              </w:rPr>
              <w:t>President, Chief Executive Officer and Chairman</w:t>
            </w:r>
          </w:p>
        </w:tc>
      </w:tr>
      <w:tr>
        <w:trPr>
          <w:trHeight w:val="230"/>
        </w:trPr>
        <w:tc>
          <w:tcPr>
            <w:tcW w:w="3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29"/>
        </w:trPr>
        <w:tc>
          <w:tcPr>
            <w:tcW w:w="3320" w:type="dxa"/>
            <w:vAlign w:val="bottom"/>
          </w:tcPr>
          <w:p>
            <w:pPr>
              <w:spacing w:after="0"/>
              <w:rPr>
                <w:sz w:val="24"/>
                <w:szCs w:val="24"/>
                <w:color w:val="auto"/>
              </w:rPr>
            </w:pP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48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940"/>
          </w:cols>
          <w:pgMar w:left="240" w:top="125" w:right="7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Priority Technology Holdings, Inc.; and</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02" w:lineRule="exact"/>
        <w:rPr>
          <w:sz w:val="20"/>
          <w:szCs w:val="20"/>
          <w:color w:val="auto"/>
        </w:rPr>
      </w:pPr>
    </w:p>
    <w:p>
      <w:pPr>
        <w:ind w:left="1940"/>
        <w:spacing w:after="0"/>
        <w:tabs>
          <w:tab w:leader="none" w:pos="708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400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63"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302 OF THE SARBANES-OXLEY ACT OF 2002</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 Michael Vollkommer,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Priority Technology Holdings, Inc.; and</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02" w:lineRule="exact"/>
        <w:rPr>
          <w:sz w:val="20"/>
          <w:szCs w:val="20"/>
          <w:color w:val="auto"/>
        </w:rPr>
      </w:pPr>
    </w:p>
    <w:p>
      <w:pPr>
        <w:ind w:left="2040"/>
        <w:spacing w:after="0"/>
        <w:tabs>
          <w:tab w:leader="none" w:pos="702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7"/>
          <w:szCs w:val="17"/>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2289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Michael Vollkommer</w:t>
      </w:r>
    </w:p>
    <w:p>
      <w:pPr>
        <w:spacing w:after="0" w:line="63"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4500"/>
        <w:spacing w:after="0"/>
        <w:rPr>
          <w:sz w:val="20"/>
          <w:szCs w:val="20"/>
          <w:color w:val="auto"/>
        </w:rPr>
      </w:pPr>
      <w:r>
        <w:rPr>
          <w:rFonts w:ascii="Arial" w:cs="Arial" w:eastAsia="Arial" w:hAnsi="Arial"/>
          <w:sz w:val="18"/>
          <w:szCs w:val="18"/>
          <w:i w:val="1"/>
          <w:iCs w:val="1"/>
          <w:color w:val="auto"/>
        </w:rPr>
        <w:t>(Principal Accounting and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4"/>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2019-12-03T01:13:12Z</dcterms:created>
  <dcterms:modified xsi:type="dcterms:W3CDTF">2019-12-03T01:13:12Z</dcterms:modified>
</cp:coreProperties>
</file>