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736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7369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140" w:type="dxa"/>
            <w:vAlign w:val="bottom"/>
            <w:gridSpan w:val="2"/>
            <w:vMerge w:val="restart"/>
          </w:tcPr>
          <w:p>
            <w:pPr>
              <w:spacing w:after="0"/>
              <w:rPr>
                <w:rFonts w:ascii="Arial" w:cs="Arial" w:eastAsia="Arial" w:hAnsi="Arial"/>
                <w:sz w:val="16"/>
                <w:szCs w:val="16"/>
                <w:color w:val="0000EE"/>
                <w:w w:val="96"/>
              </w:rPr>
            </w:pPr>
            <w:hyperlink r:id="rId12">
              <w:r>
                <w:rPr>
                  <w:rFonts w:ascii="Arial" w:cs="Arial" w:eastAsia="Arial" w:hAnsi="Arial"/>
                  <w:sz w:val="16"/>
                  <w:szCs w:val="16"/>
                  <w:color w:val="0000EE"/>
                  <w:w w:val="96"/>
                </w:rPr>
                <w:t>Hipp Stephen W</w:t>
              </w:r>
            </w:hyperlink>
          </w:p>
        </w:tc>
        <w:tc>
          <w:tcPr>
            <w:tcW w:w="10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0" w:type="dxa"/>
            <w:vAlign w:val="bottom"/>
            <w:gridSpan w:val="2"/>
          </w:tcPr>
          <w:p>
            <w:pPr>
              <w:spacing w:after="0" w:line="80" w:lineRule="exact"/>
              <w:rPr>
                <w:rFonts w:ascii="Arial" w:cs="Arial" w:eastAsia="Arial" w:hAnsi="Arial"/>
                <w:sz w:val="9"/>
                <w:szCs w:val="9"/>
                <w:color w:val="0000EE"/>
              </w:rPr>
            </w:pPr>
            <w:hyperlink r:id="rId13">
              <w:r>
                <w:rPr>
                  <w:rFonts w:ascii="Arial" w:cs="Arial" w:eastAsia="Arial" w:hAnsi="Arial"/>
                  <w:sz w:val="9"/>
                  <w:szCs w:val="9"/>
                  <w:color w:val="0000EE"/>
                </w:rPr>
                <w:t xml:space="preserve">Priority Technology Holdings, Inc. </w:t>
              </w:r>
            </w:hyperlink>
            <w:r>
              <w:rPr>
                <w:rFonts w:ascii="Arial" w:cs="Arial" w:eastAsia="Arial" w:hAnsi="Arial"/>
                <w:sz w:val="9"/>
                <w:szCs w:val="9"/>
                <w:color w:val="000000"/>
              </w:rPr>
              <w:t>[</w:t>
            </w:r>
            <w:r>
              <w:rPr>
                <w:rFonts w:ascii="Arial" w:cs="Arial" w:eastAsia="Arial" w:hAnsi="Arial"/>
                <w:sz w:val="9"/>
                <w:szCs w:val="9"/>
                <w:color w:val="0000EE"/>
              </w:rPr>
              <w:t xml:space="preserve"> </w:t>
            </w:r>
            <w:r>
              <w:rPr>
                <w:rFonts w:ascii="Arial" w:cs="Arial" w:eastAsia="Arial" w:hAnsi="Arial"/>
                <w:sz w:val="8"/>
                <w:szCs w:val="8"/>
                <w:color w:val="0000FF"/>
              </w:rPr>
              <w:t>PRTH</w:t>
            </w:r>
            <w:r>
              <w:rPr>
                <w:rFonts w:ascii="Arial" w:cs="Arial" w:eastAsia="Arial" w:hAnsi="Arial"/>
                <w:sz w:val="9"/>
                <w:szCs w:val="9"/>
                <w:color w:val="0000EE"/>
              </w:rPr>
              <w:t xml:space="preserve"> </w:t>
            </w:r>
            <w:r>
              <w:rPr>
                <w:rFonts w:ascii="Arial" w:cs="Arial" w:eastAsia="Arial" w:hAnsi="Arial"/>
                <w:sz w:val="9"/>
                <w:szCs w:val="9"/>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tcBorders>
              <w:bottom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216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60" w:type="dxa"/>
            <w:vAlign w:val="bottom"/>
            <w:vMerge w:val="restart"/>
          </w:tcPr>
          <w:p>
            <w:pPr>
              <w:ind w:left="260"/>
              <w:spacing w:after="0" w:line="138" w:lineRule="exact"/>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5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4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180" w:type="dxa"/>
            <w:vAlign w:val="bottom"/>
            <w:gridSpan w:val="3"/>
          </w:tcPr>
          <w:p>
            <w:pPr>
              <w:spacing w:after="0"/>
              <w:rPr>
                <w:sz w:val="20"/>
                <w:szCs w:val="20"/>
                <w:color w:val="auto"/>
              </w:rPr>
            </w:pPr>
            <w:r>
              <w:rPr>
                <w:rFonts w:ascii="Arial" w:cs="Arial" w:eastAsia="Arial" w:hAnsi="Arial"/>
                <w:sz w:val="13"/>
                <w:szCs w:val="13"/>
                <w:color w:val="0000FF"/>
              </w:rPr>
              <w:t>2001 WESTSIDE PARKWAY</w:t>
            </w:r>
          </w:p>
        </w:tc>
        <w:tc>
          <w:tcPr>
            <w:tcW w:w="1500" w:type="dxa"/>
            <w:vAlign w:val="bottom"/>
          </w:tcPr>
          <w:p>
            <w:pPr>
              <w:spacing w:after="0"/>
              <w:rPr>
                <w:sz w:val="17"/>
                <w:szCs w:val="17"/>
                <w:color w:val="auto"/>
              </w:rPr>
            </w:pPr>
          </w:p>
        </w:tc>
        <w:tc>
          <w:tcPr>
            <w:tcW w:w="2360" w:type="dxa"/>
            <w:vAlign w:val="bottom"/>
            <w:gridSpan w:val="3"/>
          </w:tcPr>
          <w:p>
            <w:pPr>
              <w:ind w:left="120"/>
              <w:spacing w:after="0"/>
              <w:rPr>
                <w:sz w:val="20"/>
                <w:szCs w:val="20"/>
                <w:color w:val="auto"/>
              </w:rPr>
            </w:pPr>
            <w:r>
              <w:rPr>
                <w:rFonts w:ascii="Arial" w:cs="Arial" w:eastAsia="Arial" w:hAnsi="Arial"/>
                <w:sz w:val="13"/>
                <w:szCs w:val="13"/>
                <w:color w:val="0000FF"/>
              </w:rPr>
              <w:t>03/22/2023</w:t>
            </w: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0000FF"/>
              </w:rPr>
              <w:t>SUITE 155</w:t>
            </w: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240" w:type="dxa"/>
            <w:vAlign w:val="bottom"/>
            <w:tcBorders>
              <w:bottom w:val="single" w:sz="8" w:color="2C2C2C"/>
            </w:tcBorders>
          </w:tcPr>
          <w:p>
            <w:pPr>
              <w:spacing w:after="0"/>
              <w:rPr>
                <w:sz w:val="18"/>
                <w:szCs w:val="18"/>
                <w:color w:val="auto"/>
              </w:rPr>
            </w:pPr>
          </w:p>
        </w:tc>
        <w:tc>
          <w:tcPr>
            <w:tcW w:w="15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7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800" w:type="dxa"/>
            <w:vAlign w:val="bottom"/>
            <w:gridSpan w:val="2"/>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3"/>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33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180" w:type="dxa"/>
            <w:vAlign w:val="bottom"/>
            <w:gridSpan w:val="3"/>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0000FF"/>
              </w:rPr>
              <w:t>ALPHARETTA</w:t>
            </w:r>
          </w:p>
        </w:tc>
        <w:tc>
          <w:tcPr>
            <w:tcW w:w="1040" w:type="dxa"/>
            <w:vAlign w:val="bottom"/>
          </w:tcPr>
          <w:p>
            <w:pPr>
              <w:ind w:left="100"/>
              <w:spacing w:after="0"/>
              <w:rPr>
                <w:sz w:val="20"/>
                <w:szCs w:val="20"/>
                <w:color w:val="auto"/>
              </w:rPr>
            </w:pPr>
            <w:r>
              <w:rPr>
                <w:rFonts w:ascii="Arial" w:cs="Arial" w:eastAsia="Arial" w:hAnsi="Arial"/>
                <w:sz w:val="13"/>
                <w:szCs w:val="13"/>
                <w:color w:val="0000FF"/>
              </w:rPr>
              <w:t>GA</w:t>
            </w:r>
          </w:p>
        </w:tc>
        <w:tc>
          <w:tcPr>
            <w:tcW w:w="1500" w:type="dxa"/>
            <w:vAlign w:val="bottom"/>
          </w:tcPr>
          <w:p>
            <w:pPr>
              <w:ind w:left="300"/>
              <w:spacing w:after="0"/>
              <w:rPr>
                <w:sz w:val="20"/>
                <w:szCs w:val="20"/>
                <w:color w:val="auto"/>
              </w:rPr>
            </w:pPr>
            <w:r>
              <w:rPr>
                <w:rFonts w:ascii="Arial" w:cs="Arial" w:eastAsia="Arial" w:hAnsi="Arial"/>
                <w:sz w:val="13"/>
                <w:szCs w:val="13"/>
                <w:color w:val="0000FF"/>
              </w:rPr>
              <w:t>30004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0"/>
                <w:szCs w:val="10"/>
                <w:color w:val="auto"/>
              </w:rPr>
              <w:t>(City)</w:t>
            </w:r>
          </w:p>
        </w:tc>
        <w:tc>
          <w:tcPr>
            <w:tcW w:w="1040" w:type="dxa"/>
            <w:vAlign w:val="bottom"/>
          </w:tcPr>
          <w:p>
            <w:pPr>
              <w:ind w:left="100"/>
              <w:spacing w:after="0"/>
              <w:rPr>
                <w:sz w:val="20"/>
                <w:szCs w:val="20"/>
                <w:color w:val="auto"/>
              </w:rPr>
            </w:pPr>
            <w:r>
              <w:rPr>
                <w:rFonts w:ascii="Arial" w:cs="Arial" w:eastAsia="Arial" w:hAnsi="Arial"/>
                <w:sz w:val="10"/>
                <w:szCs w:val="10"/>
                <w:color w:val="auto"/>
              </w:rPr>
              <w:t>(State)</w:t>
            </w:r>
          </w:p>
        </w:tc>
        <w:tc>
          <w:tcPr>
            <w:tcW w:w="1500" w:type="dxa"/>
            <w:vAlign w:val="bottom"/>
          </w:tcPr>
          <w:p>
            <w:pPr>
              <w:ind w:left="30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3"/>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2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380" w:type="dxa"/>
            <w:vAlign w:val="bottom"/>
            <w:tcBorders>
              <w:top w:val="single" w:sz="8" w:color="2C2C2C"/>
            </w:tcBorders>
            <w:vMerge w:val="restart"/>
          </w:tcPr>
          <w:p>
            <w:pPr>
              <w:jc w:val="right"/>
              <w:ind w:right="82"/>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tcBorders>
              <w:top w:val="single" w:sz="8" w:color="2C2C2C"/>
            </w:tcBorders>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0000FF"/>
              </w:rPr>
              <w:t>148,297</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Hayden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Anderson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2"/>
          </w:tcPr>
          <w:p>
            <w:pPr>
              <w:jc w:val="right"/>
              <w:ind w:right="55"/>
              <w:spacing w:after="0"/>
              <w:rPr>
                <w:sz w:val="20"/>
                <w:szCs w:val="20"/>
                <w:color w:val="auto"/>
              </w:rPr>
            </w:pPr>
            <w:r>
              <w:rPr>
                <w:rFonts w:ascii="Arial" w:cs="Arial" w:eastAsia="Arial" w:hAnsi="Arial"/>
                <w:sz w:val="13"/>
                <w:szCs w:val="13"/>
                <w:color w:val="0000FF"/>
              </w:rPr>
              <w:t>8,750</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I</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Rogers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Hipp -</w:t>
            </w:r>
          </w:p>
        </w:tc>
        <w:tc>
          <w:tcPr>
            <w:tcW w:w="0" w:type="dxa"/>
            <w:vAlign w:val="bottom"/>
          </w:tcPr>
          <w:p>
            <w:pPr>
              <w:spacing w:after="0"/>
              <w:rPr>
                <w:sz w:val="1"/>
                <w:szCs w:val="1"/>
                <w:color w:val="auto"/>
              </w:rPr>
            </w:pPr>
          </w:p>
        </w:tc>
      </w:tr>
      <w:tr>
        <w:trPr>
          <w:trHeight w:val="251"/>
        </w:trPr>
        <w:tc>
          <w:tcPr>
            <w:tcW w:w="2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UTMA</w:t>
            </w:r>
            <w:r>
              <w:rPr>
                <w:rFonts w:ascii="Arial" w:cs="Arial" w:eastAsia="Arial" w:hAnsi="Arial"/>
                <w:sz w:val="16"/>
                <w:szCs w:val="16"/>
                <w:color w:val="008000"/>
                <w:vertAlign w:val="superscript"/>
              </w:rPr>
              <w:t>(1)</w:t>
            </w: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0"/>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8"/>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20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2"/>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vMerge w:val="restart"/>
          </w:tcPr>
          <w:p>
            <w:pPr>
              <w:ind w:left="20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3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ind w:left="40"/>
              <w:spacing w:after="0"/>
              <w:rPr>
                <w:sz w:val="20"/>
                <w:szCs w:val="20"/>
                <w:color w:val="auto"/>
              </w:rPr>
            </w:pPr>
            <w:r>
              <w:rPr>
                <w:rFonts w:ascii="Arial" w:cs="Arial" w:eastAsia="Arial" w:hAnsi="Arial"/>
                <w:sz w:val="10"/>
                <w:szCs w:val="10"/>
                <w:color w:val="0000FF"/>
              </w:rPr>
              <w:t>Restricted Stock Unit</w:t>
            </w:r>
          </w:p>
        </w:tc>
        <w:tc>
          <w:tcPr>
            <w:tcW w:w="740" w:type="dxa"/>
            <w:vAlign w:val="bottom"/>
          </w:tcPr>
          <w:p>
            <w:pPr>
              <w:ind w:left="400"/>
              <w:spacing w:after="0"/>
              <w:rPr>
                <w:sz w:val="20"/>
                <w:szCs w:val="20"/>
                <w:color w:val="auto"/>
              </w:rPr>
            </w:pPr>
            <w:r>
              <w:rPr>
                <w:rFonts w:ascii="Arial" w:cs="Arial" w:eastAsia="Arial" w:hAnsi="Arial"/>
                <w:sz w:val="8"/>
                <w:szCs w:val="8"/>
                <w:color w:val="008000"/>
              </w:rPr>
              <w:t>(2)</w:t>
            </w:r>
          </w:p>
        </w:tc>
        <w:tc>
          <w:tcPr>
            <w:tcW w:w="860" w:type="dxa"/>
            <w:vAlign w:val="bottom"/>
          </w:tcPr>
          <w:p>
            <w:pPr>
              <w:jc w:val="right"/>
              <w:ind w:right="154"/>
              <w:spacing w:after="0"/>
              <w:rPr>
                <w:sz w:val="20"/>
                <w:szCs w:val="20"/>
                <w:color w:val="auto"/>
              </w:rPr>
            </w:pPr>
            <w:r>
              <w:rPr>
                <w:rFonts w:ascii="Arial" w:cs="Arial" w:eastAsia="Arial" w:hAnsi="Arial"/>
                <w:sz w:val="10"/>
                <w:szCs w:val="10"/>
                <w:color w:val="0000FF"/>
              </w:rPr>
              <w:t>03/22/2023</w:t>
            </w:r>
          </w:p>
        </w:tc>
        <w:tc>
          <w:tcPr>
            <w:tcW w:w="8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0"/>
                <w:szCs w:val="10"/>
                <w:color w:val="0000FF"/>
              </w:rPr>
              <w:t>A</w:t>
            </w:r>
          </w:p>
        </w:tc>
        <w:tc>
          <w:tcPr>
            <w:tcW w:w="42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0"/>
                <w:szCs w:val="10"/>
                <w:color w:val="0000FF"/>
              </w:rPr>
              <w:t>26,110</w:t>
            </w:r>
          </w:p>
        </w:tc>
        <w:tc>
          <w:tcPr>
            <w:tcW w:w="280" w:type="dxa"/>
            <w:vAlign w:val="bottom"/>
          </w:tcPr>
          <w:p>
            <w:pPr>
              <w:spacing w:after="0"/>
              <w:rPr>
                <w:sz w:val="17"/>
                <w:szCs w:val="17"/>
                <w:color w:val="auto"/>
              </w:rPr>
            </w:pPr>
          </w:p>
        </w:tc>
        <w:tc>
          <w:tcPr>
            <w:tcW w:w="380" w:type="dxa"/>
            <w:vAlign w:val="bottom"/>
          </w:tcPr>
          <w:p>
            <w:pPr>
              <w:jc w:val="right"/>
              <w:ind w:right="262"/>
              <w:spacing w:after="0"/>
              <w:rPr>
                <w:sz w:val="20"/>
                <w:szCs w:val="20"/>
                <w:color w:val="auto"/>
              </w:rPr>
            </w:pPr>
            <w:r>
              <w:rPr>
                <w:rFonts w:ascii="Arial" w:cs="Arial" w:eastAsia="Arial" w:hAnsi="Arial"/>
                <w:sz w:val="6"/>
                <w:szCs w:val="6"/>
                <w:color w:val="008000"/>
                <w:w w:val="81"/>
              </w:rPr>
              <w:t>(3)</w:t>
            </w:r>
          </w:p>
        </w:tc>
        <w:tc>
          <w:tcPr>
            <w:tcW w:w="520" w:type="dxa"/>
            <w:vAlign w:val="bottom"/>
          </w:tcPr>
          <w:p>
            <w:pPr>
              <w:ind w:left="200"/>
              <w:spacing w:after="0"/>
              <w:rPr>
                <w:sz w:val="20"/>
                <w:szCs w:val="20"/>
                <w:color w:val="auto"/>
              </w:rPr>
            </w:pPr>
            <w:r>
              <w:rPr>
                <w:rFonts w:ascii="Arial" w:cs="Arial" w:eastAsia="Arial" w:hAnsi="Arial"/>
                <w:sz w:val="8"/>
                <w:szCs w:val="8"/>
                <w:color w:val="008000"/>
              </w:rPr>
              <w:t>(3)</w:t>
            </w:r>
          </w:p>
        </w:tc>
        <w:tc>
          <w:tcPr>
            <w:tcW w:w="920" w:type="dxa"/>
            <w:vAlign w:val="bottom"/>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tcPr>
          <w:p>
            <w:pPr>
              <w:jc w:val="right"/>
              <w:spacing w:after="0"/>
              <w:rPr>
                <w:sz w:val="20"/>
                <w:szCs w:val="20"/>
                <w:color w:val="auto"/>
              </w:rPr>
            </w:pPr>
            <w:r>
              <w:rPr>
                <w:rFonts w:ascii="Arial" w:cs="Arial" w:eastAsia="Arial" w:hAnsi="Arial"/>
                <w:sz w:val="13"/>
                <w:szCs w:val="13"/>
                <w:color w:val="0000FF"/>
              </w:rPr>
              <w:t>26,110</w:t>
            </w:r>
          </w:p>
        </w:tc>
        <w:tc>
          <w:tcPr>
            <w:tcW w:w="82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380" w:type="dxa"/>
            <w:vAlign w:val="bottom"/>
          </w:tcPr>
          <w:p>
            <w:pPr>
              <w:ind w:left="300"/>
              <w:spacing w:after="0"/>
              <w:rPr>
                <w:sz w:val="20"/>
                <w:szCs w:val="20"/>
                <w:color w:val="auto"/>
              </w:rPr>
            </w:pPr>
            <w:r>
              <w:rPr>
                <w:rFonts w:ascii="Arial" w:cs="Arial" w:eastAsia="Arial" w:hAnsi="Arial"/>
                <w:sz w:val="10"/>
                <w:szCs w:val="10"/>
                <w:color w:val="0000FF"/>
              </w:rPr>
              <w:t>0</w:t>
            </w:r>
          </w:p>
        </w:tc>
        <w:tc>
          <w:tcPr>
            <w:tcW w:w="30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40" w:right="32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shares are held in a trust for the benefit of the reporting person's minor child. The reporting person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to receive one share of the Issuer's common stock.</w:t>
      </w:r>
    </w:p>
    <w:p>
      <w:pPr>
        <w:spacing w:after="0" w:line="35" w:lineRule="exact"/>
        <w:rPr>
          <w:rFonts w:ascii="Arial" w:cs="Arial" w:eastAsia="Arial" w:hAnsi="Arial"/>
          <w:sz w:val="10"/>
          <w:szCs w:val="10"/>
          <w:color w:val="008000"/>
        </w:rPr>
      </w:pPr>
    </w:p>
    <w:p>
      <w:pPr>
        <w:ind w:left="40" w:right="30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On March 22, 2023, the Reporting Person was granted 26,110 restricted stock units which vest 25% on April 1, 2023, 25% on July 1, 2023, 25% on October 1, 2023, and 25% on January 1, 2024 subject to theReporting Person's continued service as a director of the Issuer.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0"/>
          <w:szCs w:val="20"/>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Arial" w:cs="Arial" w:eastAsia="Arial" w:hAnsi="Arial"/>
                <w:sz w:val="13"/>
                <w:szCs w:val="13"/>
                <w:color w:val="0000FF"/>
              </w:rPr>
              <w:t>/s/ Stephen Hipp</w:t>
            </w:r>
          </w:p>
        </w:tc>
        <w:tc>
          <w:tcPr>
            <w:tcW w:w="600" w:type="dxa"/>
            <w:vAlign w:val="bottom"/>
          </w:tcPr>
          <w:p>
            <w:pPr>
              <w:spacing w:after="0"/>
              <w:rPr>
                <w:sz w:val="20"/>
                <w:szCs w:val="20"/>
                <w:color w:val="auto"/>
              </w:rPr>
            </w:pPr>
            <w:r>
              <w:rPr>
                <w:rFonts w:ascii="Arial" w:cs="Arial" w:eastAsia="Arial" w:hAnsi="Arial"/>
                <w:sz w:val="13"/>
                <w:szCs w:val="13"/>
                <w:color w:val="0000FF"/>
                <w:w w:val="89"/>
              </w:rPr>
              <w:t>03/24/2023</w:t>
            </w:r>
          </w:p>
        </w:tc>
      </w:tr>
      <w:tr>
        <w:trPr>
          <w:trHeight w:val="20"/>
        </w:trPr>
        <w:tc>
          <w:tcPr>
            <w:tcW w:w="8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Bradley J. Miller (Attorney-In-Fact)</w:t>
            </w: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03/24/2023</w:t>
            </w:r>
          </w:p>
        </w:tc>
      </w:tr>
      <w:tr>
        <w:trPr>
          <w:trHeight w:val="170"/>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w:t>
      </w:r>
    </w:p>
    <w:p>
      <w:pPr>
        <w:spacing w:after="0" w:line="3" w:lineRule="exact"/>
        <w:rPr>
          <w:sz w:val="20"/>
          <w:szCs w:val="20"/>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submit to the Securities and Exchange Commission ("SEC") a Form ID, including amendments thereto, and any othe</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3" w:lineRule="exact"/>
        <w:rPr>
          <w:rFonts w:ascii="Courier New" w:cs="Courier New" w:eastAsia="Courier New" w:hAnsi="Courier New"/>
          <w:sz w:val="13"/>
          <w:szCs w:val="13"/>
          <w:color w:val="auto"/>
        </w:rPr>
      </w:pPr>
    </w:p>
    <w:p>
      <w:pPr>
        <w:jc w:val="right"/>
        <w:ind w:left="620" w:hanging="620"/>
        <w:spacing w:after="0" w:line="243" w:lineRule="auto"/>
        <w:tabs>
          <w:tab w:leader="none" w:pos="776"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The undersigned hereby grants to each such attorney-in-fact full power and authority to do and perform any and every act and thing wha This Power of Attorney shall remain in full force and effect until the undersigned is no longer required to file Forms 3, 4, and 5 wi</w:t>
      </w:r>
    </w:p>
    <w:p>
      <w:pPr>
        <w:spacing w:after="0" w:line="2" w:lineRule="exact"/>
        <w:rPr>
          <w:rFonts w:ascii="Courier New" w:cs="Courier New" w:eastAsia="Courier New" w:hAnsi="Courier New"/>
          <w:sz w:val="13"/>
          <w:szCs w:val="13"/>
          <w:color w:val="auto"/>
        </w:rPr>
      </w:pPr>
    </w:p>
    <w:p>
      <w:pPr>
        <w:ind w:left="7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15th day of April, 2021.</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Stephen Hipp</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2023-03-26T03:23:05Z</dcterms:created>
  <dcterms:modified xsi:type="dcterms:W3CDTF">2023-03-26T03:23:05Z</dcterms:modified>
</cp:coreProperties>
</file>