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November 7, 2024</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2743200</wp:posOffset>
            </wp:positionH>
            <wp:positionV relativeFrom="paragraph">
              <wp:posOffset>106680</wp:posOffset>
            </wp:positionV>
            <wp:extent cx="1697355" cy="537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Priority Technology Holdings, Inc.</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1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00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001-37872</w:t>
            </w: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jc w:val="right"/>
              <w:ind w:right="1440"/>
              <w:spacing w:after="0"/>
              <w:rPr>
                <w:sz w:val="20"/>
                <w:szCs w:val="20"/>
                <w:color w:val="auto"/>
              </w:rPr>
            </w:pPr>
            <w:r>
              <w:rPr>
                <w:rFonts w:ascii="Times New Roman" w:cs="Times New Roman" w:eastAsia="Times New Roman" w:hAnsi="Times New Roman"/>
                <w:sz w:val="12"/>
                <w:szCs w:val="12"/>
                <w:b w:val="1"/>
                <w:bCs w:val="1"/>
                <w:color w:val="auto"/>
              </w:rPr>
              <w:t>47-4257046</w:t>
            </w:r>
          </w:p>
        </w:tc>
        <w:tc>
          <w:tcPr>
            <w:tcW w:w="20" w:type="dxa"/>
            <w:vAlign w:val="bottom"/>
          </w:tcPr>
          <w:p>
            <w:pPr>
              <w:spacing w:after="0"/>
              <w:rPr>
                <w:sz w:val="13"/>
                <w:szCs w:val="13"/>
                <w:color w:val="auto"/>
              </w:rPr>
            </w:pPr>
          </w:p>
        </w:tc>
      </w:tr>
      <w:tr>
        <w:trPr>
          <w:trHeight w:val="144"/>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320" w:type="dxa"/>
            <w:vAlign w:val="bottom"/>
          </w:tcPr>
          <w:p>
            <w:pPr>
              <w:spacing w:after="0"/>
              <w:rPr>
                <w:sz w:val="12"/>
                <w:szCs w:val="12"/>
                <w:color w:val="auto"/>
              </w:rPr>
            </w:pPr>
          </w:p>
        </w:tc>
        <w:tc>
          <w:tcPr>
            <w:tcW w:w="33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320" w:type="dxa"/>
            <w:vAlign w:val="bottom"/>
          </w:tcPr>
          <w:p>
            <w:pPr>
              <w:spacing w:after="0"/>
              <w:rPr>
                <w:sz w:val="12"/>
                <w:szCs w:val="12"/>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(I.R.S. Employer Identification No.)</w:t>
            </w:r>
          </w:p>
        </w:tc>
        <w:tc>
          <w:tcPr>
            <w:tcW w:w="20" w:type="dxa"/>
            <w:vAlign w:val="bottom"/>
          </w:tcPr>
          <w:p>
            <w:pPr>
              <w:spacing w:after="0"/>
              <w:rPr>
                <w:sz w:val="12"/>
                <w:szCs w:val="12"/>
                <w:color w:val="auto"/>
              </w:rPr>
            </w:pPr>
          </w:p>
        </w:tc>
      </w:tr>
      <w:tr>
        <w:trPr>
          <w:trHeight w:val="43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4000" w:type="dxa"/>
            <w:vAlign w:val="bottom"/>
            <w:gridSpan w:val="2"/>
          </w:tcPr>
          <w:p>
            <w:pPr>
              <w:ind w:left="1140"/>
              <w:spacing w:after="0"/>
              <w:rPr>
                <w:sz w:val="20"/>
                <w:szCs w:val="20"/>
                <w:color w:val="auto"/>
              </w:rPr>
            </w:pPr>
            <w:r>
              <w:rPr>
                <w:rFonts w:ascii="Times New Roman" w:cs="Times New Roman" w:eastAsia="Times New Roman" w:hAnsi="Times New Roman"/>
                <w:sz w:val="12"/>
                <w:szCs w:val="12"/>
                <w:b w:val="1"/>
                <w:bCs w:val="1"/>
                <w:color w:val="auto"/>
              </w:rPr>
              <w:t>Alpharetta,</w:t>
            </w:r>
          </w:p>
        </w:tc>
        <w:tc>
          <w:tcPr>
            <w:tcW w:w="3700" w:type="dxa"/>
            <w:vAlign w:val="bottom"/>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2"/>
                <w:szCs w:val="12"/>
                <w:b w:val="1"/>
                <w:bCs w:val="1"/>
                <w:color w:val="auto"/>
              </w:rPr>
              <w:t>30004</w:t>
            </w:r>
          </w:p>
        </w:tc>
        <w:tc>
          <w:tcPr>
            <w:tcW w:w="20" w:type="dxa"/>
            <w:vAlign w:val="bottom"/>
          </w:tcPr>
          <w:p>
            <w:pPr>
              <w:spacing w:after="0"/>
              <w:rPr>
                <w:sz w:val="13"/>
                <w:szCs w:val="13"/>
                <w:color w:val="auto"/>
              </w:rPr>
            </w:pPr>
          </w:p>
        </w:tc>
      </w:tr>
      <w:tr>
        <w:trPr>
          <w:trHeight w:val="144"/>
        </w:trPr>
        <w:tc>
          <w:tcPr>
            <w:tcW w:w="4000" w:type="dxa"/>
            <w:vAlign w:val="bottom"/>
            <w:tcBorders>
              <w:top w:val="single" w:sz="8" w:color="auto"/>
            </w:tcBorders>
            <w:gridSpan w:val="2"/>
          </w:tcPr>
          <w:p>
            <w:pPr>
              <w:jc w:val="center"/>
              <w:ind w:left="166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Times New Roman" w:cs="Times New Roman" w:eastAsia="Times New Roman" w:hAnsi="Times New Roman"/>
                <w:sz w:val="12"/>
                <w:szCs w:val="12"/>
                <w:color w:val="auto"/>
                <w:w w:val="98"/>
              </w:rPr>
              <w:t>(Zip Code)</w:t>
            </w:r>
          </w:p>
        </w:tc>
        <w:tc>
          <w:tcPr>
            <w:tcW w:w="20" w:type="dxa"/>
            <w:vAlign w:val="bottom"/>
            <w:tcBorders>
              <w:top w:val="single" w:sz="8" w:color="auto"/>
            </w:tcBorders>
          </w:tcPr>
          <w:p>
            <w:pPr>
              <w:spacing w:after="0"/>
              <w:rPr>
                <w:sz w:val="12"/>
                <w:szCs w:val="12"/>
                <w:color w:val="auto"/>
              </w:rPr>
            </w:pPr>
          </w:p>
        </w:tc>
      </w:tr>
    </w:tbl>
    <w:p>
      <w:pPr>
        <w:spacing w:after="0" w:line="181"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5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4"/>
        </w:trPr>
        <w:tc>
          <w:tcPr>
            <w:tcW w:w="560" w:type="dxa"/>
            <w:vAlign w:val="bottom"/>
          </w:tcPr>
          <w:p>
            <w:pPr>
              <w:spacing w:after="0"/>
              <w:rPr>
                <w:sz w:val="20"/>
                <w:szCs w:val="20"/>
                <w:color w:val="auto"/>
              </w:rPr>
            </w:pPr>
          </w:p>
        </w:tc>
        <w:tc>
          <w:tcPr>
            <w:tcW w:w="36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3060" w:type="dxa"/>
            <w:vAlign w:val="bottom"/>
            <w:gridSpan w:val="3"/>
          </w:tcPr>
          <w:p>
            <w:pPr>
              <w:jc w:val="center"/>
              <w:ind w:right="108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4080" w:type="dxa"/>
            <w:vAlign w:val="bottom"/>
            <w:gridSpan w:val="2"/>
          </w:tcPr>
          <w:p>
            <w:pPr>
              <w:jc w:val="center"/>
              <w:ind w:right="1460"/>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560" w:type="dxa"/>
            <w:vAlign w:val="bottom"/>
          </w:tcPr>
          <w:p>
            <w:pPr>
              <w:spacing w:after="0"/>
              <w:rPr>
                <w:sz w:val="12"/>
                <w:szCs w:val="12"/>
                <w:color w:val="auto"/>
              </w:rPr>
            </w:pPr>
          </w:p>
        </w:tc>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$0.001 par value</w:t>
            </w:r>
          </w:p>
        </w:tc>
        <w:tc>
          <w:tcPr>
            <w:tcW w:w="200" w:type="dxa"/>
            <w:vAlign w:val="bottom"/>
          </w:tcPr>
          <w:p>
            <w:pPr>
              <w:spacing w:after="0"/>
              <w:rPr>
                <w:sz w:val="12"/>
                <w:szCs w:val="12"/>
                <w:color w:val="auto"/>
              </w:rPr>
            </w:pPr>
          </w:p>
        </w:tc>
        <w:tc>
          <w:tcPr>
            <w:tcW w:w="1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tcPr>
          <w:p>
            <w:pPr>
              <w:jc w:val="center"/>
              <w:ind w:right="840"/>
              <w:spacing w:after="0"/>
              <w:rPr>
                <w:sz w:val="20"/>
                <w:szCs w:val="20"/>
                <w:color w:val="auto"/>
              </w:rPr>
            </w:pPr>
            <w:r>
              <w:rPr>
                <w:rFonts w:ascii="Times New Roman" w:cs="Times New Roman" w:eastAsia="Times New Roman" w:hAnsi="Times New Roman"/>
                <w:sz w:val="12"/>
                <w:szCs w:val="12"/>
                <w:color w:val="auto"/>
              </w:rPr>
              <w:t>Nasdaq Global Market</w:t>
            </w:r>
          </w:p>
        </w:tc>
        <w:tc>
          <w:tcPr>
            <w:tcW w:w="560" w:type="dxa"/>
            <w:vAlign w:val="bottom"/>
          </w:tcPr>
          <w:p>
            <w:pPr>
              <w:spacing w:after="0"/>
              <w:rPr>
                <w:sz w:val="12"/>
                <w:szCs w:val="12"/>
                <w:color w:val="auto"/>
              </w:rPr>
            </w:pPr>
          </w:p>
        </w:tc>
      </w:tr>
      <w:tr>
        <w:trPr>
          <w:trHeight w:val="808"/>
        </w:trPr>
        <w:tc>
          <w:tcPr>
            <w:tcW w:w="5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710" w:right="299" w:bottom="144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0"/>
          <w:szCs w:val="20"/>
          <w:color w:val="auto"/>
        </w:rPr>
      </w:pPr>
    </w:p>
    <w:p>
      <w:pPr>
        <w:ind w:left="12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96" w:lineRule="exact"/>
        <w:rPr>
          <w:sz w:val="20"/>
          <w:szCs w:val="20"/>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42" w:right="319" w:bottom="1440" w:gutter="0" w:footer="0" w:header="0"/>
        </w:sectPr>
      </w:pPr>
    </w:p>
    <w:bookmarkStart w:id="2" w:name="page3"/>
    <w:bookmarkEnd w:id="2"/>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November 7, 2024, Priority Technology Holdings, Inc. ("Priority") issued a press release announcing its financial results for the quarter ended September 30, 2024. A copy of that press release is attached as Exhibit 99.1 to this Current Report on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November 7, 2024, Priority will hold an earnings conference call and webcast at 11:00 a.m. (Eastern Time) to discuss the financial results for the quarter ended September 30, 2024. The press release referenced in Item 2.02 contains information about how to access the conference call and webcast. A copy of the slide presentation to be used during the earnings call and webcast is furnished as Exhibit 99.2 to this Current Report on Form 8-K. The slide presentation also will be available on our website, www.prioritycommerce.com under the "Investor Relations" section.</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information in this Current Report on Form 8-K, including Exhibit 99.1,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1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 – The following exhibit is furnished as part of this Current Report on Form 8-K.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10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0"/>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99.1</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Press Release of Priority Technology Holdings, Inc. dated November 7, 2024</w:t>
            </w:r>
          </w:p>
        </w:tc>
      </w:tr>
      <w:tr>
        <w:trPr>
          <w:trHeight w:val="153"/>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0000FF"/>
              </w:rPr>
              <w:t>99.2</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Supplemental slide presentation</w:t>
            </w:r>
          </w:p>
        </w:tc>
      </w:tr>
      <w:tr>
        <w:trPr>
          <w:trHeight w:val="155"/>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4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The cover page from this Current Report on Form 8-K, formatted in Inline XBRL</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November 7, 2024</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u w:val="single" w:color="auto"/>
          <w:color w:val="auto"/>
        </w:rPr>
        <w:t>By: /s/ Timothy O'Leary</w:t>
      </w:r>
    </w:p>
    <w:p>
      <w:pPr>
        <w:spacing w:after="0" w:line="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Name: Timothy O'Leary</w:t>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2"/>
          <w:szCs w:val="12"/>
          <w:color w:val="auto"/>
        </w:rPr>
        <w:t>Title: Chief Financial Officer</w:t>
      </w:r>
    </w:p>
    <w:p>
      <w:pPr>
        <w:sectPr>
          <w:pgSz w:w="11900" w:h="16838" w:orient="portrait"/>
          <w:cols w:equalWidth="0" w:num="1">
            <w:col w:w="11300"/>
          </w:cols>
          <w:pgMar w:left="300" w:top="638" w:right="299" w:bottom="1440" w:gutter="0" w:footer="0" w:header="0"/>
        </w:sectPr>
      </w:pPr>
    </w:p>
    <w:bookmarkStart w:id="3" w:name="page4"/>
    <w:bookmarkEnd w:id="3"/>
    <w:p>
      <w:pPr>
        <w:ind w:left="9860"/>
        <w:spacing w:after="0"/>
        <w:rPr>
          <w:sz w:val="20"/>
          <w:szCs w:val="20"/>
          <w:color w:val="auto"/>
        </w:rPr>
      </w:pPr>
      <w:r>
        <w:rPr>
          <w:rFonts w:ascii="Times New Roman" w:cs="Times New Roman" w:eastAsia="Times New Roman" w:hAnsi="Times New Roman"/>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16510</wp:posOffset>
            </wp:positionV>
            <wp:extent cx="1697355" cy="537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53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Priority Investor Inquiries: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Kettmann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Chris.Kettmann@dgagroup.com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(773) 497-7575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Priority Technology Holdings, Inc. Announces Third Quarter Financial Results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xml:space="preserve">Strong </w:t>
      </w:r>
      <w:r>
        <w:rPr>
          <w:rFonts w:ascii="Times New Roman" w:cs="Times New Roman" w:eastAsia="Times New Roman" w:hAnsi="Times New Roman"/>
          <w:sz w:val="15"/>
          <w:szCs w:val="15"/>
          <w:i w:val="1"/>
          <w:iCs w:val="1"/>
          <w:color w:val="auto"/>
        </w:rPr>
        <w:t>Third Quarter</w:t>
      </w:r>
      <w:r>
        <w:rPr>
          <w:rFonts w:ascii="Times New Roman" w:cs="Times New Roman" w:eastAsia="Times New Roman" w:hAnsi="Times New Roman"/>
          <w:sz w:val="14"/>
          <w:szCs w:val="14"/>
          <w:i w:val="1"/>
          <w:iCs w:val="1"/>
          <w:color w:val="auto"/>
        </w:rPr>
        <w:t xml:space="preserve"> Growth Driven by Performance Across Unified Commerce Platform</w:t>
      </w:r>
    </w:p>
    <w:p>
      <w:pPr>
        <w:spacing w:after="0" w:line="179" w:lineRule="exact"/>
        <w:rPr>
          <w:sz w:val="20"/>
          <w:szCs w:val="20"/>
          <w:color w:val="auto"/>
        </w:rPr>
      </w:pPr>
    </w:p>
    <w:p>
      <w:pPr>
        <w:ind w:right="20"/>
        <w:spacing w:after="0" w:line="338" w:lineRule="auto"/>
        <w:rPr>
          <w:sz w:val="20"/>
          <w:szCs w:val="20"/>
          <w:color w:val="auto"/>
        </w:rPr>
      </w:pPr>
      <w:r>
        <w:rPr>
          <w:rFonts w:ascii="Times New Roman" w:cs="Times New Roman" w:eastAsia="Times New Roman" w:hAnsi="Times New Roman"/>
          <w:sz w:val="13"/>
          <w:szCs w:val="13"/>
          <w:color w:val="auto"/>
        </w:rPr>
        <w:t>ALPHARETTA, GA - November 7, 2024 -- Priority Technology Holdings, Inc. (NASDAQ: PRTH) ("Priority" or the "Company"), the payments and banking fintech that streamlines collecting, lending, and sending money to unlock revenue opportunities, today announced its third quarter 2024 financial results including strong year-over-year diversified revenue growth.</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Highlights of Consolidated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Third Quarter 2024 Compared with Third Quarter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Financial highlights of the third quarter of 2024 compared with the third quarter of 2023, are as follows</w:t>
      </w: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3"/>
          <w:szCs w:val="13"/>
          <w:color w:val="auto"/>
        </w:rPr>
        <w:t>:</w:t>
      </w:r>
    </w:p>
    <w:p>
      <w:pPr>
        <w:spacing w:after="0" w:line="129"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of $227.0 million increased 20.1% from $189.0 million</w:t>
      </w:r>
    </w:p>
    <w:p>
      <w:pPr>
        <w:spacing w:after="0" w:line="35"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4"/>
          <w:szCs w:val="14"/>
          <w:color w:val="auto"/>
        </w:rPr>
        <w:t>$86.0 million</w:t>
      </w:r>
      <w:r>
        <w:rPr>
          <w:rFonts w:ascii="Times New Roman" w:cs="Times New Roman" w:eastAsia="Times New Roman" w:hAnsi="Times New Roman"/>
          <w:sz w:val="13"/>
          <w:szCs w:val="13"/>
          <w:color w:val="auto"/>
        </w:rPr>
        <w:t xml:space="preserve"> increased 18.9% from $72.3 million</w:t>
      </w:r>
    </w:p>
    <w:p>
      <w:pPr>
        <w:spacing w:after="0" w:line="20" w:lineRule="exact"/>
        <w:rPr>
          <w:rFonts w:ascii="Times New Roman" w:cs="Times New Roman" w:eastAsia="Times New Roman" w:hAnsi="Times New Roman"/>
          <w:sz w:val="13"/>
          <w:szCs w:val="13"/>
          <w:color w:val="auto"/>
        </w:rPr>
      </w:pPr>
    </w:p>
    <w:p>
      <w:pPr>
        <w:ind w:left="420" w:hanging="212"/>
        <w:spacing w:after="0" w:line="220"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margin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of 37.9% decreased 40.0 basis points from 38.3%</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income of $38.1 million increased 62.0% from $23.5 million</w:t>
      </w:r>
    </w:p>
    <w:p>
      <w:pPr>
        <w:spacing w:after="0" w:line="21"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 non-GAAP measure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of </w:t>
      </w:r>
      <w:r>
        <w:rPr>
          <w:rFonts w:ascii="Times New Roman" w:cs="Times New Roman" w:eastAsia="Times New Roman" w:hAnsi="Times New Roman"/>
          <w:sz w:val="14"/>
          <w:szCs w:val="14"/>
          <w:color w:val="auto"/>
        </w:rPr>
        <w:t>$54.6 million</w:t>
      </w:r>
      <w:r>
        <w:rPr>
          <w:rFonts w:ascii="Times New Roman" w:cs="Times New Roman" w:eastAsia="Times New Roman" w:hAnsi="Times New Roman"/>
          <w:sz w:val="13"/>
          <w:szCs w:val="13"/>
          <w:color w:val="auto"/>
        </w:rPr>
        <w:t xml:space="preserve"> increased 21.5% from $45.0 million</w:t>
      </w:r>
    </w:p>
    <w:p>
      <w:pPr>
        <w:spacing w:after="0" w:line="122"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Certain amounts/percentages may not compute accurately due to rounding.</w:t>
      </w:r>
    </w:p>
    <w:p>
      <w:pPr>
        <w:ind w:left="420" w:hanging="212"/>
        <w:spacing w:after="0" w:line="190" w:lineRule="auto"/>
        <w:tabs>
          <w:tab w:leader="none" w:pos="412" w:val="left"/>
        </w:tabs>
        <w:numPr>
          <w:ilvl w:val="0"/>
          <w:numId w:val="3"/>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3"/>
          <w:szCs w:val="13"/>
          <w:i w:val="1"/>
          <w:iCs w:val="1"/>
          <w:color w:val="auto"/>
        </w:rPr>
        <w:t>See "Non-GAAP Financial Measures" and the reconciliations of Adjusted Gross Profit (non-GAAP), Adjusted Gross Profit Margin (non-GAAP), and Adjusted EBITDA, to their most comparable GAAP measures provided below for additional information.</w:t>
      </w:r>
    </w:p>
    <w:p>
      <w:pPr>
        <w:spacing w:after="0" w:line="298" w:lineRule="exact"/>
        <w:rPr>
          <w:sz w:val="20"/>
          <w:szCs w:val="20"/>
          <w:color w:val="auto"/>
        </w:rPr>
      </w:pPr>
    </w:p>
    <w:p>
      <w:pPr>
        <w:ind w:right="320"/>
        <w:spacing w:after="0" w:line="306" w:lineRule="auto"/>
        <w:rPr>
          <w:sz w:val="20"/>
          <w:szCs w:val="20"/>
          <w:color w:val="auto"/>
        </w:rPr>
      </w:pPr>
      <w:r>
        <w:rPr>
          <w:rFonts w:ascii="Times New Roman" w:cs="Times New Roman" w:eastAsia="Times New Roman" w:hAnsi="Times New Roman"/>
          <w:sz w:val="13"/>
          <w:szCs w:val="13"/>
          <w:color w:val="auto"/>
        </w:rPr>
        <w:t>"We reported record results in the third quarter as we sustained our positive momentum, delivering consistently strong results in SMB Acquiring, B2B Payables and Enterprise Payments," said Tom Priore, Chairman &amp; CEO of Priority. “Our continued execution reinforces that Priority’s technology, operations and decision making have positioned us to excel through the remainder of 2024 and beyond to deliver a thriving ecosystem of financial solutions that accelerate revenue and optimize working capital for businesses.”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5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auto"/>
        </w:rPr>
        <w:t>Full Year 2024 Financial Guidance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Priority's outlook remains strong and our adjusted full year 2024 guidance is as follows:</w:t>
      </w:r>
    </w:p>
    <w:p>
      <w:pPr>
        <w:spacing w:after="0" w:line="175"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forecast affirmed to range between $875 million to $883 million, a growth rate of 16% to 17%, compared to fiscal 2023 results</w:t>
      </w:r>
    </w:p>
    <w:p>
      <w:pPr>
        <w:spacing w:after="0" w:line="183"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profit (a non-GAAP measure) forecast affirmed to range between $325 million to $330 million, a growth rate of 18% to 20% compared to fiscal 2023 results</w:t>
      </w:r>
    </w:p>
    <w:p>
      <w:pPr>
        <w:spacing w:after="0" w:line="183" w:lineRule="exact"/>
        <w:rPr>
          <w:rFonts w:ascii="Times New Roman" w:cs="Times New Roman" w:eastAsia="Times New Roman" w:hAnsi="Times New Roman"/>
          <w:sz w:val="13"/>
          <w:szCs w:val="13"/>
          <w:color w:val="auto"/>
        </w:rPr>
      </w:pPr>
    </w:p>
    <w:p>
      <w:pPr>
        <w:ind w:left="420" w:right="20" w:hanging="212"/>
        <w:spacing w:after="0" w:line="268" w:lineRule="auto"/>
        <w:tabs>
          <w:tab w:leader="none" w:pos="4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Adjusted EBITDA (a non-GAAP measure) forecast increased to a range between $200 million to $204 million, from $196 million to $200 million, a growth rate of 19% to 21% compared to fiscal 2023 results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77"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3"/>
          <w:szCs w:val="13"/>
          <w:color w:val="070707"/>
        </w:rPr>
        <w:t>Priority's leadership will host a conference call on Thursday, November 7, 2024 at 11:00 a.m. EST to discuss its third quarter financial results. Participants can access the call by p</w:t>
      </w:r>
      <w:r>
        <w:rPr>
          <w:rFonts w:ascii="Times New Roman" w:cs="Times New Roman" w:eastAsia="Times New Roman" w:hAnsi="Times New Roman"/>
          <w:sz w:val="13"/>
          <w:szCs w:val="13"/>
          <w:color w:val="000000"/>
        </w:rPr>
        <w:t>hone in the U.S. or Canada at (833)</w:t>
      </w:r>
      <w:r>
        <w:rPr>
          <w:rFonts w:ascii="Times New Roman" w:cs="Times New Roman" w:eastAsia="Times New Roman" w:hAnsi="Times New Roman"/>
          <w:sz w:val="13"/>
          <w:szCs w:val="13"/>
          <w:color w:val="070707"/>
        </w:rPr>
        <w:t xml:space="preserve"> </w:t>
      </w:r>
      <w:r>
        <w:rPr>
          <w:rFonts w:ascii="Times New Roman" w:cs="Times New Roman" w:eastAsia="Times New Roman" w:hAnsi="Times New Roman"/>
          <w:sz w:val="13"/>
          <w:szCs w:val="13"/>
          <w:color w:val="000000"/>
        </w:rPr>
        <w:t>636-1319 or internationally at (412) 902-4286.</w:t>
      </w:r>
    </w:p>
    <w:p>
      <w:pPr>
        <w:spacing w:after="0" w:line="107" w:lineRule="exact"/>
        <w:rPr>
          <w:sz w:val="20"/>
          <w:szCs w:val="20"/>
          <w:color w:val="auto"/>
        </w:rPr>
      </w:pPr>
    </w:p>
    <w:p>
      <w:pPr>
        <w:ind w:right="260"/>
        <w:spacing w:after="0" w:line="327" w:lineRule="auto"/>
        <w:rPr>
          <w:sz w:val="20"/>
          <w:szCs w:val="20"/>
          <w:color w:val="auto"/>
        </w:rPr>
      </w:pPr>
      <w:r>
        <w:rPr>
          <w:rFonts w:ascii="Times New Roman" w:cs="Times New Roman" w:eastAsia="Times New Roman" w:hAnsi="Times New Roman"/>
          <w:sz w:val="13"/>
          <w:szCs w:val="13"/>
          <w:color w:val="auto"/>
        </w:rPr>
        <w:t xml:space="preserve">The Internet webcast link and accompanying slide presentation can be accessed at </w:t>
      </w:r>
      <w:r>
        <w:rPr>
          <w:rFonts w:ascii="Times New Roman" w:cs="Times New Roman" w:eastAsia="Times New Roman" w:hAnsi="Times New Roman"/>
          <w:sz w:val="13"/>
          <w:szCs w:val="13"/>
          <w:b w:val="1"/>
          <w:bCs w:val="1"/>
          <w:color w:val="auto"/>
        </w:rPr>
        <w:t>https://edge.media-server.com/mmc/p/5gtz5go8</w:t>
      </w:r>
      <w:r>
        <w:rPr>
          <w:rFonts w:ascii="Times New Roman" w:cs="Times New Roman" w:eastAsia="Times New Roman" w:hAnsi="Times New Roman"/>
          <w:sz w:val="13"/>
          <w:szCs w:val="13"/>
          <w:color w:val="auto"/>
        </w:rPr>
        <w:t xml:space="preserve"> and will also be posted in the "Investor Relations" section of the Company's website at www.prioritycommerce.com.</w:t>
      </w:r>
    </w:p>
    <w:p>
      <w:pPr>
        <w:spacing w:after="0" w:line="10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3"/>
          <w:szCs w:val="13"/>
          <w:color w:val="auto"/>
        </w:rPr>
        <w:t xml:space="preserve">An audio replay of the call will be available shortly after the conference call until November 14, 2024 at 2:00 p.m. EST. To listen to the audio replay, dial (877) 344-7529 or (412) 317-0088 and enter conference ID number </w:t>
      </w:r>
      <w:r>
        <w:rPr>
          <w:rFonts w:ascii="Times New Roman" w:cs="Times New Roman" w:eastAsia="Times New Roman" w:hAnsi="Times New Roman"/>
          <w:sz w:val="13"/>
          <w:szCs w:val="13"/>
          <w:b w:val="1"/>
          <w:bCs w:val="1"/>
          <w:color w:val="auto"/>
        </w:rPr>
        <w:t>2890176</w:t>
      </w:r>
      <w:r>
        <w:rPr>
          <w:rFonts w:ascii="Times New Roman" w:cs="Times New Roman" w:eastAsia="Times New Roman" w:hAnsi="Times New Roman"/>
          <w:sz w:val="13"/>
          <w:szCs w:val="13"/>
          <w:color w:val="auto"/>
        </w:rPr>
        <w:t>. Alternatively, you may access the webcast replay in the "Investor Relations" section of the Company's website at www.prioritycommerce.com.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0A0A0A"/>
        </w:rPr>
        <w:t>Non-GAAP Financial Measures</w:t>
      </w:r>
    </w:p>
    <w:p>
      <w:pPr>
        <w:spacing w:after="0" w:line="18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This communication includes certain non-GAAP financial measures that we regularly review to evaluate our business and trends, measure our performance, prepare financial projections, allocate resources, and make strategic decisions. We believe these non-GAAP measures help to illustrate the underlying financial and business trends relating to our results of operations and comparability between current and prior periods. We also use these non-GAAP measures to establish and monitor operational goals. However, these non-GAAP measures are not superior to or a substitute for prominent measurements calculated in accordance with GAAP. Rather, the non-GAAP measures are meant to be a complement to understanding measures prepared in accordance with GAAP.</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54"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Gross Profit and Adjusted Gross Profit Margin</w:t>
      </w:r>
    </w:p>
    <w:p>
      <w:pPr>
        <w:spacing w:after="0" w:line="179"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3"/>
          <w:szCs w:val="13"/>
          <w:color w:val="auto"/>
        </w:rPr>
        <w:t>The Company's adjusted gross profit metric represents revenues less cost of revenue (excluding depreciation and amortization). Adjusted gross profit margin is adjusted gross profit divided by revenues. We review these non-GAAP measures to evaluate our underlying profit trends. The reconciliation of adjusted gross profit to its most comparable GAAP measure is provided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4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79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0" w:type="dxa"/>
            <w:vAlign w:val="bottom"/>
          </w:tcPr>
          <w:p>
            <w:pPr>
              <w:spacing w:after="0"/>
              <w:rPr>
                <w:sz w:val="1"/>
                <w:szCs w:val="1"/>
                <w:color w:val="auto"/>
              </w:rPr>
            </w:pPr>
          </w:p>
        </w:tc>
      </w:tr>
      <w:tr>
        <w:trPr>
          <w:trHeight w:val="162"/>
        </w:trPr>
        <w:tc>
          <w:tcPr>
            <w:tcW w:w="75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44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227,049</w:t>
            </w:r>
          </w:p>
        </w:tc>
        <w:tc>
          <w:tcPr>
            <w:tcW w:w="80" w:type="dxa"/>
            <w:vAlign w:val="bottom"/>
          </w:tcPr>
          <w:p>
            <w:pPr>
              <w:spacing w:after="0"/>
              <w:rPr>
                <w:sz w:val="13"/>
                <w:szCs w:val="13"/>
                <w:color w:val="auto"/>
              </w:rPr>
            </w:pPr>
          </w:p>
        </w:tc>
        <w:tc>
          <w:tcPr>
            <w:tcW w:w="4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189,015</w:t>
            </w:r>
          </w:p>
        </w:tc>
        <w:tc>
          <w:tcPr>
            <w:tcW w:w="0" w:type="dxa"/>
            <w:vAlign w:val="bottom"/>
          </w:tcPr>
          <w:p>
            <w:pPr>
              <w:spacing w:after="0"/>
              <w:rPr>
                <w:sz w:val="1"/>
                <w:szCs w:val="1"/>
                <w:color w:val="auto"/>
              </w:rPr>
            </w:pPr>
          </w:p>
        </w:tc>
      </w:tr>
      <w:tr>
        <w:trPr>
          <w:trHeight w:val="17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 (excluding depreciation and amortization)</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(141,070)</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(116,682)</w:t>
            </w:r>
          </w:p>
        </w:tc>
        <w:tc>
          <w:tcPr>
            <w:tcW w:w="0" w:type="dxa"/>
            <w:vAlign w:val="bottom"/>
          </w:tcPr>
          <w:p>
            <w:pPr>
              <w:spacing w:after="0"/>
              <w:rPr>
                <w:sz w:val="1"/>
                <w:szCs w:val="1"/>
                <w:color w:val="auto"/>
              </w:rPr>
            </w:pPr>
          </w:p>
        </w:tc>
      </w:tr>
      <w:tr>
        <w:trPr>
          <w:trHeight w:val="163"/>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85,979</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72,333</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Adjusted gross profit margin</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37.9 %</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38.3 %</w:t>
            </w:r>
          </w:p>
        </w:tc>
        <w:tc>
          <w:tcPr>
            <w:tcW w:w="0" w:type="dxa"/>
            <w:vAlign w:val="bottom"/>
          </w:tcPr>
          <w:p>
            <w:pPr>
              <w:spacing w:after="0"/>
              <w:rPr>
                <w:sz w:val="1"/>
                <w:szCs w:val="1"/>
                <w:color w:val="auto"/>
              </w:rPr>
            </w:pPr>
          </w:p>
        </w:tc>
      </w:tr>
      <w:tr>
        <w:trPr>
          <w:trHeight w:val="174"/>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 of revenue generating assets</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(4,207)</w:t>
            </w: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color w:val="auto"/>
              </w:rPr>
              <w:t>(3,000)</w:t>
            </w:r>
          </w:p>
        </w:tc>
        <w:tc>
          <w:tcPr>
            <w:tcW w:w="0" w:type="dxa"/>
            <w:vAlign w:val="bottom"/>
          </w:tcPr>
          <w:p>
            <w:pPr>
              <w:spacing w:after="0"/>
              <w:rPr>
                <w:sz w:val="1"/>
                <w:szCs w:val="1"/>
                <w:color w:val="auto"/>
              </w:rPr>
            </w:pPr>
          </w:p>
        </w:tc>
      </w:tr>
      <w:tr>
        <w:trPr>
          <w:trHeight w:val="163"/>
        </w:trPr>
        <w:tc>
          <w:tcPr>
            <w:tcW w:w="752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81,772</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69,333</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Gross profit margin</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36.0 %</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36.7 %</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EBITDA and Adjusted EBITDA</w:t>
      </w:r>
    </w:p>
    <w:p>
      <w:pPr>
        <w:spacing w:after="0" w:line="18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EBITDA and adjusted EBITDA are performance measures. EBITDA is earnings before interest, income tax, and depreciation and amortization expenses ("EBITDA"). Adjusted EBITDA begins with EBITDA but further excludes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 We review the non-GAAP adjusted EBITDA measure to evaluate our business and trends, measure our performance, prepare financial projections, allocate resources, and make strategic decisions.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958"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The reconciliation of adjusted EBITDA to its most comparable GAAP measure is provided below:</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4"/>
        </w:trPr>
        <w:tc>
          <w:tcPr>
            <w:tcW w:w="76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0" w:type="dxa"/>
            <w:vAlign w:val="bottom"/>
          </w:tcPr>
          <w:p>
            <w:pPr>
              <w:spacing w:after="0"/>
              <w:rPr>
                <w:sz w:val="1"/>
                <w:szCs w:val="1"/>
                <w:color w:val="auto"/>
              </w:rPr>
            </w:pPr>
          </w:p>
        </w:tc>
      </w:tr>
      <w:tr>
        <w:trPr>
          <w:trHeight w:val="163"/>
        </w:trPr>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4"/>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10,608</w:t>
            </w:r>
          </w:p>
        </w:tc>
        <w:tc>
          <w:tcPr>
            <w:tcW w:w="80" w:type="dxa"/>
            <w:vAlign w:val="bottom"/>
          </w:tcPr>
          <w:p>
            <w:pPr>
              <w:spacing w:after="0"/>
              <w:rPr>
                <w:sz w:val="13"/>
                <w:szCs w:val="13"/>
                <w:color w:val="auto"/>
              </w:rPr>
            </w:pPr>
          </w:p>
        </w:tc>
        <w:tc>
          <w:tcPr>
            <w:tcW w:w="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71"/>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19,997</w:t>
            </w:r>
          </w:p>
        </w:tc>
        <w:tc>
          <w:tcPr>
            <w:tcW w:w="0" w:type="dxa"/>
            <w:vAlign w:val="bottom"/>
          </w:tcPr>
          <w:p>
            <w:pPr>
              <w:spacing w:after="0"/>
              <w:rPr>
                <w:sz w:val="1"/>
                <w:szCs w:val="1"/>
                <w:color w:val="auto"/>
              </w:rPr>
            </w:pPr>
          </w:p>
        </w:tc>
      </w:tr>
      <w:tr>
        <w:trPr>
          <w:trHeight w:val="171"/>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4,328</w:t>
            </w:r>
          </w:p>
        </w:tc>
        <w:tc>
          <w:tcPr>
            <w:tcW w:w="0" w:type="dxa"/>
            <w:vAlign w:val="bottom"/>
          </w:tcPr>
          <w:p>
            <w:pPr>
              <w:spacing w:after="0"/>
              <w:rPr>
                <w:sz w:val="1"/>
                <w:szCs w:val="1"/>
                <w:color w:val="auto"/>
              </w:rPr>
            </w:pPr>
          </w:p>
        </w:tc>
      </w:tr>
      <w:tr>
        <w:trPr>
          <w:trHeight w:val="172"/>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13,733</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17,275</w:t>
            </w:r>
          </w:p>
        </w:tc>
        <w:tc>
          <w:tcPr>
            <w:tcW w:w="0" w:type="dxa"/>
            <w:vAlign w:val="bottom"/>
          </w:tcPr>
          <w:p>
            <w:pPr>
              <w:spacing w:after="0"/>
              <w:rPr>
                <w:sz w:val="1"/>
                <w:szCs w:val="1"/>
                <w:color w:val="auto"/>
              </w:rPr>
            </w:pPr>
          </w:p>
        </w:tc>
      </w:tr>
      <w:tr>
        <w:trPr>
          <w:trHeight w:val="159"/>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EBITDA</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52,486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41,513</w:t>
            </w:r>
          </w:p>
        </w:tc>
        <w:tc>
          <w:tcPr>
            <w:tcW w:w="0" w:type="dxa"/>
            <w:vAlign w:val="bottom"/>
          </w:tcPr>
          <w:p>
            <w:pPr>
              <w:spacing w:after="0"/>
              <w:rPr>
                <w:sz w:val="1"/>
                <w:szCs w:val="1"/>
                <w:color w:val="auto"/>
              </w:rPr>
            </w:pPr>
          </w:p>
        </w:tc>
      </w:tr>
      <w:tr>
        <w:trPr>
          <w:trHeight w:val="171"/>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Debt extinguishment and modification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Non-recurring gain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0" w:type="dxa"/>
            <w:vAlign w:val="bottom"/>
          </w:tcPr>
          <w:p>
            <w:pPr>
              <w:spacing w:after="0"/>
              <w:rPr>
                <w:sz w:val="1"/>
                <w:szCs w:val="1"/>
                <w:color w:val="auto"/>
              </w:rPr>
            </w:pPr>
          </w:p>
        </w:tc>
      </w:tr>
      <w:tr>
        <w:trPr>
          <w:trHeight w:val="171"/>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 (non-recurring)</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2,114</w:t>
            </w:r>
          </w:p>
        </w:tc>
        <w:tc>
          <w:tcPr>
            <w:tcW w:w="0" w:type="dxa"/>
            <w:vAlign w:val="bottom"/>
          </w:tcPr>
          <w:p>
            <w:pPr>
              <w:spacing w:after="0"/>
              <w:rPr>
                <w:sz w:val="1"/>
                <w:szCs w:val="1"/>
                <w:color w:val="auto"/>
              </w:rPr>
            </w:pPr>
          </w:p>
        </w:tc>
      </w:tr>
      <w:tr>
        <w:trPr>
          <w:trHeight w:val="174"/>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stock-based compensation</w:t>
            </w: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1,416</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1,501</w:t>
            </w:r>
          </w:p>
        </w:tc>
        <w:tc>
          <w:tcPr>
            <w:tcW w:w="0" w:type="dxa"/>
            <w:vAlign w:val="bottom"/>
          </w:tcPr>
          <w:p>
            <w:pPr>
              <w:spacing w:after="0"/>
              <w:rPr>
                <w:sz w:val="1"/>
                <w:szCs w:val="1"/>
                <w:color w:val="auto"/>
              </w:rPr>
            </w:pPr>
          </w:p>
        </w:tc>
      </w:tr>
      <w:tr>
        <w:trPr>
          <w:trHeight w:val="163"/>
        </w:trPr>
        <w:tc>
          <w:tcPr>
            <w:tcW w:w="76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54,641</w:t>
            </w:r>
          </w:p>
        </w:tc>
        <w:tc>
          <w:tcPr>
            <w:tcW w:w="80" w:type="dxa"/>
            <w:vAlign w:val="bottom"/>
          </w:tcPr>
          <w:p>
            <w:pPr>
              <w:spacing w:after="0"/>
              <w:rPr>
                <w:sz w:val="14"/>
                <w:szCs w:val="14"/>
                <w:color w:val="auto"/>
              </w:rPr>
            </w:pPr>
          </w:p>
        </w:tc>
        <w:tc>
          <w:tcPr>
            <w:tcW w:w="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44,962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81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Further detail of certain of these adjustments, and where these items are recorded in our consolidated statements of operations, is provided below:</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76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right="274"/>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0" w:type="dxa"/>
            <w:vAlign w:val="bottom"/>
          </w:tcPr>
          <w:p>
            <w:pPr>
              <w:spacing w:after="0"/>
              <w:rPr>
                <w:sz w:val="1"/>
                <w:szCs w:val="1"/>
                <w:color w:val="auto"/>
              </w:rPr>
            </w:pPr>
          </w:p>
        </w:tc>
      </w:tr>
      <w:tr>
        <w:trPr>
          <w:trHeight w:val="163"/>
        </w:trPr>
        <w:tc>
          <w:tcPr>
            <w:tcW w:w="7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expenses (non-recurring):</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5"/>
        </w:trPr>
        <w:tc>
          <w:tcPr>
            <w:tcW w:w="7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Certain legal fees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0" w:type="dxa"/>
            <w:vAlign w:val="bottom"/>
          </w:tcPr>
          <w:p>
            <w:pPr>
              <w:spacing w:after="0"/>
              <w:rPr>
                <w:sz w:val="1"/>
                <w:szCs w:val="1"/>
                <w:color w:val="auto"/>
              </w:rPr>
            </w:pPr>
          </w:p>
        </w:tc>
      </w:tr>
      <w:tr>
        <w:trPr>
          <w:trHeight w:val="171"/>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Professional, accounting and consulting fees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w:t>
            </w:r>
          </w:p>
        </w:tc>
        <w:tc>
          <w:tcPr>
            <w:tcW w:w="0" w:type="dxa"/>
            <w:vAlign w:val="bottom"/>
          </w:tcPr>
          <w:p>
            <w:pPr>
              <w:spacing w:after="0"/>
              <w:rPr>
                <w:sz w:val="1"/>
                <w:szCs w:val="1"/>
                <w:color w:val="auto"/>
              </w:rPr>
            </w:pPr>
          </w:p>
        </w:tc>
      </w:tr>
      <w:tr>
        <w:trPr>
          <w:trHeight w:val="174"/>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expenses, net</w:t>
            </w: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63"/>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696</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2,114</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Priority does not provide a reconciliation of forward-looking non-GAAP financial measures to their comparable GAAP financial measures because it could not do so without unreasonable effort due to the unavailability of the information needed to calculate reconciling items and due to the variability, complexity and limited visibility of the adjusting items that would be excluded from the non-GAAP financial measures in future periods. When planning, forecasting and analyzing future periods, the Company does so primarily on a non-GAAP basis without preparing a GAAP analysis as that would require estimates for various cash and non-cash reconciling items that would be difficult to predict with reasonable accuracy. For example, stock-based compensation expense would be difficult to estimate because it depends on the Company's future hiring and retention needs, as well as the future fair market value of the Company's common stock, all of which are difficult to predict and subject to constant change. As a result, the Company does not believe that a GAAP reconciliation would provide meaningful supplemental information about the Company's outlook.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656" w:right="2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About Priority Technology Holdings, Inc.</w:t>
      </w:r>
    </w:p>
    <w:p>
      <w:pPr>
        <w:spacing w:after="0" w:line="16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Priority is a solution provider in Payments and Banking as a Service operating at scale with over 1.1 million active customers across its SMB, B2B and Enterprise channels processing approximately $127 billion in annual transaction volume and providing administration for over $1.1 billion in account balances. Priority is the payments and banking fintech that streamlines collecting, storing, lending, and sending money through its innovative commerce engine to unlock revenue and generate operational success for businesses. Additional information can be found at www.prioritycommerce.com.</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0A0A0A"/>
        </w:rPr>
        <w:t>Forward-Looking Statements</w:t>
      </w:r>
    </w:p>
    <w:p>
      <w:pPr>
        <w:spacing w:after="0" w:line="17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3"/>
          <w:szCs w:val="13"/>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"outlook" or words of similar meaning. These forward-looking statements include, but are not limited to, our 2024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Our actual results could differ materially, and potentially adversely, from those discussed or implied herein.</w:t>
      </w:r>
    </w:p>
    <w:p>
      <w:pPr>
        <w:spacing w:after="0" w:line="11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3"/>
          <w:szCs w:val="13"/>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most recent Annual Report on Form 10-K filed with the SEC on March 12, 2024. These filings are available online at www.sec.gov or www.prioritycommerce.com.</w:t>
      </w:r>
    </w:p>
    <w:p>
      <w:pPr>
        <w:spacing w:after="0" w:line="108"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3"/>
          <w:szCs w:val="13"/>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36"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Operations and Comprehensive Income (Loss)</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4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242424"/>
              </w:rPr>
              <w:t>2024</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227,049</w:t>
            </w:r>
          </w:p>
        </w:tc>
        <w:tc>
          <w:tcPr>
            <w:tcW w:w="60" w:type="dxa"/>
            <w:vAlign w:val="bottom"/>
          </w:tcPr>
          <w:p>
            <w:pPr>
              <w:spacing w:after="0"/>
              <w:rPr>
                <w:sz w:val="12"/>
                <w:szCs w:val="12"/>
                <w:color w:val="auto"/>
              </w:rPr>
            </w:pP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189,015</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652,635</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556,333</w:t>
            </w:r>
          </w:p>
        </w:tc>
        <w:tc>
          <w:tcPr>
            <w:tcW w:w="0" w:type="dxa"/>
            <w:vAlign w:val="bottom"/>
          </w:tcPr>
          <w:p>
            <w:pPr>
              <w:spacing w:after="0"/>
              <w:rPr>
                <w:sz w:val="1"/>
                <w:szCs w:val="1"/>
                <w:color w:val="auto"/>
              </w:rPr>
            </w:pPr>
          </w:p>
        </w:tc>
      </w:tr>
      <w:tr>
        <w:trPr>
          <w:trHeight w:val="131"/>
        </w:trPr>
        <w:tc>
          <w:tcPr>
            <w:tcW w:w="51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141,070</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116,682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408,486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353,929</w:t>
            </w: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21,748</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20,129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66,017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58,286</w:t>
            </w: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13,733</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17,275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44,230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53,303</w:t>
            </w: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12,413</w:t>
            </w:r>
          </w:p>
        </w:tc>
        <w:tc>
          <w:tcPr>
            <w:tcW w:w="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11,423</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34,620</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31,328</w:t>
            </w:r>
          </w:p>
        </w:tc>
        <w:tc>
          <w:tcPr>
            <w:tcW w:w="0" w:type="dxa"/>
            <w:vAlign w:val="bottom"/>
          </w:tcPr>
          <w:p>
            <w:pPr>
              <w:spacing w:after="0"/>
              <w:rPr>
                <w:sz w:val="1"/>
                <w:szCs w:val="1"/>
                <w:color w:val="auto"/>
              </w:rPr>
            </w:pPr>
          </w:p>
        </w:tc>
      </w:tr>
      <w:tr>
        <w:trPr>
          <w:trHeight w:val="142"/>
        </w:trPr>
        <w:tc>
          <w:tcPr>
            <w:tcW w:w="5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operating expenses</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188,964</w:t>
            </w:r>
          </w:p>
        </w:tc>
        <w:tc>
          <w:tcPr>
            <w:tcW w:w="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165,509</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553,353</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496,846</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38,085</w:t>
            </w:r>
          </w:p>
        </w:tc>
        <w:tc>
          <w:tcPr>
            <w:tcW w:w="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23,506</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99,282</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59,487</w:t>
            </w:r>
          </w:p>
        </w:tc>
        <w:tc>
          <w:tcPr>
            <w:tcW w:w="0" w:type="dxa"/>
            <w:vAlign w:val="bottom"/>
          </w:tcPr>
          <w:p>
            <w:pPr>
              <w:spacing w:after="0"/>
              <w:rPr>
                <w:sz w:val="1"/>
                <w:szCs w:val="1"/>
                <w:color w:val="auto"/>
              </w:rPr>
            </w:pPr>
          </w:p>
        </w:tc>
      </w:tr>
      <w:tr>
        <w:trPr>
          <w:trHeight w:val="131"/>
        </w:trPr>
        <w:tc>
          <w:tcPr>
            <w:tcW w:w="514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Other (expense) income</w:t>
            </w: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(23,246)</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(19,997)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(65,836)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(55,461)</w:t>
            </w: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(8,666)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711</w:t>
            </w:r>
          </w:p>
        </w:tc>
        <w:tc>
          <w:tcPr>
            <w:tcW w:w="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732</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2,011</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1,319</w:t>
            </w:r>
          </w:p>
        </w:tc>
        <w:tc>
          <w:tcPr>
            <w:tcW w:w="0" w:type="dxa"/>
            <w:vAlign w:val="bottom"/>
          </w:tcPr>
          <w:p>
            <w:pPr>
              <w:spacing w:after="0"/>
              <w:rPr>
                <w:sz w:val="1"/>
                <w:szCs w:val="1"/>
                <w:color w:val="auto"/>
              </w:rPr>
            </w:pPr>
          </w:p>
        </w:tc>
      </w:tr>
      <w:tr>
        <w:trPr>
          <w:trHeight w:val="142"/>
        </w:trPr>
        <w:tc>
          <w:tcPr>
            <w:tcW w:w="51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Total other expense, net</w:t>
            </w:r>
          </w:p>
        </w:tc>
        <w:tc>
          <w:tcPr>
            <w:tcW w:w="9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(22,578)</w:t>
            </w:r>
          </w:p>
        </w:tc>
        <w:tc>
          <w:tcPr>
            <w:tcW w:w="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(19,265)</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(72,491)</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(54,142)</w:t>
            </w:r>
          </w:p>
        </w:tc>
        <w:tc>
          <w:tcPr>
            <w:tcW w:w="0" w:type="dxa"/>
            <w:vAlign w:val="bottom"/>
          </w:tcPr>
          <w:p>
            <w:pPr>
              <w:spacing w:after="0"/>
              <w:rPr>
                <w:sz w:val="1"/>
                <w:szCs w:val="1"/>
                <w:color w:val="auto"/>
              </w:rPr>
            </w:pPr>
          </w:p>
        </w:tc>
      </w:tr>
      <w:tr>
        <w:trPr>
          <w:trHeight w:val="140"/>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Income before income taxes</w:t>
            </w:r>
          </w:p>
        </w:tc>
        <w:tc>
          <w:tcPr>
            <w:tcW w:w="980" w:type="dxa"/>
            <w:vAlign w:val="bottom"/>
          </w:tcPr>
          <w:p>
            <w:pPr>
              <w:spacing w:after="0"/>
              <w:rPr>
                <w:sz w:val="12"/>
                <w:szCs w:val="12"/>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15,507</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4,241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26,791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5,345</w:t>
            </w:r>
          </w:p>
        </w:tc>
        <w:tc>
          <w:tcPr>
            <w:tcW w:w="0" w:type="dxa"/>
            <w:vAlign w:val="bottom"/>
          </w:tcPr>
          <w:p>
            <w:pPr>
              <w:spacing w:after="0"/>
              <w:rPr>
                <w:sz w:val="1"/>
                <w:szCs w:val="1"/>
                <w:color w:val="auto"/>
              </w:rPr>
            </w:pPr>
          </w:p>
        </w:tc>
      </w:tr>
      <w:tr>
        <w:trPr>
          <w:trHeight w:val="155"/>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4,899</w:t>
            </w:r>
          </w:p>
        </w:tc>
        <w:tc>
          <w:tcPr>
            <w:tcW w:w="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4,328</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9,996</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6,550</w:t>
            </w:r>
          </w:p>
        </w:tc>
        <w:tc>
          <w:tcPr>
            <w:tcW w:w="0" w:type="dxa"/>
            <w:vAlign w:val="bottom"/>
          </w:tcPr>
          <w:p>
            <w:pPr>
              <w:spacing w:after="0"/>
              <w:rPr>
                <w:sz w:val="1"/>
                <w:szCs w:val="1"/>
                <w:color w:val="auto"/>
              </w:rPr>
            </w:pPr>
          </w:p>
        </w:tc>
      </w:tr>
      <w:tr>
        <w:trPr>
          <w:trHeight w:val="140"/>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980" w:type="dxa"/>
            <w:vAlign w:val="bottom"/>
          </w:tcPr>
          <w:p>
            <w:pPr>
              <w:spacing w:after="0"/>
              <w:rPr>
                <w:sz w:val="12"/>
                <w:szCs w:val="12"/>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10,608</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16,795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(1,205)</w:t>
            </w: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Dividends and accretion attributable to redeemable senior preferred stockholders</w:t>
            </w:r>
          </w:p>
        </w:tc>
        <w:tc>
          <w:tcPr>
            <w:tcW w:w="980" w:type="dxa"/>
            <w:vAlign w:val="bottom"/>
          </w:tcPr>
          <w:p>
            <w:pPr>
              <w:spacing w:after="0"/>
              <w:rPr>
                <w:sz w:val="13"/>
                <w:szCs w:val="13"/>
                <w:color w:val="auto"/>
              </w:rPr>
            </w:pP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(5,121)</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(12,192)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(36,348)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(35,252)</w:t>
            </w: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Less: Return on redeemable NCI in consolidated subsidiary</w:t>
            </w:r>
          </w:p>
        </w:tc>
        <w:tc>
          <w:tcPr>
            <w:tcW w:w="9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(639)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6"/>
        </w:trPr>
        <w:tc>
          <w:tcPr>
            <w:tcW w:w="5140" w:type="dxa"/>
            <w:vAlign w:val="bottom"/>
          </w:tcPr>
          <w:p>
            <w:pPr>
              <w:spacing w:after="0" w:line="136" w:lineRule="exact"/>
              <w:rPr>
                <w:sz w:val="20"/>
                <w:szCs w:val="20"/>
                <w:color w:val="auto"/>
              </w:rPr>
            </w:pPr>
            <w:r>
              <w:rPr>
                <w:rFonts w:ascii="Times New Roman" w:cs="Times New Roman" w:eastAsia="Times New Roman" w:hAnsi="Times New Roman"/>
                <w:sz w:val="12"/>
                <w:szCs w:val="12"/>
                <w:b w:val="1"/>
                <w:bCs w:val="1"/>
                <w:color w:val="auto"/>
              </w:rPr>
              <w:t>Net income (loss) attributable to common stockholders</w:t>
            </w:r>
          </w:p>
        </w:tc>
        <w:tc>
          <w:tcPr>
            <w:tcW w:w="9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5,487</w:t>
            </w:r>
          </w:p>
        </w:tc>
        <w:tc>
          <w:tcPr>
            <w:tcW w:w="6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(12,279)</w:t>
            </w:r>
          </w:p>
        </w:tc>
        <w:tc>
          <w:tcPr>
            <w:tcW w:w="100" w:type="dxa"/>
            <w:vAlign w:val="bottom"/>
          </w:tcPr>
          <w:p>
            <w:pPr>
              <w:spacing w:after="0"/>
              <w:rPr>
                <w:sz w:val="11"/>
                <w:szCs w:val="11"/>
                <w:color w:val="auto"/>
              </w:rPr>
            </w:pPr>
          </w:p>
        </w:tc>
        <w:tc>
          <w:tcPr>
            <w:tcW w:w="30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(20,192)</w:t>
            </w:r>
          </w:p>
        </w:tc>
        <w:tc>
          <w:tcPr>
            <w:tcW w:w="80" w:type="dxa"/>
            <w:vAlign w:val="bottom"/>
          </w:tcPr>
          <w:p>
            <w:pPr>
              <w:spacing w:after="0"/>
              <w:rPr>
                <w:sz w:val="11"/>
                <w:szCs w:val="11"/>
                <w:color w:val="auto"/>
              </w:rPr>
            </w:pPr>
          </w:p>
        </w:tc>
        <w:tc>
          <w:tcPr>
            <w:tcW w:w="340" w:type="dxa"/>
            <w:vAlign w:val="bottom"/>
            <w:tcBorders>
              <w:top w:val="single" w:sz="8" w:color="auto"/>
            </w:tcBorders>
          </w:tcPr>
          <w:p>
            <w:pPr>
              <w:jc w:val="right"/>
              <w:ind w:right="200"/>
              <w:spacing w:after="0" w:line="136" w:lineRule="exact"/>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(36,457)</w:t>
            </w:r>
          </w:p>
        </w:tc>
        <w:tc>
          <w:tcPr>
            <w:tcW w:w="0" w:type="dxa"/>
            <w:vAlign w:val="bottom"/>
          </w:tcPr>
          <w:p>
            <w:pPr>
              <w:spacing w:after="0"/>
              <w:rPr>
                <w:sz w:val="1"/>
                <w:szCs w:val="1"/>
                <w:color w:val="auto"/>
              </w:rPr>
            </w:pPr>
          </w:p>
        </w:tc>
      </w:tr>
      <w:tr>
        <w:trPr>
          <w:trHeight w:val="157"/>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 loss)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Comprehensive income (loss)</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5,459</w:t>
            </w:r>
          </w:p>
        </w:tc>
        <w:tc>
          <w:tcPr>
            <w:tcW w:w="60" w:type="dxa"/>
            <w:vAlign w:val="bottom"/>
          </w:tcPr>
          <w:p>
            <w:pPr>
              <w:spacing w:after="0"/>
              <w:rPr>
                <w:sz w:val="12"/>
                <w:szCs w:val="12"/>
                <w:color w:val="auto"/>
              </w:rPr>
            </w:pP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(12,344)</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(20,229)</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(36,491)</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Earnings (loss) per common share:</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1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60" w:type="dxa"/>
            <w:vAlign w:val="bottom"/>
          </w:tcPr>
          <w:p>
            <w:pPr>
              <w:spacing w:after="0"/>
              <w:rPr>
                <w:sz w:val="13"/>
                <w:szCs w:val="13"/>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(0.47)</w:t>
            </w:r>
          </w:p>
        </w:tc>
        <w:tc>
          <w:tcPr>
            <w:tcW w:w="0" w:type="dxa"/>
            <w:vAlign w:val="bottom"/>
          </w:tcPr>
          <w:p>
            <w:pPr>
              <w:spacing w:after="0"/>
              <w:rPr>
                <w:sz w:val="1"/>
                <w:szCs w:val="1"/>
                <w:color w:val="auto"/>
              </w:rPr>
            </w:pPr>
          </w:p>
        </w:tc>
      </w:tr>
      <w:tr>
        <w:trPr>
          <w:trHeight w:val="149"/>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60" w:type="dxa"/>
            <w:vAlign w:val="bottom"/>
          </w:tcPr>
          <w:p>
            <w:pPr>
              <w:spacing w:after="0"/>
              <w:rPr>
                <w:sz w:val="12"/>
                <w:szCs w:val="12"/>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00" w:type="dxa"/>
            <w:vAlign w:val="bottom"/>
          </w:tcPr>
          <w:p>
            <w:pPr>
              <w:spacing w:after="0"/>
              <w:rPr>
                <w:sz w:val="12"/>
                <w:szCs w:val="12"/>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80" w:type="dxa"/>
            <w:vAlign w:val="bottom"/>
          </w:tcPr>
          <w:p>
            <w:pPr>
              <w:spacing w:after="0"/>
              <w:rPr>
                <w:sz w:val="12"/>
                <w:szCs w:val="12"/>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(0.47)</w:t>
            </w:r>
          </w:p>
        </w:tc>
        <w:tc>
          <w:tcPr>
            <w:tcW w:w="0" w:type="dxa"/>
            <w:vAlign w:val="bottom"/>
          </w:tcPr>
          <w:p>
            <w:pPr>
              <w:spacing w:after="0"/>
              <w:rPr>
                <w:sz w:val="1"/>
                <w:szCs w:val="1"/>
                <w:color w:val="auto"/>
              </w:rPr>
            </w:pPr>
          </w:p>
        </w:tc>
      </w:tr>
      <w:tr>
        <w:trPr>
          <w:trHeight w:val="157"/>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77,973</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78,381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77,910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78,270</w:t>
            </w:r>
          </w:p>
        </w:tc>
        <w:tc>
          <w:tcPr>
            <w:tcW w:w="0" w:type="dxa"/>
            <w:vAlign w:val="bottom"/>
          </w:tcPr>
          <w:p>
            <w:pPr>
              <w:spacing w:after="0"/>
              <w:rPr>
                <w:sz w:val="1"/>
                <w:szCs w:val="1"/>
                <w:color w:val="auto"/>
              </w:rPr>
            </w:pPr>
          </w:p>
        </w:tc>
      </w:tr>
      <w:tr>
        <w:trPr>
          <w:trHeight w:val="155"/>
        </w:trPr>
        <w:tc>
          <w:tcPr>
            <w:tcW w:w="5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80,095</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78,381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77,910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78,270</w:t>
            </w:r>
          </w:p>
        </w:tc>
        <w:tc>
          <w:tcPr>
            <w:tcW w:w="0" w:type="dxa"/>
            <w:vAlign w:val="bottom"/>
          </w:tcPr>
          <w:p>
            <w:pPr>
              <w:spacing w:after="0"/>
              <w:rPr>
                <w:sz w:val="1"/>
                <w:szCs w:val="1"/>
                <w:color w:val="auto"/>
              </w:rPr>
            </w:pPr>
          </w:p>
        </w:tc>
      </w:tr>
      <w:tr>
        <w:trPr>
          <w:trHeight w:val="882"/>
        </w:trPr>
        <w:tc>
          <w:tcPr>
            <w:tcW w:w="5140" w:type="dxa"/>
            <w:vAlign w:val="bottom"/>
          </w:tcPr>
          <w:p>
            <w:pPr>
              <w:spacing w:after="0"/>
              <w:rPr>
                <w:sz w:val="24"/>
                <w:szCs w:val="24"/>
                <w:color w:val="auto"/>
              </w:rPr>
            </w:pPr>
          </w:p>
        </w:tc>
        <w:tc>
          <w:tcPr>
            <w:tcW w:w="9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6</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85" w:right="2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Consolidated Balance Sheets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2024</w:t>
            </w:r>
          </w:p>
        </w:tc>
        <w:tc>
          <w:tcPr>
            <w:tcW w:w="300" w:type="dxa"/>
            <w:vAlign w:val="bottom"/>
          </w:tcPr>
          <w:p>
            <w:pPr>
              <w:spacing w:after="0"/>
              <w:rPr>
                <w:sz w:val="13"/>
                <w:szCs w:val="13"/>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0" w:type="dxa"/>
            <w:vAlign w:val="bottom"/>
          </w:tcPr>
          <w:p>
            <w:pPr>
              <w:spacing w:after="0"/>
              <w:rPr>
                <w:sz w:val="1"/>
                <w:szCs w:val="1"/>
                <w:color w:val="auto"/>
              </w:rPr>
            </w:pPr>
          </w:p>
        </w:tc>
      </w:tr>
      <w:tr>
        <w:trPr>
          <w:trHeight w:val="131"/>
        </w:trPr>
        <w:tc>
          <w:tcPr>
            <w:tcW w:w="5180" w:type="dxa"/>
            <w:vAlign w:val="bottom"/>
            <w:vMerge w:val="continue"/>
          </w:tcPr>
          <w:p>
            <w:pPr>
              <w:spacing w:after="0"/>
              <w:rPr>
                <w:sz w:val="11"/>
                <w:szCs w:val="11"/>
                <w:color w:val="auto"/>
              </w:rPr>
            </w:pPr>
          </w:p>
        </w:tc>
        <w:tc>
          <w:tcPr>
            <w:tcW w:w="20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41,072</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39,604</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13,398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11,923</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 net of allowances</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73,393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58,551</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13,273</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notes receivable, net of allowance</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1,468</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assets and customer/subscriber account balances</w:t>
            </w:r>
          </w:p>
        </w:tc>
        <w:tc>
          <w:tcPr>
            <w:tcW w:w="2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879,361</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756,475</w:t>
            </w:r>
          </w:p>
        </w:tc>
        <w:tc>
          <w:tcPr>
            <w:tcW w:w="0" w:type="dxa"/>
            <w:vAlign w:val="bottom"/>
          </w:tcPr>
          <w:p>
            <w:pPr>
              <w:spacing w:after="0"/>
              <w:rPr>
                <w:sz w:val="1"/>
                <w:szCs w:val="1"/>
                <w:color w:val="auto"/>
              </w:rPr>
            </w:pPr>
          </w:p>
        </w:tc>
      </w:tr>
      <w:tr>
        <w:trPr>
          <w:trHeight w:val="140"/>
        </w:trPr>
        <w:tc>
          <w:tcPr>
            <w:tcW w:w="51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assets</w:t>
            </w: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1,028,894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881,294</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3,728</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51,603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44,680</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376,091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376,103</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248,819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273,350</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22,533</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25,058</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13,649</w:t>
            </w:r>
          </w:p>
        </w:tc>
        <w:tc>
          <w:tcPr>
            <w:tcW w:w="0" w:type="dxa"/>
            <w:vAlign w:val="bottom"/>
          </w:tcPr>
          <w:p>
            <w:pPr>
              <w:spacing w:after="0"/>
              <w:rPr>
                <w:sz w:val="1"/>
                <w:szCs w:val="1"/>
                <w:color w:val="auto"/>
              </w:rPr>
            </w:pPr>
          </w:p>
        </w:tc>
      </w:tr>
      <w:tr>
        <w:trPr>
          <w:trHeight w:val="142"/>
        </w:trPr>
        <w:tc>
          <w:tcPr>
            <w:tcW w:w="5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00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1,759,669</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Liabilities, Redeemable Senior Preferred Stock, Redeemable NCI, and Stockholders' Deficit</w:t>
            </w:r>
          </w:p>
        </w:tc>
        <w:tc>
          <w:tcPr>
            <w:tcW w:w="2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8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67,009</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52,643</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35,818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33,025</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3,934</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8,350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6,712</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 obligations</w:t>
            </w:r>
          </w:p>
        </w:tc>
        <w:tc>
          <w:tcPr>
            <w:tcW w:w="2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875,815</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755,754</w:t>
            </w:r>
          </w:p>
        </w:tc>
        <w:tc>
          <w:tcPr>
            <w:tcW w:w="0" w:type="dxa"/>
            <w:vAlign w:val="bottom"/>
          </w:tcPr>
          <w:p>
            <w:pPr>
              <w:spacing w:after="0"/>
              <w:rPr>
                <w:sz w:val="1"/>
                <w:szCs w:val="1"/>
                <w:color w:val="auto"/>
              </w:rPr>
            </w:pPr>
          </w:p>
        </w:tc>
      </w:tr>
      <w:tr>
        <w:trPr>
          <w:trHeight w:val="140"/>
        </w:trPr>
        <w:tc>
          <w:tcPr>
            <w:tcW w:w="518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991,197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852,068</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808,081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631,965</w:t>
            </w:r>
          </w:p>
        </w:tc>
        <w:tc>
          <w:tcPr>
            <w:tcW w:w="0" w:type="dxa"/>
            <w:vAlign w:val="bottom"/>
          </w:tcPr>
          <w:p>
            <w:pPr>
              <w:spacing w:after="0"/>
              <w:rPr>
                <w:sz w:val="1"/>
                <w:szCs w:val="1"/>
                <w:color w:val="auto"/>
              </w:rPr>
            </w:pPr>
          </w:p>
        </w:tc>
      </w:tr>
      <w:tr>
        <w:trPr>
          <w:trHeight w:val="155"/>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19,241</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18,763</w:t>
            </w:r>
          </w:p>
        </w:tc>
        <w:tc>
          <w:tcPr>
            <w:tcW w:w="0" w:type="dxa"/>
            <w:vAlign w:val="bottom"/>
          </w:tcPr>
          <w:p>
            <w:pPr>
              <w:spacing w:after="0"/>
              <w:rPr>
                <w:sz w:val="1"/>
                <w:szCs w:val="1"/>
                <w:color w:val="auto"/>
              </w:rPr>
            </w:pPr>
          </w:p>
        </w:tc>
      </w:tr>
      <w:tr>
        <w:trPr>
          <w:trHeight w:val="142"/>
        </w:trPr>
        <w:tc>
          <w:tcPr>
            <w:tcW w:w="518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0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1,818,519</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1,502,796</w:t>
            </w:r>
          </w:p>
        </w:tc>
        <w:tc>
          <w:tcPr>
            <w:tcW w:w="0" w:type="dxa"/>
            <w:vAlign w:val="bottom"/>
          </w:tcPr>
          <w:p>
            <w:pPr>
              <w:spacing w:after="0"/>
              <w:rPr>
                <w:sz w:val="1"/>
                <w:szCs w:val="1"/>
                <w:color w:val="auto"/>
              </w:rPr>
            </w:pPr>
          </w:p>
        </w:tc>
      </w:tr>
      <w:tr>
        <w:trPr>
          <w:trHeight w:val="140"/>
        </w:trPr>
        <w:tc>
          <w:tcPr>
            <w:tcW w:w="51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Redeemable senior preferred stock, net of discounts and issuance costs</w:t>
            </w: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105,098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258,605</w:t>
            </w:r>
          </w:p>
        </w:tc>
        <w:tc>
          <w:tcPr>
            <w:tcW w:w="0" w:type="dxa"/>
            <w:vAlign w:val="bottom"/>
          </w:tcPr>
          <w:p>
            <w:pPr>
              <w:spacing w:after="0"/>
              <w:rPr>
                <w:sz w:val="1"/>
                <w:szCs w:val="1"/>
                <w:color w:val="auto"/>
              </w:rPr>
            </w:pPr>
          </w:p>
        </w:tc>
      </w:tr>
      <w:tr>
        <w:trPr>
          <w:trHeight w:val="153"/>
        </w:trPr>
        <w:tc>
          <w:tcPr>
            <w:tcW w:w="518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Preferred stock</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Common stock</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Treasury stock, at cost</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(19,278)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(12,815)</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(146,571)</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(134,951)</w:t>
            </w:r>
          </w:p>
        </w:tc>
        <w:tc>
          <w:tcPr>
            <w:tcW w:w="0" w:type="dxa"/>
            <w:vAlign w:val="bottom"/>
          </w:tcPr>
          <w:p>
            <w:pPr>
              <w:spacing w:after="0"/>
              <w:rPr>
                <w:sz w:val="1"/>
                <w:szCs w:val="1"/>
                <w:color w:val="auto"/>
              </w:rPr>
            </w:pPr>
          </w:p>
        </w:tc>
      </w:tr>
      <w:tr>
        <w:trPr>
          <w:trHeight w:val="140"/>
        </w:trPr>
        <w:tc>
          <w:tcPr>
            <w:tcW w:w="518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Priority</w:t>
            </w: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(165,838)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(147,718)</w:t>
            </w:r>
          </w:p>
        </w:tc>
        <w:tc>
          <w:tcPr>
            <w:tcW w:w="0" w:type="dxa"/>
            <w:vAlign w:val="bottom"/>
          </w:tcPr>
          <w:p>
            <w:pPr>
              <w:spacing w:after="0"/>
              <w:rPr>
                <w:sz w:val="1"/>
                <w:szCs w:val="1"/>
                <w:color w:val="auto"/>
              </w:rPr>
            </w:pPr>
          </w:p>
        </w:tc>
      </w:tr>
      <w:tr>
        <w:trPr>
          <w:trHeight w:val="155"/>
        </w:trPr>
        <w:tc>
          <w:tcPr>
            <w:tcW w:w="51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2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1,890</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1,654</w:t>
            </w:r>
          </w:p>
        </w:tc>
        <w:tc>
          <w:tcPr>
            <w:tcW w:w="0" w:type="dxa"/>
            <w:vAlign w:val="bottom"/>
          </w:tcPr>
          <w:p>
            <w:pPr>
              <w:spacing w:after="0"/>
              <w:rPr>
                <w:sz w:val="1"/>
                <w:szCs w:val="1"/>
                <w:color w:val="auto"/>
              </w:rPr>
            </w:pPr>
          </w:p>
        </w:tc>
      </w:tr>
      <w:tr>
        <w:trPr>
          <w:trHeight w:val="142"/>
        </w:trPr>
        <w:tc>
          <w:tcPr>
            <w:tcW w:w="51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0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(163,948)</w:t>
            </w: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(146,064)</w:t>
            </w:r>
          </w:p>
        </w:tc>
        <w:tc>
          <w:tcPr>
            <w:tcW w:w="0" w:type="dxa"/>
            <w:vAlign w:val="bottom"/>
          </w:tcPr>
          <w:p>
            <w:pPr>
              <w:spacing w:after="0"/>
              <w:rPr>
                <w:sz w:val="1"/>
                <w:szCs w:val="1"/>
                <w:color w:val="auto"/>
              </w:rPr>
            </w:pPr>
          </w:p>
        </w:tc>
      </w:tr>
      <w:tr>
        <w:trPr>
          <w:trHeight w:val="142"/>
        </w:trPr>
        <w:tc>
          <w:tcPr>
            <w:tcW w:w="51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redeemable senior preferred stock, redeemable NCI and stockholders' deficit</w:t>
            </w:r>
          </w:p>
        </w:tc>
        <w:tc>
          <w:tcPr>
            <w:tcW w:w="200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1,759,669</w:t>
            </w: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1,615,337</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0" w:type="dxa"/>
            <w:vAlign w:val="bottom"/>
            <w:vMerge w:val="restart"/>
          </w:tcPr>
          <w:p>
            <w:pPr>
              <w:jc w:val="right"/>
              <w:ind w:right="1440"/>
              <w:spacing w:after="0"/>
              <w:rPr>
                <w:sz w:val="20"/>
                <w:szCs w:val="20"/>
                <w:color w:val="auto"/>
              </w:rPr>
            </w:pPr>
            <w:r>
              <w:rPr>
                <w:rFonts w:ascii="Times New Roman" w:cs="Times New Roman" w:eastAsia="Times New Roman" w:hAnsi="Times New Roman"/>
                <w:sz w:val="12"/>
                <w:szCs w:val="12"/>
                <w:color w:val="auto"/>
              </w:rPr>
              <w:t>7</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1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5" w:right="319" w:bottom="1440" w:gutter="0" w:footer="0" w:header="0"/>
        </w:sectPr>
      </w:pPr>
    </w:p>
    <w:bookmarkStart w:id="10" w:name="page11"/>
    <w:bookmarkEnd w:id="10"/>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Unaudited Consolidated Statements of Cash Flows</w:t>
      </w:r>
    </w:p>
    <w:p>
      <w:pPr>
        <w:jc w:val="center"/>
        <w:ind w:righ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125"/>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2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860" w:type="dxa"/>
            <w:vAlign w:val="bottom"/>
          </w:tcPr>
          <w:p>
            <w:pPr>
              <w:spacing w:after="0"/>
              <w:rPr>
                <w:sz w:val="12"/>
                <w:szCs w:val="12"/>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2024</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2023</w:t>
            </w: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200" w:type="dxa"/>
            <w:vAlign w:val="bottom"/>
            <w:vMerge w:val="continue"/>
          </w:tcPr>
          <w:p>
            <w:pPr>
              <w:spacing w:after="0"/>
              <w:rPr>
                <w:sz w:val="11"/>
                <w:szCs w:val="11"/>
                <w:color w:val="auto"/>
              </w:rPr>
            </w:pPr>
          </w:p>
        </w:tc>
        <w:tc>
          <w:tcPr>
            <w:tcW w:w="2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(loss)</w:t>
            </w:r>
          </w:p>
        </w:tc>
        <w:tc>
          <w:tcPr>
            <w:tcW w:w="3860" w:type="dxa"/>
            <w:vAlign w:val="bottom"/>
            <w:gridSpan w:val="2"/>
          </w:tcPr>
          <w:p>
            <w:pPr>
              <w:jc w:val="right"/>
              <w:ind w:right="883"/>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16,795</w:t>
            </w:r>
          </w:p>
        </w:tc>
        <w:tc>
          <w:tcPr>
            <w:tcW w:w="80" w:type="dxa"/>
            <w:vAlign w:val="bottom"/>
          </w:tcPr>
          <w:p>
            <w:pPr>
              <w:spacing w:after="0"/>
              <w:rPr>
                <w:sz w:val="13"/>
                <w:szCs w:val="13"/>
                <w:color w:val="auto"/>
              </w:rPr>
            </w:pPr>
          </w:p>
        </w:tc>
        <w:tc>
          <w:tcPr>
            <w:tcW w:w="102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(1,205)</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 of assets</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53,303</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ESPP and incentive units compensation</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4,878</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5,183</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discounts</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2,812</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(2,944)</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(2,432)</w:t>
            </w:r>
          </w:p>
        </w:tc>
        <w:tc>
          <w:tcPr>
            <w:tcW w:w="0" w:type="dxa"/>
            <w:vAlign w:val="bottom"/>
          </w:tcPr>
          <w:p>
            <w:pPr>
              <w:spacing w:after="0"/>
              <w:rPr>
                <w:sz w:val="1"/>
                <w:szCs w:val="1"/>
                <w:color w:val="auto"/>
              </w:rPr>
            </w:pPr>
          </w:p>
        </w:tc>
      </w:tr>
      <w:tr>
        <w:trPr>
          <w:trHeight w:val="153"/>
        </w:trPr>
        <w:tc>
          <w:tcPr>
            <w:tcW w:w="5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contingent consideration</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906</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non-cash items, net</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receivable</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(15,712)</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17,931</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(2,808)</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(2,630)</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Income taxes (receivable) payable</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Notes receivable</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(883)</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(668)</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Accounts payable and other accrued liabilities</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12,864</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0" w:type="dxa"/>
            <w:vAlign w:val="bottom"/>
          </w:tcPr>
          <w:p>
            <w:pPr>
              <w:spacing w:after="0"/>
              <w:rPr>
                <w:sz w:val="1"/>
                <w:szCs w:val="1"/>
                <w:color w:val="auto"/>
              </w:rPr>
            </w:pPr>
          </w:p>
        </w:tc>
      </w:tr>
      <w:tr>
        <w:trPr>
          <w:trHeight w:val="153"/>
        </w:trPr>
        <w:tc>
          <w:tcPr>
            <w:tcW w:w="5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3,802</w:t>
            </w:r>
          </w:p>
        </w:tc>
        <w:tc>
          <w:tcPr>
            <w:tcW w:w="0" w:type="dxa"/>
            <w:vAlign w:val="bottom"/>
          </w:tcPr>
          <w:p>
            <w:pPr>
              <w:spacing w:after="0"/>
              <w:rPr>
                <w:sz w:val="1"/>
                <w:szCs w:val="1"/>
                <w:color w:val="auto"/>
              </w:rPr>
            </w:pPr>
          </w:p>
        </w:tc>
      </w:tr>
      <w:tr>
        <w:trPr>
          <w:trHeight w:val="155"/>
        </w:trPr>
        <w:tc>
          <w:tcPr>
            <w:tcW w:w="52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Other assets and liabilities, net</w:t>
            </w:r>
          </w:p>
        </w:tc>
        <w:tc>
          <w:tcPr>
            <w:tcW w:w="28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(5,998)</w:t>
            </w: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(4,953)</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28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61,852</w:t>
            </w:r>
          </w:p>
        </w:tc>
        <w:tc>
          <w:tcPr>
            <w:tcW w:w="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72,680</w:t>
            </w:r>
          </w:p>
        </w:tc>
        <w:tc>
          <w:tcPr>
            <w:tcW w:w="0" w:type="dxa"/>
            <w:vAlign w:val="bottom"/>
          </w:tcPr>
          <w:p>
            <w:pPr>
              <w:spacing w:after="0"/>
              <w:rPr>
                <w:sz w:val="1"/>
                <w:szCs w:val="1"/>
                <w:color w:val="auto"/>
              </w:rPr>
            </w:pPr>
          </w:p>
        </w:tc>
      </w:tr>
      <w:tr>
        <w:trPr>
          <w:trHeight w:val="131"/>
        </w:trPr>
        <w:tc>
          <w:tcPr>
            <w:tcW w:w="5200" w:type="dxa"/>
            <w:vAlign w:val="bottom"/>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2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 of business, net of cash acquired</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(28,182)</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(17,044)</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(15,268)</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Notes receivable, net</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Acquisitions of assets and other investing activities</w:t>
            </w:r>
          </w:p>
        </w:tc>
        <w:tc>
          <w:tcPr>
            <w:tcW w:w="28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(7,474)</w:t>
            </w: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(7,925)</w:t>
            </w:r>
          </w:p>
        </w:tc>
        <w:tc>
          <w:tcPr>
            <w:tcW w:w="0" w:type="dxa"/>
            <w:vAlign w:val="bottom"/>
          </w:tcPr>
          <w:p>
            <w:pPr>
              <w:spacing w:after="0"/>
              <w:rPr>
                <w:sz w:val="1"/>
                <w:szCs w:val="1"/>
                <w:color w:val="auto"/>
              </w:rPr>
            </w:pPr>
          </w:p>
        </w:tc>
      </w:tr>
      <w:tr>
        <w:trPr>
          <w:trHeight w:val="142"/>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28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(24,734)</w:t>
            </w:r>
          </w:p>
        </w:tc>
        <w:tc>
          <w:tcPr>
            <w:tcW w:w="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(51,224)</w:t>
            </w:r>
          </w:p>
        </w:tc>
        <w:tc>
          <w:tcPr>
            <w:tcW w:w="0" w:type="dxa"/>
            <w:vAlign w:val="bottom"/>
          </w:tcPr>
          <w:p>
            <w:pPr>
              <w:spacing w:after="0"/>
              <w:rPr>
                <w:sz w:val="1"/>
                <w:szCs w:val="1"/>
                <w:color w:val="auto"/>
              </w:rPr>
            </w:pPr>
          </w:p>
        </w:tc>
      </w:tr>
      <w:tr>
        <w:trPr>
          <w:trHeight w:val="131"/>
        </w:trPr>
        <w:tc>
          <w:tcPr>
            <w:tcW w:w="520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issuance of long-term debt, net of issue discount</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830,200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Debt issuance and modification costs paid</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(6,901)</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(807)</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(656,460)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Borrowings under revolving credit facility</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of borrowings under revolving credit facility</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(23,500)</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PHOT redeemable NCI</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(2,130)</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Repurchases of shares withheld for taxes</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(1,208)</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senior preferred stock</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(136,936)</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Redemption of accumulated unpaid dividend on redeemable senior preferred stock</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(30,819)</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Dividends paid to redeemable senior preferred stockholders</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(22,099)</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(17,908)</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Settlement and customer/subscriber accounts obligations, net</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116,065</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165,610</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 of contingent consideration related to business combination</w:t>
            </w:r>
          </w:p>
        </w:tc>
        <w:tc>
          <w:tcPr>
            <w:tcW w:w="28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(4,996)</w:t>
            </w: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(4,698)</w:t>
            </w:r>
          </w:p>
        </w:tc>
        <w:tc>
          <w:tcPr>
            <w:tcW w:w="0" w:type="dxa"/>
            <w:vAlign w:val="bottom"/>
          </w:tcPr>
          <w:p>
            <w:pPr>
              <w:spacing w:after="0"/>
              <w:rPr>
                <w:sz w:val="1"/>
                <w:szCs w:val="1"/>
                <w:color w:val="auto"/>
              </w:rPr>
            </w:pPr>
          </w:p>
        </w:tc>
      </w:tr>
      <w:tr>
        <w:trPr>
          <w:trHeight w:val="136"/>
        </w:trPr>
        <w:tc>
          <w:tcPr>
            <w:tcW w:w="5200" w:type="dxa"/>
            <w:vAlign w:val="bottom"/>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2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84,716</w:t>
            </w: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157,029</w:t>
            </w:r>
          </w:p>
        </w:tc>
        <w:tc>
          <w:tcPr>
            <w:tcW w:w="0" w:type="dxa"/>
            <w:vAlign w:val="bottom"/>
          </w:tcPr>
          <w:p>
            <w:pPr>
              <w:spacing w:after="0"/>
              <w:rPr>
                <w:sz w:val="1"/>
                <w:szCs w:val="1"/>
                <w:color w:val="auto"/>
              </w:rPr>
            </w:pPr>
          </w:p>
        </w:tc>
      </w:tr>
      <w:tr>
        <w:trPr>
          <w:trHeight w:val="157"/>
        </w:trPr>
        <w:tc>
          <w:tcPr>
            <w:tcW w:w="5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change in cash and cash equivalents and restricted cash:</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increase in cash and cash equivalents, and restricted cash</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121,834</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178,485</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period</w:t>
            </w:r>
          </w:p>
        </w:tc>
        <w:tc>
          <w:tcPr>
            <w:tcW w:w="28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796,223</w:t>
            </w: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560,610</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period</w:t>
            </w:r>
          </w:p>
        </w:tc>
        <w:tc>
          <w:tcPr>
            <w:tcW w:w="2860" w:type="dxa"/>
            <w:vAlign w:val="bottom"/>
          </w:tcPr>
          <w:p>
            <w:pPr>
              <w:spacing w:after="0"/>
              <w:rPr>
                <w:sz w:val="12"/>
                <w:szCs w:val="12"/>
                <w:color w:val="auto"/>
              </w:rPr>
            </w:pPr>
          </w:p>
        </w:tc>
        <w:tc>
          <w:tcPr>
            <w:tcW w:w="100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918,057</w:t>
            </w:r>
          </w:p>
        </w:tc>
        <w:tc>
          <w:tcPr>
            <w:tcW w:w="80" w:type="dxa"/>
            <w:vAlign w:val="bottom"/>
          </w:tcPr>
          <w:p>
            <w:pPr>
              <w:spacing w:after="0"/>
              <w:rPr>
                <w:sz w:val="12"/>
                <w:szCs w:val="12"/>
                <w:color w:val="auto"/>
              </w:rPr>
            </w:pPr>
          </w:p>
        </w:tc>
        <w:tc>
          <w:tcPr>
            <w:tcW w:w="102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739,095</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cash and cash equivalents, and restricted cash:</w:t>
            </w:r>
          </w:p>
        </w:tc>
        <w:tc>
          <w:tcPr>
            <w:tcW w:w="2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0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860" w:type="dxa"/>
            <w:vAlign w:val="bottom"/>
            <w:gridSpan w:val="2"/>
          </w:tcPr>
          <w:p>
            <w:pPr>
              <w:jc w:val="right"/>
              <w:ind w:right="883"/>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41,072</w:t>
            </w:r>
          </w:p>
        </w:tc>
        <w:tc>
          <w:tcPr>
            <w:tcW w:w="80" w:type="dxa"/>
            <w:vAlign w:val="bottom"/>
          </w:tcPr>
          <w:p>
            <w:pPr>
              <w:spacing w:after="0"/>
              <w:rPr>
                <w:sz w:val="13"/>
                <w:szCs w:val="13"/>
                <w:color w:val="auto"/>
              </w:rPr>
            </w:pPr>
          </w:p>
        </w:tc>
        <w:tc>
          <w:tcPr>
            <w:tcW w:w="102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24,595</w:t>
            </w:r>
          </w:p>
        </w:tc>
        <w:tc>
          <w:tcPr>
            <w:tcW w:w="0" w:type="dxa"/>
            <w:vAlign w:val="bottom"/>
          </w:tcPr>
          <w:p>
            <w:pPr>
              <w:spacing w:after="0"/>
              <w:rPr>
                <w:sz w:val="1"/>
                <w:szCs w:val="1"/>
                <w:color w:val="auto"/>
              </w:rPr>
            </w:pPr>
          </w:p>
        </w:tc>
      </w:tr>
      <w:tr>
        <w:trPr>
          <w:trHeight w:val="153"/>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13,398</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13,890</w:t>
            </w:r>
          </w:p>
        </w:tc>
        <w:tc>
          <w:tcPr>
            <w:tcW w:w="0" w:type="dxa"/>
            <w:vAlign w:val="bottom"/>
          </w:tcPr>
          <w:p>
            <w:pPr>
              <w:spacing w:after="0"/>
              <w:rPr>
                <w:sz w:val="1"/>
                <w:szCs w:val="1"/>
                <w:color w:val="auto"/>
              </w:rPr>
            </w:pPr>
          </w:p>
        </w:tc>
      </w:tr>
      <w:tr>
        <w:trPr>
          <w:trHeight w:val="155"/>
        </w:trPr>
        <w:tc>
          <w:tcPr>
            <w:tcW w:w="5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and cash equivalents included in settlement assets and customer/subscriber account balances</w:t>
            </w:r>
          </w:p>
        </w:tc>
        <w:tc>
          <w:tcPr>
            <w:tcW w:w="28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863,587</w:t>
            </w:r>
          </w:p>
        </w:tc>
        <w:tc>
          <w:tcPr>
            <w:tcW w:w="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700,610</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cash and cash equivalents, and restricted cash</w:t>
            </w:r>
          </w:p>
        </w:tc>
        <w:tc>
          <w:tcPr>
            <w:tcW w:w="2860" w:type="dxa"/>
            <w:vAlign w:val="bottom"/>
          </w:tcPr>
          <w:p>
            <w:pPr>
              <w:spacing w:after="0"/>
              <w:rPr>
                <w:sz w:val="12"/>
                <w:szCs w:val="12"/>
                <w:color w:val="auto"/>
              </w:rPr>
            </w:pPr>
          </w:p>
        </w:tc>
        <w:tc>
          <w:tcPr>
            <w:tcW w:w="100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918,057</w:t>
            </w:r>
          </w:p>
        </w:tc>
        <w:tc>
          <w:tcPr>
            <w:tcW w:w="80" w:type="dxa"/>
            <w:vAlign w:val="bottom"/>
          </w:tcPr>
          <w:p>
            <w:pPr>
              <w:spacing w:after="0"/>
              <w:rPr>
                <w:sz w:val="12"/>
                <w:szCs w:val="12"/>
                <w:color w:val="auto"/>
              </w:rPr>
            </w:pPr>
          </w:p>
        </w:tc>
        <w:tc>
          <w:tcPr>
            <w:tcW w:w="102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739,095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60" w:type="dxa"/>
            <w:vAlign w:val="bottom"/>
            <w:vMerge w:val="restart"/>
          </w:tcPr>
          <w:p>
            <w:pPr>
              <w:jc w:val="right"/>
              <w:ind w:right="2320"/>
              <w:spacing w:after="0"/>
              <w:rPr>
                <w:sz w:val="20"/>
                <w:szCs w:val="20"/>
                <w:color w:val="auto"/>
              </w:rPr>
            </w:pPr>
            <w:r>
              <w:rPr>
                <w:rFonts w:ascii="Times New Roman" w:cs="Times New Roman" w:eastAsia="Times New Roman" w:hAnsi="Times New Roman"/>
                <w:sz w:val="12"/>
                <w:szCs w:val="12"/>
                <w:color w:val="auto"/>
              </w:rPr>
              <w:t>8</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2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2" w:right="299" w:bottom="1440" w:gutter="0" w:footer="0" w:header="0"/>
        </w:sectPr>
      </w:pPr>
    </w:p>
    <w:bookmarkStart w:id="11" w:name="page12"/>
    <w:bookmarkEnd w:id="11"/>
    <w:p>
      <w:pPr>
        <w:ind w:left="46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60" w:type="dxa"/>
            <w:vAlign w:val="bottom"/>
          </w:tcPr>
          <w:p>
            <w:pPr>
              <w:spacing w:after="0"/>
              <w:rPr>
                <w:sz w:val="13"/>
                <w:szCs w:val="13"/>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4960" w:type="dxa"/>
            <w:vAlign w:val="bottom"/>
          </w:tcPr>
          <w:p>
            <w:pPr>
              <w:spacing w:after="0"/>
              <w:rPr>
                <w:sz w:val="12"/>
                <w:szCs w:val="12"/>
                <w:color w:val="auto"/>
              </w:rPr>
            </w:pPr>
          </w:p>
        </w:tc>
        <w:tc>
          <w:tcPr>
            <w:tcW w:w="9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0"/>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3"/>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Revenues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158,770</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140,241</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457,875</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443,122</w:t>
            </w:r>
          </w:p>
        </w:tc>
      </w:tr>
      <w:tr>
        <w:trPr>
          <w:trHeight w:val="155"/>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Adjusted EBITDA</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28,644</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27,613</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82,265</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84,449</w:t>
            </w:r>
          </w:p>
        </w:tc>
      </w:tr>
      <w:tr>
        <w:trPr>
          <w:trHeight w:val="295"/>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processing dollar value</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15,517,131</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14,150,995</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46,096,861</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44,483,491</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bankcard transaction count</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195,786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178,721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564,855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522,470</w:t>
            </w:r>
          </w:p>
        </w:tc>
      </w:tr>
      <w:tr>
        <w:trPr>
          <w:trHeight w:val="331"/>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22,143</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13,985</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65,368</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19,744</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1,933</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1,359</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5,209</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1,877</w:t>
            </w:r>
          </w:p>
        </w:tc>
      </w:tr>
      <w:tr>
        <w:trPr>
          <w:trHeight w:val="295"/>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B2B issuing dollar volume</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255,323</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221,456</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732,589</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636,361</w:t>
            </w:r>
          </w:p>
        </w:tc>
      </w:tr>
      <w:tr>
        <w:trPr>
          <w:trHeight w:val="155"/>
        </w:trPr>
        <w:tc>
          <w:tcPr>
            <w:tcW w:w="4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B2B issuing transaction count</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829</w:t>
            </w:r>
          </w:p>
        </w:tc>
      </w:tr>
      <w:tr>
        <w:trPr>
          <w:trHeight w:val="331"/>
        </w:trPr>
        <w:tc>
          <w:tcPr>
            <w:tcW w:w="4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Revenues</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47,099</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35,174</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131,758</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93,919</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920" w:type="dxa"/>
            <w:vAlign w:val="bottom"/>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80" w:type="dxa"/>
            <w:vAlign w:val="bottom"/>
          </w:tcPr>
          <w:p>
            <w:pPr>
              <w:spacing w:after="0"/>
              <w:rPr>
                <w:sz w:val="13"/>
                <w:szCs w:val="13"/>
                <w:color w:val="auto"/>
              </w:rPr>
            </w:pPr>
          </w:p>
        </w:tc>
        <w:tc>
          <w:tcPr>
            <w:tcW w:w="860" w:type="dxa"/>
            <w:vAlign w:val="bottom"/>
          </w:tcPr>
          <w:p>
            <w:pPr>
              <w:jc w:val="right"/>
              <w:ind w:right="72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29,757</w:t>
            </w:r>
          </w:p>
        </w:tc>
        <w:tc>
          <w:tcPr>
            <w:tcW w:w="10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112,911</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77,853</w:t>
            </w:r>
          </w:p>
        </w:tc>
      </w:tr>
      <w:tr>
        <w:trPr>
          <w:trHeight w:val="322"/>
        </w:trPr>
        <w:tc>
          <w:tcPr>
            <w:tcW w:w="49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3"/>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billed clients</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832,351</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590,578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766,370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525,274</w:t>
            </w:r>
          </w:p>
        </w:tc>
      </w:tr>
      <w:tr>
        <w:trPr>
          <w:trHeight w:val="155"/>
        </w:trPr>
        <w:tc>
          <w:tcPr>
            <w:tcW w:w="4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monthly new enrollments</w:t>
            </w:r>
          </w:p>
        </w:tc>
        <w:tc>
          <w:tcPr>
            <w:tcW w:w="9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62,875</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56,269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57,281</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51,864</w:t>
            </w:r>
          </w:p>
        </w:tc>
      </w:tr>
      <w:tr>
        <w:trPr>
          <w:trHeight w:val="873"/>
        </w:trPr>
        <w:tc>
          <w:tcPr>
            <w:tcW w:w="496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9</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140"/>
          </w:cols>
          <w:pgMar w:left="300" w:top="122" w:right="45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Reconciliation of Adjusted EBITDA to GAAP Measure: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6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p>
      <w:pPr>
        <w:spacing w:after="0" w:line="2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284"/>
        </w:trPr>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28,644</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1,933</w:t>
            </w:r>
          </w:p>
        </w:tc>
        <w:tc>
          <w:tcPr>
            <w:tcW w:w="60" w:type="dxa"/>
            <w:vAlign w:val="bottom"/>
          </w:tcPr>
          <w:p>
            <w:pPr>
              <w:spacing w:after="0"/>
              <w:rPr>
                <w:sz w:val="24"/>
                <w:szCs w:val="24"/>
                <w:color w:val="auto"/>
              </w:rPr>
            </w:pPr>
          </w:p>
        </w:tc>
        <w:tc>
          <w:tcPr>
            <w:tcW w:w="46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40,940</w:t>
            </w:r>
          </w:p>
        </w:tc>
        <w:tc>
          <w:tcPr>
            <w:tcW w:w="60" w:type="dxa"/>
            <w:vAlign w:val="bottom"/>
          </w:tcPr>
          <w:p>
            <w:pPr>
              <w:spacing w:after="0"/>
              <w:rPr>
                <w:sz w:val="24"/>
                <w:szCs w:val="24"/>
                <w:color w:val="auto"/>
              </w:rPr>
            </w:pPr>
          </w:p>
        </w:tc>
        <w:tc>
          <w:tcPr>
            <w:tcW w:w="2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(16,876)</w:t>
            </w:r>
          </w:p>
        </w:tc>
        <w:tc>
          <w:tcPr>
            <w:tcW w:w="6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54,641</w:t>
            </w:r>
          </w:p>
        </w:tc>
      </w:tr>
      <w:tr>
        <w:trPr>
          <w:trHeight w:val="153"/>
        </w:trPr>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(22,180)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(23,246)</w:t>
            </w:r>
          </w:p>
        </w:tc>
      </w:tr>
      <w:tr>
        <w:trPr>
          <w:trHeight w:val="153"/>
        </w:trPr>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(13,733)</w:t>
            </w:r>
          </w:p>
        </w:tc>
      </w:tr>
      <w:tr>
        <w:trPr>
          <w:trHeight w:val="153"/>
        </w:trPr>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53"/>
        </w:trPr>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w:t>
            </w:r>
          </w:p>
        </w:tc>
      </w:tr>
      <w:tr>
        <w:trPr>
          <w:trHeight w:val="155"/>
        </w:trPr>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(1,306)</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(1,416)</w:t>
            </w:r>
          </w:p>
        </w:tc>
      </w:tr>
      <w:tr>
        <w:trPr>
          <w:trHeight w:val="142"/>
        </w:trPr>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21,701</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(467)</w:t>
            </w:r>
          </w:p>
        </w:tc>
        <w:tc>
          <w:tcPr>
            <w:tcW w:w="60" w:type="dxa"/>
            <w:vAlign w:val="bottom"/>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36,603</w:t>
            </w:r>
          </w:p>
        </w:tc>
        <w:tc>
          <w:tcPr>
            <w:tcW w:w="6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(42,330)</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15,507</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780" w:space="720"/>
            <w:col w:w="6780"/>
          </w:cols>
          <w:pgMar w:left="30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gridSpan w:val="8"/>
          </w:tcPr>
          <w:p>
            <w:pPr>
              <w:ind w:left="78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2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82,265</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5,209</w:t>
            </w:r>
          </w:p>
        </w:tc>
        <w:tc>
          <w:tcPr>
            <w:tcW w:w="6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112,911</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(47,853)</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152,532</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(3,280)</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(62,555)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(65,836)</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(3,992)</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(12,431)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(44,230)</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(8,666)</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(2,131)</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w:t>
            </w:r>
          </w:p>
        </w:tc>
        <w:tc>
          <w:tcPr>
            <w:tcW w:w="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(4,469)</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(4,878)</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58,187</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(2,362)</w:t>
            </w:r>
          </w:p>
        </w:tc>
        <w:tc>
          <w:tcPr>
            <w:tcW w:w="60" w:type="dxa"/>
            <w:vAlign w:val="bottom"/>
          </w:tcPr>
          <w:p>
            <w:pPr>
              <w:spacing w:after="0"/>
              <w:rPr>
                <w:sz w:val="12"/>
                <w:szCs w:val="12"/>
                <w:color w:val="auto"/>
              </w:rPr>
            </w:pPr>
          </w:p>
        </w:tc>
        <w:tc>
          <w:tcPr>
            <w:tcW w:w="4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100,382</w:t>
            </w:r>
          </w:p>
        </w:tc>
        <w:tc>
          <w:tcPr>
            <w:tcW w:w="6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(129,416)</w:t>
            </w:r>
          </w:p>
        </w:tc>
        <w:tc>
          <w:tcPr>
            <w:tcW w:w="60" w:type="dxa"/>
            <w:vAlign w:val="bottom"/>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26,791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80"/>
          </w:cols>
          <w:pgMar w:left="300" w:top="122" w:right="31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Reconciliation of Adjusted EBITDA to GAAP Measure: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Non-cash stock based compensation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non-recurring gain, net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3"/>
          <w:szCs w:val="13"/>
          <w:b w:val="1"/>
          <w:bCs w:val="1"/>
          <w:color w:val="auto"/>
        </w:rPr>
        <w:t>Priority Technology Holdings, Inc</w:t>
      </w:r>
      <w:r>
        <w:rPr>
          <w:rFonts w:ascii="Times New Roman" w:cs="Times New Roman" w:eastAsia="Times New Roman" w:hAnsi="Times New Roman"/>
          <w:sz w:val="13"/>
          <w:szCs w:val="13"/>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Unaudited Reportable Segments' Results</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36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2023</w:t>
      </w:r>
    </w:p>
    <w:p>
      <w:pPr>
        <w:spacing w:after="0" w:line="21"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284"/>
        </w:trPr>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27,613</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1,359</w:t>
            </w:r>
          </w:p>
        </w:tc>
        <w:tc>
          <w:tcPr>
            <w:tcW w:w="60" w:type="dxa"/>
            <w:vAlign w:val="bottom"/>
          </w:tcPr>
          <w:p>
            <w:pPr>
              <w:spacing w:after="0"/>
              <w:rPr>
                <w:sz w:val="24"/>
                <w:szCs w:val="24"/>
                <w:color w:val="auto"/>
              </w:rPr>
            </w:pPr>
          </w:p>
        </w:tc>
        <w:tc>
          <w:tcPr>
            <w:tcW w:w="46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29,757</w:t>
            </w:r>
          </w:p>
        </w:tc>
        <w:tc>
          <w:tcPr>
            <w:tcW w:w="60" w:type="dxa"/>
            <w:vAlign w:val="bottom"/>
          </w:tcPr>
          <w:p>
            <w:pPr>
              <w:spacing w:after="0"/>
              <w:rPr>
                <w:sz w:val="24"/>
                <w:szCs w:val="24"/>
                <w:color w:val="auto"/>
              </w:rPr>
            </w:pPr>
          </w:p>
        </w:tc>
        <w:tc>
          <w:tcPr>
            <w:tcW w:w="2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(13,767)</w:t>
            </w:r>
          </w:p>
        </w:tc>
        <w:tc>
          <w:tcPr>
            <w:tcW w:w="6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44,962</w:t>
            </w:r>
          </w:p>
        </w:tc>
      </w:tr>
      <w:tr>
        <w:trPr>
          <w:trHeight w:val="153"/>
        </w:trPr>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(19,437)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(19,997)</w:t>
            </w:r>
          </w:p>
        </w:tc>
      </w:tr>
      <w:tr>
        <w:trPr>
          <w:trHeight w:val="153"/>
        </w:trPr>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(17,275)</w:t>
            </w:r>
          </w:p>
        </w:tc>
      </w:tr>
      <w:tr>
        <w:trPr>
          <w:trHeight w:val="153"/>
        </w:trPr>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(2,114)</w:t>
            </w:r>
          </w:p>
        </w:tc>
      </w:tr>
      <w:tr>
        <w:trPr>
          <w:trHeight w:val="153"/>
        </w:trPr>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(1,501)</w:t>
            </w:r>
          </w:p>
        </w:tc>
      </w:tr>
      <w:tr>
        <w:trPr>
          <w:trHeight w:val="155"/>
        </w:trPr>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r>
      <w:tr>
        <w:trPr>
          <w:trHeight w:val="142"/>
        </w:trPr>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18,363</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106</w:t>
            </w:r>
          </w:p>
        </w:tc>
        <w:tc>
          <w:tcPr>
            <w:tcW w:w="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23,682</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(37,910)</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4,241</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780" w:space="720"/>
            <w:col w:w="6780"/>
          </w:cols>
          <w:pgMar w:left="300" w:top="1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8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gridSpan w:val="8"/>
          </w:tcPr>
          <w:p>
            <w:pPr>
              <w:ind w:left="780"/>
              <w:spacing w:after="0"/>
              <w:rPr>
                <w:sz w:val="20"/>
                <w:szCs w:val="20"/>
                <w:color w:val="auto"/>
              </w:rPr>
            </w:pPr>
            <w:r>
              <w:rPr>
                <w:rFonts w:ascii="Times New Roman" w:cs="Times New Roman" w:eastAsia="Times New Roman" w:hAnsi="Times New Roman"/>
                <w:sz w:val="12"/>
                <w:szCs w:val="12"/>
                <w:b w:val="1"/>
                <w:bCs w:val="1"/>
                <w:color w:val="auto"/>
              </w:rPr>
              <w:t>Nine Months Ended September 30, 2023</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8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40" w:type="dxa"/>
            <w:vAlign w:val="bottom"/>
          </w:tcPr>
          <w:p>
            <w:pPr>
              <w:spacing w:after="0"/>
              <w:rPr>
                <w:sz w:val="12"/>
                <w:szCs w:val="1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SMB Payments</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B2B Payments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Enterprise Payments</w:t>
            </w:r>
          </w:p>
        </w:tc>
        <w:tc>
          <w:tcPr>
            <w:tcW w:w="220" w:type="dxa"/>
            <w:vAlign w:val="bottom"/>
          </w:tcPr>
          <w:p>
            <w:pPr>
              <w:spacing w:after="0"/>
              <w:rPr>
                <w:sz w:val="12"/>
                <w:szCs w:val="12"/>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40" w:type="dxa"/>
            <w:vAlign w:val="bottom"/>
          </w:tcPr>
          <w:p>
            <w:pPr>
              <w:spacing w:after="0"/>
              <w:rPr>
                <w:sz w:val="12"/>
                <w:szCs w:val="12"/>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0" w:type="dxa"/>
            <w:vAlign w:val="bottom"/>
          </w:tcPr>
          <w:p>
            <w:pPr>
              <w:spacing w:after="0"/>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84,449</w:t>
            </w:r>
          </w:p>
        </w:tc>
        <w:tc>
          <w:tcPr>
            <w:tcW w:w="8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1,877</w:t>
            </w:r>
          </w:p>
        </w:tc>
        <w:tc>
          <w:tcPr>
            <w:tcW w:w="6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77,853</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(40,484)</w:t>
            </w:r>
          </w:p>
        </w:tc>
        <w:tc>
          <w:tcPr>
            <w:tcW w:w="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123,695</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(54,670)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(55,461)</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(27,553)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(756)</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(18,571)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(53,303)</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(4,410)</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 based compensation</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(5,183)</w:t>
            </w:r>
          </w:p>
        </w:tc>
        <w:tc>
          <w:tcPr>
            <w:tcW w:w="0" w:type="dxa"/>
            <w:vAlign w:val="bottom"/>
          </w:tcPr>
          <w:p>
            <w:pPr>
              <w:spacing w:after="0"/>
              <w:rPr>
                <w:sz w:val="1"/>
                <w:szCs w:val="1"/>
                <w:color w:val="auto"/>
              </w:rPr>
            </w:pPr>
          </w:p>
        </w:tc>
      </w:tr>
      <w:tr>
        <w:trPr>
          <w:trHeight w:val="155"/>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Other non-recurring gain, net</w:t>
            </w:r>
          </w:p>
        </w:tc>
        <w:tc>
          <w:tcPr>
            <w:tcW w:w="14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56,488</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386</w:t>
            </w:r>
          </w:p>
        </w:tc>
        <w:tc>
          <w:tcPr>
            <w:tcW w:w="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58,794</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(110,323)</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5,345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80"/>
          </w:cols>
          <w:pgMar w:left="300" w:top="122" w:right="319" w:bottom="1440" w:gutter="0" w:footer="0" w:header="0"/>
          <w:type w:val="continuous"/>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2024-11-07T06:13:48Z</dcterms:created>
  <dcterms:modified xsi:type="dcterms:W3CDTF">2024-11-07T06:13:48Z</dcterms:modified>
</cp:coreProperties>
</file>