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3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294005</wp:posOffset>
            </wp:positionH>
            <wp:positionV relativeFrom="page">
              <wp:posOffset>380365</wp:posOffset>
            </wp:positionV>
            <wp:extent cx="6960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17145"/>
                    </a:xfrm>
                    <a:prstGeom prst="rect">
                      <a:avLst/>
                    </a:prstGeom>
                    <a:noFill/>
                  </pic:spPr>
                </pic:pic>
              </a:graphicData>
            </a:graphic>
          </wp:anchor>
        </w:drawing>
        <w:t>UNITED STATES</w:t>
      </w:r>
    </w:p>
    <w:p>
      <w:pPr>
        <w:spacing w:after="0" w:line="32" w:lineRule="exact"/>
        <w:rPr>
          <w:sz w:val="24"/>
          <w:szCs w:val="24"/>
          <w:color w:val="auto"/>
        </w:rPr>
      </w:pPr>
    </w:p>
    <w:p>
      <w:pPr>
        <w:ind w:left="3710"/>
        <w:spacing w:after="0"/>
        <w:rPr>
          <w:sz w:val="20"/>
          <w:szCs w:val="20"/>
          <w:color w:val="auto"/>
        </w:rPr>
      </w:pPr>
      <w:r>
        <w:rPr>
          <w:rFonts w:ascii="Arial" w:cs="Arial" w:eastAsia="Arial" w:hAnsi="Arial"/>
          <w:sz w:val="16"/>
          <w:szCs w:val="16"/>
          <w:b w:val="1"/>
          <w:bCs w:val="1"/>
          <w:color w:val="auto"/>
        </w:rPr>
        <w:t>SECURITIES AND EXCHANGE COMMISSION</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51"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4"/>
          <w:szCs w:val="24"/>
          <w:color w:val="auto"/>
        </w:rPr>
      </w:pPr>
    </w:p>
    <w:p>
      <w:pPr>
        <w:spacing w:after="0" w:line="30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7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(Amendment No. 3)*</w:t>
      </w:r>
    </w:p>
    <w:p>
      <w:pPr>
        <w:spacing w:after="0" w:line="35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70"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(Name of Issuer)</w:t>
      </w:r>
    </w:p>
    <w:p>
      <w:pPr>
        <w:spacing w:after="0" w:line="35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6960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6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(Title of Class of Securities)</w:t>
      </w:r>
    </w:p>
    <w:p>
      <w:pPr>
        <w:spacing w:after="0" w:line="35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74275G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6960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6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pacing w:after="0" w:line="35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Thomas C. Priore</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c/o Priority Technology Holdings, Inc.</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2001 Westside Parkway, Suite 155</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Alpharetta, GA 30004</w:t>
      </w:r>
    </w:p>
    <w:p>
      <w:pPr>
        <w:spacing w:after="0" w:line="19" w:lineRule="exact"/>
        <w:rPr>
          <w:sz w:val="24"/>
          <w:szCs w:val="24"/>
          <w:color w:val="auto"/>
        </w:rPr>
      </w:pPr>
    </w:p>
    <w:p>
      <w:pPr>
        <w:jc w:val="both"/>
        <w:ind w:left="4950" w:right="4940" w:hanging="2"/>
        <w:spacing w:after="0" w:line="560" w:lineRule="auto"/>
        <w:tabs>
          <w:tab w:leader="none" w:pos="5334" w:val="left"/>
        </w:tabs>
        <w:numPr>
          <w:ilvl w:val="0"/>
          <w:numId w:val="1"/>
        </w:numPr>
        <w:rPr>
          <w:rFonts w:ascii="Arial" w:cs="Arial" w:eastAsia="Arial" w:hAnsi="Arial"/>
          <w:sz w:val="15"/>
          <w:szCs w:val="15"/>
          <w:color w:val="auto"/>
        </w:rPr>
      </w:pPr>
      <w:r>
        <w:rPr>
          <w:rFonts w:ascii="Arial" w:cs="Arial" w:eastAsia="Arial" w:hAnsi="Arial"/>
          <w:sz w:val="15"/>
          <w:szCs w:val="15"/>
          <w:color w:val="auto"/>
        </w:rPr>
        <w:t>935-5961 With a copy to:</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James Stevens, Esq.</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Troutman Sanders LLP</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600 Peachtree Street, NE, Suite 3000</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Atlanta, GA 30308</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(404) 885-3721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6960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6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(Name, Address and Telephone Number of Person Authorized to</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Receive Notices and Communications)</w:t>
      </w:r>
    </w:p>
    <w:p>
      <w:pPr>
        <w:spacing w:after="0" w:line="35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April 6, 2020</w:t>
      </w:r>
    </w:p>
    <w:p>
      <w:pPr>
        <w:spacing w:after="0" w:line="154"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372" w:lineRule="exact"/>
        <w:rPr>
          <w:sz w:val="24"/>
          <w:szCs w:val="24"/>
          <w:color w:val="auto"/>
        </w:rPr>
      </w:pPr>
    </w:p>
    <w:p>
      <w:pPr>
        <w:ind w:left="10"/>
        <w:spacing w:after="0" w:line="293"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§§240.13d-1(e), 240.13d-1(f) or 240.13d-1(g), check the following box.</w:t>
      </w:r>
    </w:p>
    <w:p>
      <w:pPr>
        <w:spacing w:after="0" w:line="10" w:lineRule="exact"/>
        <w:rPr>
          <w:sz w:val="24"/>
          <w:szCs w:val="24"/>
          <w:color w:val="auto"/>
        </w:rPr>
      </w:pPr>
    </w:p>
    <w:p>
      <w:pPr>
        <w:jc w:val="center"/>
        <w:ind w:right="-129"/>
        <w:spacing w:after="0"/>
        <w:rPr>
          <w:sz w:val="20"/>
          <w:szCs w:val="20"/>
          <w:color w:val="auto"/>
        </w:rPr>
      </w:pPr>
      <w:r>
        <w:rPr>
          <w:rFonts w:ascii="Arial" w:cs="Arial" w:eastAsia="Arial" w:hAnsi="Arial"/>
          <w:sz w:val="16"/>
          <w:szCs w:val="16"/>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352425</wp:posOffset>
            </wp:positionV>
            <wp:extent cx="696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330" w:right="20" w:hanging="330"/>
        <w:spacing w:after="0" w:line="293"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8" w:lineRule="exact"/>
        <w:rPr>
          <w:sz w:val="24"/>
          <w:szCs w:val="24"/>
          <w:color w:val="auto"/>
        </w:rPr>
      </w:pPr>
    </w:p>
    <w:p>
      <w:pPr>
        <w:ind w:left="10"/>
        <w:spacing w:after="0" w:line="328" w:lineRule="auto"/>
        <w:rPr>
          <w:sz w:val="20"/>
          <w:szCs w:val="20"/>
          <w:color w:val="auto"/>
        </w:rPr>
      </w:pPr>
      <w:r>
        <w:rPr>
          <w:rFonts w:ascii="Arial" w:cs="Arial" w:eastAsia="Arial" w:hAnsi="Arial"/>
          <w:sz w:val="15"/>
          <w:szCs w:val="15"/>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598170</wp:posOffset>
            </wp:positionV>
            <wp:extent cx="6960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-18415</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10"/>
          </w:cols>
          <w:pgMar w:left="490" w:top="855" w:right="499" w:bottom="1440" w:gutter="0" w:footer="0" w:header="0"/>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354965</wp:posOffset>
            </wp:positionV>
            <wp:extent cx="167195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1955" cy="196850"/>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4"/>
          <w:szCs w:val="14"/>
          <w:b w:val="1"/>
          <w:bCs w:val="1"/>
          <w:color w:val="auto"/>
        </w:rPr>
        <w:t>CUSIP No. 74275G 107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-131445</wp:posOffset>
            </wp:positionV>
            <wp:extent cx="161163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19685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3">
            <w:col w:w="5980" w:space="720"/>
            <w:col w:w="2280" w:space="720"/>
            <w:col w:w="1320"/>
          </w:cols>
          <w:pgMar w:left="440" w:top="594" w:right="439" w:bottom="1440" w:gutter="0" w:footer="0" w:header="0"/>
        </w:sectPr>
      </w:pPr>
    </w:p>
    <w:tbl>
      <w:tblPr>
        <w:tblLayout w:type="fixed"/>
        <w:tblInd w:w="10" w:type="dxa"/>
        <w:tblCellMar>
          <w:top w:w="0" w:type="dxa"/>
          <w:left w:w="0" w:type="dxa"/>
          <w:bottom w:w="0" w:type="dxa"/>
          <w:right w:w="0" w:type="dxa"/>
        </w:tblCellMar>
      </w:tblPr>
      <w:tr>
        <w:trPr>
          <w:trHeight w:val="222"/>
        </w:trPr>
        <w:tc>
          <w:tcPr>
            <w:tcW w:w="1900" w:type="dxa"/>
            <w:vAlign w:val="bottom"/>
            <w:tcBorders>
              <w:top w:val="single" w:sz="8" w:color="auto"/>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1</w:t>
            </w:r>
          </w:p>
        </w:tc>
        <w:tc>
          <w:tcPr>
            <w:tcW w:w="742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5"/>
                <w:szCs w:val="15"/>
                <w:color w:val="auto"/>
              </w:rPr>
              <w:t>NAME OF REPORTING PERSON</w:t>
            </w:r>
          </w:p>
        </w:tc>
        <w:tc>
          <w:tcPr>
            <w:tcW w:w="88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9"/>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742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color w:val="auto"/>
              </w:rPr>
              <w:t>Thomas C. Priore</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2</w:t>
            </w:r>
          </w:p>
        </w:tc>
        <w:tc>
          <w:tcPr>
            <w:tcW w:w="7420" w:type="dxa"/>
            <w:vAlign w:val="bottom"/>
            <w:gridSpan w:val="3"/>
          </w:tcPr>
          <w:p>
            <w:pPr>
              <w:ind w:left="140"/>
              <w:spacing w:after="0"/>
              <w:rPr>
                <w:sz w:val="20"/>
                <w:szCs w:val="20"/>
                <w:color w:val="auto"/>
              </w:rPr>
            </w:pPr>
            <w:r>
              <w:rPr>
                <w:rFonts w:ascii="Arial" w:cs="Arial" w:eastAsia="Arial" w:hAnsi="Arial"/>
                <w:sz w:val="15"/>
                <w:szCs w:val="15"/>
                <w:color w:val="auto"/>
              </w:rPr>
              <w:t>CHECK THE APPROPRIATE BOX IF A MEMBER OF A GROUP</w:t>
            </w:r>
          </w:p>
        </w:tc>
        <w:tc>
          <w:tcPr>
            <w:tcW w:w="880" w:type="dxa"/>
            <w:vAlign w:val="bottom"/>
            <w:vMerge w:val="restart"/>
          </w:tcPr>
          <w:p>
            <w:pPr>
              <w:ind w:left="620"/>
              <w:spacing w:after="0"/>
              <w:rPr>
                <w:sz w:val="20"/>
                <w:szCs w:val="20"/>
                <w:color w:val="auto"/>
              </w:rPr>
            </w:pPr>
            <w:r>
              <w:rPr>
                <w:rFonts w:ascii="Arial" w:cs="Arial" w:eastAsia="Arial" w:hAnsi="Arial"/>
                <w:sz w:val="15"/>
                <w:szCs w:val="15"/>
                <w:color w:val="auto"/>
              </w:rPr>
              <w:t>(a)</w:t>
            </w:r>
          </w:p>
        </w:tc>
        <w:tc>
          <w:tcPr>
            <w:tcW w:w="800" w:type="dxa"/>
            <w:vAlign w:val="bottom"/>
            <w:tcBorders>
              <w:right w:val="single" w:sz="8" w:color="auto"/>
            </w:tcBorders>
            <w:vMerge w:val="restart"/>
          </w:tcPr>
          <w:p>
            <w:pPr>
              <w:ind w:left="8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89"/>
        </w:trPr>
        <w:tc>
          <w:tcPr>
            <w:tcW w:w="1900" w:type="dxa"/>
            <w:vAlign w:val="bottom"/>
            <w:tcBorders>
              <w:left w:val="single" w:sz="8" w:color="auto"/>
              <w:right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(b)</w:t>
            </w:r>
          </w:p>
        </w:tc>
        <w:tc>
          <w:tcPr>
            <w:tcW w:w="800" w:type="dxa"/>
            <w:vAlign w:val="bottom"/>
            <w:tcBorders>
              <w:bottom w:val="single" w:sz="8" w:color="auto"/>
              <w:right w:val="single" w:sz="8" w:color="auto"/>
            </w:tcBorders>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bottom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3</w:t>
            </w: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rPr>
              <w:t>SEC USE ONLY</w:t>
            </w:r>
          </w:p>
        </w:tc>
        <w:tc>
          <w:tcPr>
            <w:tcW w:w="5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4</w:t>
            </w:r>
          </w:p>
        </w:tc>
        <w:tc>
          <w:tcPr>
            <w:tcW w:w="7420" w:type="dxa"/>
            <w:vAlign w:val="bottom"/>
            <w:gridSpan w:val="3"/>
          </w:tcPr>
          <w:p>
            <w:pPr>
              <w:ind w:left="160"/>
              <w:spacing w:after="0"/>
              <w:rPr>
                <w:sz w:val="20"/>
                <w:szCs w:val="20"/>
                <w:color w:val="auto"/>
              </w:rPr>
            </w:pPr>
            <w:r>
              <w:rPr>
                <w:rFonts w:ascii="Arial" w:cs="Arial" w:eastAsia="Arial" w:hAnsi="Arial"/>
                <w:sz w:val="15"/>
                <w:szCs w:val="15"/>
                <w:color w:val="auto"/>
              </w:rPr>
              <w:t>SOURCE OF FUNDS</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20"/>
              <w:spacing w:after="0"/>
              <w:rPr>
                <w:sz w:val="20"/>
                <w:szCs w:val="20"/>
                <w:color w:val="auto"/>
              </w:rPr>
            </w:pPr>
            <w:r>
              <w:rPr>
                <w:rFonts w:ascii="Arial" w:cs="Arial" w:eastAsia="Arial" w:hAnsi="Arial"/>
                <w:sz w:val="15"/>
                <w:szCs w:val="15"/>
                <w:color w:val="auto"/>
                <w:w w:val="90"/>
              </w:rPr>
              <w:t>OO (See Item 3)</w:t>
            </w:r>
          </w:p>
        </w:tc>
        <w:tc>
          <w:tcPr>
            <w:tcW w:w="5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5</w:t>
            </w:r>
          </w:p>
        </w:tc>
        <w:tc>
          <w:tcPr>
            <w:tcW w:w="7420" w:type="dxa"/>
            <w:vAlign w:val="bottom"/>
            <w:gridSpan w:val="3"/>
          </w:tcPr>
          <w:p>
            <w:pPr>
              <w:ind w:left="140"/>
              <w:spacing w:after="0"/>
              <w:rPr>
                <w:sz w:val="20"/>
                <w:szCs w:val="20"/>
                <w:color w:val="auto"/>
              </w:rPr>
            </w:pPr>
            <w:r>
              <w:rPr>
                <w:rFonts w:ascii="Arial" w:cs="Arial" w:eastAsia="Arial" w:hAnsi="Arial"/>
                <w:sz w:val="15"/>
                <w:szCs w:val="15"/>
                <w:color w:val="auto"/>
              </w:rPr>
              <w:t>CHECK BOX IF DISCLOSURE OF LEGAL PROCEEDING IS REQUIRED PURSUANT TO ITEMS 2(d)</w:t>
            </w:r>
          </w:p>
        </w:tc>
        <w:tc>
          <w:tcPr>
            <w:tcW w:w="880" w:type="dxa"/>
            <w:vAlign w:val="bottom"/>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rPr>
              <w:t>or 2(e)</w:t>
            </w:r>
          </w:p>
        </w:tc>
        <w:tc>
          <w:tcPr>
            <w:tcW w:w="5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6</w:t>
            </w:r>
          </w:p>
        </w:tc>
        <w:tc>
          <w:tcPr>
            <w:tcW w:w="7420" w:type="dxa"/>
            <w:vAlign w:val="bottom"/>
            <w:gridSpan w:val="3"/>
            <w:vMerge w:val="restart"/>
          </w:tcPr>
          <w:p>
            <w:pPr>
              <w:ind w:left="140"/>
              <w:spacing w:after="0"/>
              <w:rPr>
                <w:sz w:val="20"/>
                <w:szCs w:val="20"/>
                <w:color w:val="auto"/>
              </w:rPr>
            </w:pPr>
            <w:r>
              <w:rPr>
                <w:rFonts w:ascii="Arial" w:cs="Arial" w:eastAsia="Arial" w:hAnsi="Arial"/>
                <w:sz w:val="15"/>
                <w:szCs w:val="15"/>
                <w:color w:val="auto"/>
              </w:rPr>
              <w:t>CITIZENSHIP OR PLACE OF ORGANIZATION</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color w:val="auto"/>
              </w:rPr>
              <w:t>United States</w:t>
            </w:r>
          </w:p>
        </w:tc>
        <w:tc>
          <w:tcPr>
            <w:tcW w:w="5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7</w:t>
            </w:r>
          </w:p>
        </w:tc>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SOLE VOTING POWER</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jc w:val="right"/>
              <w:ind w:right="4964"/>
              <w:spacing w:after="0"/>
              <w:rPr>
                <w:sz w:val="20"/>
                <w:szCs w:val="20"/>
                <w:color w:val="auto"/>
              </w:rPr>
            </w:pPr>
            <w:r>
              <w:rPr>
                <w:rFonts w:ascii="Arial" w:cs="Arial" w:eastAsia="Arial" w:hAnsi="Arial"/>
                <w:sz w:val="15"/>
                <w:szCs w:val="15"/>
                <w:color w:val="auto"/>
              </w:rPr>
              <w:t>33,613,250</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NUMBER OF SHARES</w:t>
            </w:r>
          </w:p>
        </w:tc>
        <w:tc>
          <w:tcPr>
            <w:tcW w:w="1420" w:type="dxa"/>
            <w:vAlign w:val="bottom"/>
            <w:tcBorders>
              <w:right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8</w:t>
            </w:r>
          </w:p>
        </w:tc>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SHARED VOTING POWER</w:t>
            </w: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280"/>
              <w:spacing w:after="0" w:line="162" w:lineRule="exact"/>
              <w:rPr>
                <w:sz w:val="20"/>
                <w:szCs w:val="20"/>
                <w:color w:val="auto"/>
              </w:rPr>
            </w:pPr>
            <w:r>
              <w:rPr>
                <w:rFonts w:ascii="Arial" w:cs="Arial" w:eastAsia="Arial" w:hAnsi="Arial"/>
                <w:sz w:val="15"/>
                <w:szCs w:val="15"/>
                <w:color w:val="auto"/>
              </w:rPr>
              <w:t>BENEFICIALLY</w:t>
            </w:r>
          </w:p>
        </w:tc>
        <w:tc>
          <w:tcPr>
            <w:tcW w:w="1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vMerge w:val="restart"/>
          </w:tcPr>
          <w:p>
            <w:pPr>
              <w:jc w:val="right"/>
              <w:ind w:right="4964"/>
              <w:spacing w:after="0"/>
              <w:rPr>
                <w:sz w:val="20"/>
                <w:szCs w:val="20"/>
                <w:color w:val="auto"/>
              </w:rPr>
            </w:pPr>
            <w:r>
              <w:rPr>
                <w:rFonts w:ascii="Arial" w:cs="Arial" w:eastAsia="Arial" w:hAnsi="Arial"/>
                <w:sz w:val="15"/>
                <w:szCs w:val="15"/>
                <w:color w:val="auto"/>
              </w:rPr>
              <w:t>12,500,000</w:t>
            </w: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900" w:type="dxa"/>
            <w:vAlign w:val="bottom"/>
            <w:tcBorders>
              <w:left w:val="single" w:sz="8" w:color="auto"/>
              <w:right w:val="single" w:sz="8" w:color="auto"/>
            </w:tcBorders>
            <w:vMerge w:val="restart"/>
          </w:tcPr>
          <w:p>
            <w:pPr>
              <w:ind w:left="280"/>
              <w:spacing w:after="0" w:line="162" w:lineRule="exact"/>
              <w:rPr>
                <w:sz w:val="20"/>
                <w:szCs w:val="20"/>
                <w:color w:val="auto"/>
              </w:rPr>
            </w:pPr>
            <w:r>
              <w:rPr>
                <w:rFonts w:ascii="Arial" w:cs="Arial" w:eastAsia="Arial" w:hAnsi="Arial"/>
                <w:sz w:val="15"/>
                <w:szCs w:val="15"/>
                <w:color w:val="auto"/>
              </w:rPr>
              <w:t>OWNED BY EACH</w:t>
            </w:r>
          </w:p>
        </w:tc>
        <w:tc>
          <w:tcPr>
            <w:tcW w:w="142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9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vMerge w:val="continue"/>
          </w:tcPr>
          <w:p>
            <w:pPr>
              <w:spacing w:after="0"/>
              <w:rPr>
                <w:sz w:val="4"/>
                <w:szCs w:val="4"/>
                <w:color w:val="auto"/>
              </w:rPr>
            </w:pPr>
          </w:p>
        </w:tc>
        <w:tc>
          <w:tcPr>
            <w:tcW w:w="1420" w:type="dxa"/>
            <w:vAlign w:val="bottom"/>
            <w:tcBorders>
              <w:right w:val="single" w:sz="8" w:color="auto"/>
            </w:tcBorders>
            <w:vMerge w:val="restart"/>
          </w:tcPr>
          <w:p>
            <w:pPr>
              <w:jc w:val="center"/>
              <w:ind w:right="24"/>
              <w:spacing w:after="0"/>
              <w:rPr>
                <w:sz w:val="20"/>
                <w:szCs w:val="20"/>
                <w:color w:val="auto"/>
              </w:rPr>
            </w:pPr>
            <w:r>
              <w:rPr>
                <w:rFonts w:ascii="Arial" w:cs="Arial" w:eastAsia="Arial" w:hAnsi="Arial"/>
                <w:sz w:val="15"/>
                <w:szCs w:val="15"/>
                <w:b w:val="1"/>
                <w:bCs w:val="1"/>
                <w:color w:val="auto"/>
                <w:w w:val="95"/>
              </w:rPr>
              <w:t>9</w:t>
            </w:r>
          </w:p>
        </w:tc>
        <w:tc>
          <w:tcPr>
            <w:tcW w:w="20" w:type="dxa"/>
            <w:vAlign w:val="bottom"/>
          </w:tcPr>
          <w:p>
            <w:pPr>
              <w:spacing w:after="0"/>
              <w:rPr>
                <w:sz w:val="4"/>
                <w:szCs w:val="4"/>
                <w:color w:val="auto"/>
              </w:rPr>
            </w:pPr>
          </w:p>
        </w:tc>
        <w:tc>
          <w:tcPr>
            <w:tcW w:w="5980" w:type="dxa"/>
            <w:vAlign w:val="bottom"/>
            <w:vMerge w:val="restart"/>
          </w:tcPr>
          <w:p>
            <w:pPr>
              <w:spacing w:after="0"/>
              <w:rPr>
                <w:sz w:val="20"/>
                <w:szCs w:val="20"/>
                <w:color w:val="auto"/>
              </w:rPr>
            </w:pPr>
            <w:r>
              <w:rPr>
                <w:rFonts w:ascii="Arial" w:cs="Arial" w:eastAsia="Arial" w:hAnsi="Arial"/>
                <w:sz w:val="15"/>
                <w:szCs w:val="15"/>
                <w:color w:val="auto"/>
              </w:rPr>
              <w:t>SOLE DISPOSITIVE POWER</w:t>
            </w: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280"/>
              <w:spacing w:after="0" w:line="162" w:lineRule="exact"/>
              <w:rPr>
                <w:sz w:val="20"/>
                <w:szCs w:val="20"/>
                <w:color w:val="auto"/>
              </w:rPr>
            </w:pPr>
            <w:r>
              <w:rPr>
                <w:rFonts w:ascii="Arial" w:cs="Arial" w:eastAsia="Arial" w:hAnsi="Arial"/>
                <w:sz w:val="15"/>
                <w:szCs w:val="15"/>
                <w:color w:val="auto"/>
              </w:rPr>
              <w:t>REPORTING PERSON</w:t>
            </w:r>
          </w:p>
        </w:tc>
        <w:tc>
          <w:tcPr>
            <w:tcW w:w="142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WITH:</w:t>
            </w:r>
          </w:p>
        </w:tc>
        <w:tc>
          <w:tcPr>
            <w:tcW w:w="14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980" w:type="dxa"/>
            <w:vAlign w:val="bottom"/>
            <w:tcBorders>
              <w:bottom w:val="single" w:sz="8" w:color="auto"/>
            </w:tcBorders>
          </w:tcPr>
          <w:p>
            <w:pPr>
              <w:jc w:val="right"/>
              <w:ind w:right="4964"/>
              <w:spacing w:after="0"/>
              <w:rPr>
                <w:sz w:val="20"/>
                <w:szCs w:val="20"/>
                <w:color w:val="auto"/>
              </w:rPr>
            </w:pPr>
            <w:r>
              <w:rPr>
                <w:rFonts w:ascii="Arial" w:cs="Arial" w:eastAsia="Arial" w:hAnsi="Arial"/>
                <w:sz w:val="15"/>
                <w:szCs w:val="15"/>
                <w:color w:val="auto"/>
              </w:rPr>
              <w:t>33,613,250</w:t>
            </w: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10</w:t>
            </w:r>
          </w:p>
        </w:tc>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SHARED DISPOSITIVE POWER</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jc w:val="right"/>
              <w:ind w:right="4964"/>
              <w:spacing w:after="0"/>
              <w:rPr>
                <w:sz w:val="20"/>
                <w:szCs w:val="20"/>
                <w:color w:val="auto"/>
              </w:rPr>
            </w:pPr>
            <w:r>
              <w:rPr>
                <w:rFonts w:ascii="Arial" w:cs="Arial" w:eastAsia="Arial" w:hAnsi="Arial"/>
                <w:sz w:val="15"/>
                <w:szCs w:val="15"/>
                <w:color w:val="auto"/>
              </w:rPr>
              <w:t>12,500,000</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jc w:val="right"/>
              <w:ind w:right="904"/>
              <w:spacing w:after="0"/>
              <w:rPr>
                <w:sz w:val="20"/>
                <w:szCs w:val="20"/>
                <w:color w:val="auto"/>
              </w:rPr>
            </w:pPr>
            <w:r>
              <w:rPr>
                <w:rFonts w:ascii="Arial" w:cs="Arial" w:eastAsia="Arial" w:hAnsi="Arial"/>
                <w:sz w:val="15"/>
                <w:szCs w:val="15"/>
                <w:b w:val="1"/>
                <w:bCs w:val="1"/>
                <w:color w:val="auto"/>
              </w:rPr>
              <w:t>11</w:t>
            </w:r>
          </w:p>
        </w:tc>
        <w:tc>
          <w:tcPr>
            <w:tcW w:w="7420" w:type="dxa"/>
            <w:vAlign w:val="bottom"/>
            <w:gridSpan w:val="3"/>
          </w:tcPr>
          <w:p>
            <w:pPr>
              <w:ind w:left="160"/>
              <w:spacing w:after="0"/>
              <w:rPr>
                <w:sz w:val="20"/>
                <w:szCs w:val="20"/>
                <w:color w:val="auto"/>
              </w:rPr>
            </w:pPr>
            <w:r>
              <w:rPr>
                <w:rFonts w:ascii="Arial" w:cs="Arial" w:eastAsia="Arial" w:hAnsi="Arial"/>
                <w:sz w:val="15"/>
                <w:szCs w:val="15"/>
                <w:color w:val="auto"/>
              </w:rPr>
              <w:t>AGGREGATE AMOUNT BENEFICIALLY OWNED BY EACH PERSON</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46,113,250</w:t>
            </w: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900" w:type="dxa"/>
            <w:vAlign w:val="bottom"/>
            <w:tcBorders>
              <w:left w:val="single" w:sz="8" w:color="auto"/>
              <w:bottom w:val="single" w:sz="8" w:color="auto"/>
              <w:right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12</w:t>
            </w:r>
          </w:p>
        </w:tc>
        <w:tc>
          <w:tcPr>
            <w:tcW w:w="74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CHECK IF THE AGGREGATE AMOUNT IN ROW (11) EXCLUDES CERTAIN SHARES</w:t>
            </w:r>
          </w:p>
        </w:tc>
        <w:tc>
          <w:tcPr>
            <w:tcW w:w="880" w:type="dxa"/>
            <w:vAlign w:val="bottom"/>
            <w:tcBorders>
              <w:bottom w:val="single" w:sz="8" w:color="auto"/>
            </w:tcBorders>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right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13</w:t>
            </w:r>
          </w:p>
        </w:tc>
        <w:tc>
          <w:tcPr>
            <w:tcW w:w="7420" w:type="dxa"/>
            <w:vAlign w:val="bottom"/>
            <w:gridSpan w:val="3"/>
            <w:vMerge w:val="restart"/>
          </w:tcPr>
          <w:p>
            <w:pPr>
              <w:ind w:left="140"/>
              <w:spacing w:after="0"/>
              <w:rPr>
                <w:sz w:val="20"/>
                <w:szCs w:val="20"/>
                <w:color w:val="auto"/>
              </w:rPr>
            </w:pPr>
            <w:r>
              <w:rPr>
                <w:rFonts w:ascii="Arial" w:cs="Arial" w:eastAsia="Arial" w:hAnsi="Arial"/>
                <w:sz w:val="15"/>
                <w:szCs w:val="15"/>
                <w:color w:val="auto"/>
              </w:rPr>
              <w:t>PERCENT OF CLASS REPRESENTED BY AMOUNT IN ROW (11)</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9"/>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742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color w:val="auto"/>
              </w:rPr>
              <w:t>68.8% (based on 67,060,943 shares of Common Stock outstanding on March 26, 2020)</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14</w:t>
            </w:r>
          </w:p>
        </w:tc>
        <w:tc>
          <w:tcPr>
            <w:tcW w:w="7420" w:type="dxa"/>
            <w:vAlign w:val="bottom"/>
            <w:gridSpan w:val="3"/>
          </w:tcPr>
          <w:p>
            <w:pPr>
              <w:ind w:left="160"/>
              <w:spacing w:after="0"/>
              <w:rPr>
                <w:sz w:val="20"/>
                <w:szCs w:val="20"/>
                <w:color w:val="auto"/>
              </w:rPr>
            </w:pPr>
            <w:r>
              <w:rPr>
                <w:rFonts w:ascii="Arial" w:cs="Arial" w:eastAsia="Arial" w:hAnsi="Arial"/>
                <w:sz w:val="15"/>
                <w:szCs w:val="15"/>
                <w:color w:val="auto"/>
              </w:rPr>
              <w:t>TYPE OF REPORTING PERSON</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80"/>
              <w:spacing w:after="0"/>
              <w:rPr>
                <w:sz w:val="20"/>
                <w:szCs w:val="20"/>
                <w:color w:val="auto"/>
              </w:rPr>
            </w:pPr>
            <w:r>
              <w:rPr>
                <w:rFonts w:ascii="Arial" w:cs="Arial" w:eastAsia="Arial" w:hAnsi="Arial"/>
                <w:sz w:val="15"/>
                <w:szCs w:val="15"/>
                <w:color w:val="auto"/>
              </w:rPr>
              <w:t>IN</w:t>
            </w:r>
          </w:p>
        </w:tc>
        <w:tc>
          <w:tcPr>
            <w:tcW w:w="5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0"/>
        </w:trPr>
        <w:tc>
          <w:tcPr>
            <w:tcW w:w="1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94" w:right="439" w:bottom="1440" w:gutter="0" w:footer="0" w:header="0"/>
          <w:type w:val="continuous"/>
        </w:sectPr>
      </w:pPr>
    </w:p>
    <w:bookmarkStart w:id="2" w:name="page3"/>
    <w:bookmarkEnd w:id="2"/>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508635</wp:posOffset>
            </wp:positionV>
            <wp:extent cx="1671955"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1955" cy="19748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4"/>
          <w:szCs w:val="14"/>
          <w:b w:val="1"/>
          <w:bCs w:val="1"/>
          <w:color w:val="auto"/>
        </w:rPr>
        <w:t>CUSIP No. 74275G 107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-131445</wp:posOffset>
            </wp:positionV>
            <wp:extent cx="161163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1630" cy="19748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3">
            <w:col w:w="5980" w:space="720"/>
            <w:col w:w="2280" w:space="720"/>
            <w:col w:w="1320"/>
          </w:cols>
          <w:pgMar w:left="440" w:top="837" w:right="439" w:bottom="1440" w:gutter="0" w:footer="0" w:header="0"/>
        </w:sectPr>
      </w:pPr>
    </w:p>
    <w:tbl>
      <w:tblPr>
        <w:tblLayout w:type="fixed"/>
        <w:tblInd w:w="10" w:type="dxa"/>
        <w:tblCellMar>
          <w:top w:w="0" w:type="dxa"/>
          <w:left w:w="0" w:type="dxa"/>
          <w:bottom w:w="0" w:type="dxa"/>
          <w:right w:w="0" w:type="dxa"/>
        </w:tblCellMar>
      </w:tblPr>
      <w:tr>
        <w:trPr>
          <w:trHeight w:val="222"/>
        </w:trPr>
        <w:tc>
          <w:tcPr>
            <w:tcW w:w="1900" w:type="dxa"/>
            <w:vAlign w:val="bottom"/>
            <w:tcBorders>
              <w:top w:val="single" w:sz="8" w:color="auto"/>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1</w:t>
            </w:r>
          </w:p>
        </w:tc>
        <w:tc>
          <w:tcPr>
            <w:tcW w:w="742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5"/>
                <w:szCs w:val="15"/>
                <w:color w:val="auto"/>
              </w:rPr>
              <w:t>NAME OF REPORTING PERSON</w:t>
            </w:r>
          </w:p>
        </w:tc>
        <w:tc>
          <w:tcPr>
            <w:tcW w:w="88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742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color w:val="auto"/>
              </w:rPr>
              <w:t>Thomas Priore 2019 GRAT</w:t>
            </w: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2</w:t>
            </w:r>
          </w:p>
        </w:tc>
        <w:tc>
          <w:tcPr>
            <w:tcW w:w="7420" w:type="dxa"/>
            <w:vAlign w:val="bottom"/>
            <w:gridSpan w:val="3"/>
          </w:tcPr>
          <w:p>
            <w:pPr>
              <w:ind w:left="140"/>
              <w:spacing w:after="0"/>
              <w:rPr>
                <w:sz w:val="20"/>
                <w:szCs w:val="20"/>
                <w:color w:val="auto"/>
              </w:rPr>
            </w:pPr>
            <w:r>
              <w:rPr>
                <w:rFonts w:ascii="Arial" w:cs="Arial" w:eastAsia="Arial" w:hAnsi="Arial"/>
                <w:sz w:val="15"/>
                <w:szCs w:val="15"/>
                <w:color w:val="auto"/>
              </w:rPr>
              <w:t>CHECK THE APPROPRIATE BOX IF A MEMBER OF A GROUP</w:t>
            </w:r>
          </w:p>
        </w:tc>
        <w:tc>
          <w:tcPr>
            <w:tcW w:w="880" w:type="dxa"/>
            <w:vAlign w:val="bottom"/>
          </w:tcPr>
          <w:p>
            <w:pPr>
              <w:ind w:left="620"/>
              <w:spacing w:after="0"/>
              <w:rPr>
                <w:sz w:val="20"/>
                <w:szCs w:val="20"/>
                <w:color w:val="auto"/>
              </w:rPr>
            </w:pPr>
            <w:r>
              <w:rPr>
                <w:rFonts w:ascii="Arial" w:cs="Arial" w:eastAsia="Arial" w:hAnsi="Arial"/>
                <w:sz w:val="15"/>
                <w:szCs w:val="15"/>
                <w:color w:val="auto"/>
              </w:rPr>
              <w:t>(a)</w:t>
            </w:r>
          </w:p>
        </w:tc>
        <w:tc>
          <w:tcPr>
            <w:tcW w:w="8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(b)</w:t>
            </w:r>
          </w:p>
        </w:tc>
        <w:tc>
          <w:tcPr>
            <w:tcW w:w="80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bottom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3</w:t>
            </w: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rPr>
              <w:t>SEC USE ONLY</w:t>
            </w:r>
          </w:p>
        </w:tc>
        <w:tc>
          <w:tcPr>
            <w:tcW w:w="5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4</w:t>
            </w:r>
          </w:p>
        </w:tc>
        <w:tc>
          <w:tcPr>
            <w:tcW w:w="7420" w:type="dxa"/>
            <w:vAlign w:val="bottom"/>
            <w:gridSpan w:val="3"/>
          </w:tcPr>
          <w:p>
            <w:pPr>
              <w:ind w:left="160"/>
              <w:spacing w:after="0"/>
              <w:rPr>
                <w:sz w:val="20"/>
                <w:szCs w:val="20"/>
                <w:color w:val="auto"/>
              </w:rPr>
            </w:pPr>
            <w:r>
              <w:rPr>
                <w:rFonts w:ascii="Arial" w:cs="Arial" w:eastAsia="Arial" w:hAnsi="Arial"/>
                <w:sz w:val="15"/>
                <w:szCs w:val="15"/>
                <w:color w:val="auto"/>
              </w:rPr>
              <w:t>SOURCE OF FUNDS</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20"/>
              <w:spacing w:after="0"/>
              <w:rPr>
                <w:sz w:val="20"/>
                <w:szCs w:val="20"/>
                <w:color w:val="auto"/>
              </w:rPr>
            </w:pPr>
            <w:r>
              <w:rPr>
                <w:rFonts w:ascii="Arial" w:cs="Arial" w:eastAsia="Arial" w:hAnsi="Arial"/>
                <w:sz w:val="15"/>
                <w:szCs w:val="15"/>
                <w:color w:val="auto"/>
                <w:w w:val="90"/>
              </w:rPr>
              <w:t>OO (See Item 3)</w:t>
            </w:r>
          </w:p>
        </w:tc>
        <w:tc>
          <w:tcPr>
            <w:tcW w:w="5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5</w:t>
            </w:r>
          </w:p>
        </w:tc>
        <w:tc>
          <w:tcPr>
            <w:tcW w:w="7420" w:type="dxa"/>
            <w:vAlign w:val="bottom"/>
            <w:gridSpan w:val="3"/>
          </w:tcPr>
          <w:p>
            <w:pPr>
              <w:ind w:left="140"/>
              <w:spacing w:after="0"/>
              <w:rPr>
                <w:sz w:val="20"/>
                <w:szCs w:val="20"/>
                <w:color w:val="auto"/>
              </w:rPr>
            </w:pPr>
            <w:r>
              <w:rPr>
                <w:rFonts w:ascii="Arial" w:cs="Arial" w:eastAsia="Arial" w:hAnsi="Arial"/>
                <w:sz w:val="15"/>
                <w:szCs w:val="15"/>
                <w:color w:val="auto"/>
              </w:rPr>
              <w:t>CHECK BOX IF DISCLOSURE OF LEGAL PROCEEDING IS REQUIRED PURSUANT TO ITEMS 2(d)</w:t>
            </w:r>
          </w:p>
        </w:tc>
        <w:tc>
          <w:tcPr>
            <w:tcW w:w="880" w:type="dxa"/>
            <w:vAlign w:val="bottom"/>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color w:val="auto"/>
              </w:rPr>
              <w:t>or 2(e)</w:t>
            </w:r>
          </w:p>
        </w:tc>
        <w:tc>
          <w:tcPr>
            <w:tcW w:w="59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jc w:val="right"/>
              <w:ind w:right="964"/>
              <w:spacing w:after="0"/>
              <w:rPr>
                <w:sz w:val="20"/>
                <w:szCs w:val="20"/>
                <w:color w:val="auto"/>
              </w:rPr>
            </w:pPr>
            <w:r>
              <w:rPr>
                <w:rFonts w:ascii="Arial" w:cs="Arial" w:eastAsia="Arial" w:hAnsi="Arial"/>
                <w:sz w:val="15"/>
                <w:szCs w:val="15"/>
                <w:b w:val="1"/>
                <w:bCs w:val="1"/>
                <w:color w:val="auto"/>
              </w:rPr>
              <w:t>6</w:t>
            </w:r>
          </w:p>
        </w:tc>
        <w:tc>
          <w:tcPr>
            <w:tcW w:w="7420" w:type="dxa"/>
            <w:vAlign w:val="bottom"/>
            <w:gridSpan w:val="3"/>
            <w:vMerge w:val="restart"/>
          </w:tcPr>
          <w:p>
            <w:pPr>
              <w:ind w:left="140"/>
              <w:spacing w:after="0"/>
              <w:rPr>
                <w:sz w:val="20"/>
                <w:szCs w:val="20"/>
                <w:color w:val="auto"/>
              </w:rPr>
            </w:pPr>
            <w:r>
              <w:rPr>
                <w:rFonts w:ascii="Arial" w:cs="Arial" w:eastAsia="Arial" w:hAnsi="Arial"/>
                <w:sz w:val="15"/>
                <w:szCs w:val="15"/>
                <w:color w:val="auto"/>
              </w:rPr>
              <w:t>CITIZENSHIP OR PLACE OF ORGANIZATION</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color w:val="auto"/>
              </w:rPr>
              <w:t>New York</w:t>
            </w:r>
          </w:p>
        </w:tc>
        <w:tc>
          <w:tcPr>
            <w:tcW w:w="5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7</w:t>
            </w:r>
          </w:p>
        </w:tc>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SOLE VOTING POWER</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NUMBER OF SHARES</w:t>
            </w:r>
          </w:p>
        </w:tc>
        <w:tc>
          <w:tcPr>
            <w:tcW w:w="1420" w:type="dxa"/>
            <w:vAlign w:val="bottom"/>
            <w:tcBorders>
              <w:right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8</w:t>
            </w:r>
          </w:p>
        </w:tc>
        <w:tc>
          <w:tcPr>
            <w:tcW w:w="20" w:type="dxa"/>
            <w:vAlign w:val="bottom"/>
          </w:tcPr>
          <w:p>
            <w:pPr>
              <w:spacing w:after="0"/>
              <w:rPr>
                <w:sz w:val="15"/>
                <w:szCs w:val="15"/>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SHARED VOTING POWER</w:t>
            </w: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280"/>
              <w:spacing w:after="0" w:line="162" w:lineRule="exact"/>
              <w:rPr>
                <w:sz w:val="20"/>
                <w:szCs w:val="20"/>
                <w:color w:val="auto"/>
              </w:rPr>
            </w:pPr>
            <w:r>
              <w:rPr>
                <w:rFonts w:ascii="Arial" w:cs="Arial" w:eastAsia="Arial" w:hAnsi="Arial"/>
                <w:sz w:val="15"/>
                <w:szCs w:val="15"/>
                <w:color w:val="auto"/>
              </w:rPr>
              <w:t>BENEFICIALLY</w:t>
            </w:r>
          </w:p>
        </w:tc>
        <w:tc>
          <w:tcPr>
            <w:tcW w:w="1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vMerge w:val="restart"/>
          </w:tcPr>
          <w:p>
            <w:pPr>
              <w:ind w:left="240"/>
              <w:spacing w:after="0"/>
              <w:rPr>
                <w:sz w:val="20"/>
                <w:szCs w:val="20"/>
                <w:color w:val="auto"/>
              </w:rPr>
            </w:pPr>
            <w:r>
              <w:rPr>
                <w:rFonts w:ascii="Arial" w:cs="Arial" w:eastAsia="Arial" w:hAnsi="Arial"/>
                <w:sz w:val="15"/>
                <w:szCs w:val="15"/>
                <w:color w:val="auto"/>
              </w:rPr>
              <w:t>10,000,000</w:t>
            </w: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900" w:type="dxa"/>
            <w:vAlign w:val="bottom"/>
            <w:tcBorders>
              <w:left w:val="single" w:sz="8" w:color="auto"/>
              <w:right w:val="single" w:sz="8" w:color="auto"/>
            </w:tcBorders>
            <w:vMerge w:val="restart"/>
          </w:tcPr>
          <w:p>
            <w:pPr>
              <w:ind w:left="280"/>
              <w:spacing w:after="0" w:line="162" w:lineRule="exact"/>
              <w:rPr>
                <w:sz w:val="20"/>
                <w:szCs w:val="20"/>
                <w:color w:val="auto"/>
              </w:rPr>
            </w:pPr>
            <w:r>
              <w:rPr>
                <w:rFonts w:ascii="Arial" w:cs="Arial" w:eastAsia="Arial" w:hAnsi="Arial"/>
                <w:sz w:val="15"/>
                <w:szCs w:val="15"/>
                <w:color w:val="auto"/>
              </w:rPr>
              <w:t>OWNED BY EACH</w:t>
            </w:r>
          </w:p>
        </w:tc>
        <w:tc>
          <w:tcPr>
            <w:tcW w:w="142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9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vMerge w:val="continue"/>
          </w:tcPr>
          <w:p>
            <w:pPr>
              <w:spacing w:after="0"/>
              <w:rPr>
                <w:sz w:val="4"/>
                <w:szCs w:val="4"/>
                <w:color w:val="auto"/>
              </w:rPr>
            </w:pPr>
          </w:p>
        </w:tc>
        <w:tc>
          <w:tcPr>
            <w:tcW w:w="1420" w:type="dxa"/>
            <w:vAlign w:val="bottom"/>
            <w:tcBorders>
              <w:right w:val="single" w:sz="8" w:color="auto"/>
            </w:tcBorders>
            <w:vMerge w:val="restart"/>
          </w:tcPr>
          <w:p>
            <w:pPr>
              <w:jc w:val="center"/>
              <w:ind w:right="24"/>
              <w:spacing w:after="0"/>
              <w:rPr>
                <w:sz w:val="20"/>
                <w:szCs w:val="20"/>
                <w:color w:val="auto"/>
              </w:rPr>
            </w:pPr>
            <w:r>
              <w:rPr>
                <w:rFonts w:ascii="Arial" w:cs="Arial" w:eastAsia="Arial" w:hAnsi="Arial"/>
                <w:sz w:val="15"/>
                <w:szCs w:val="15"/>
                <w:b w:val="1"/>
                <w:bCs w:val="1"/>
                <w:color w:val="auto"/>
                <w:w w:val="95"/>
              </w:rPr>
              <w:t>9</w:t>
            </w:r>
          </w:p>
        </w:tc>
        <w:tc>
          <w:tcPr>
            <w:tcW w:w="20" w:type="dxa"/>
            <w:vAlign w:val="bottom"/>
          </w:tcPr>
          <w:p>
            <w:pPr>
              <w:spacing w:after="0"/>
              <w:rPr>
                <w:sz w:val="4"/>
                <w:szCs w:val="4"/>
                <w:color w:val="auto"/>
              </w:rPr>
            </w:pPr>
          </w:p>
        </w:tc>
        <w:tc>
          <w:tcPr>
            <w:tcW w:w="5980" w:type="dxa"/>
            <w:vAlign w:val="bottom"/>
            <w:vMerge w:val="restart"/>
          </w:tcPr>
          <w:p>
            <w:pPr>
              <w:spacing w:after="0"/>
              <w:rPr>
                <w:sz w:val="20"/>
                <w:szCs w:val="20"/>
                <w:color w:val="auto"/>
              </w:rPr>
            </w:pPr>
            <w:r>
              <w:rPr>
                <w:rFonts w:ascii="Arial" w:cs="Arial" w:eastAsia="Arial" w:hAnsi="Arial"/>
                <w:sz w:val="15"/>
                <w:szCs w:val="15"/>
                <w:color w:val="auto"/>
              </w:rPr>
              <w:t>SOLE DISPOSITIVE POWER</w:t>
            </w: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280"/>
              <w:spacing w:after="0" w:line="162" w:lineRule="exact"/>
              <w:rPr>
                <w:sz w:val="20"/>
                <w:szCs w:val="20"/>
                <w:color w:val="auto"/>
              </w:rPr>
            </w:pPr>
            <w:r>
              <w:rPr>
                <w:rFonts w:ascii="Arial" w:cs="Arial" w:eastAsia="Arial" w:hAnsi="Arial"/>
                <w:sz w:val="15"/>
                <w:szCs w:val="15"/>
                <w:color w:val="auto"/>
              </w:rPr>
              <w:t>REPORTING PERSON</w:t>
            </w:r>
          </w:p>
        </w:tc>
        <w:tc>
          <w:tcPr>
            <w:tcW w:w="142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WITH:</w:t>
            </w:r>
          </w:p>
        </w:tc>
        <w:tc>
          <w:tcPr>
            <w:tcW w:w="14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9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10</w:t>
            </w:r>
          </w:p>
        </w:tc>
        <w:tc>
          <w:tcPr>
            <w:tcW w:w="2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Arial" w:cs="Arial" w:eastAsia="Arial" w:hAnsi="Arial"/>
                <w:sz w:val="15"/>
                <w:szCs w:val="15"/>
                <w:color w:val="auto"/>
              </w:rPr>
              <w:t>SHARED DISPOSITIVE POWER</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10,000,000</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jc w:val="right"/>
              <w:ind w:right="904"/>
              <w:spacing w:after="0"/>
              <w:rPr>
                <w:sz w:val="20"/>
                <w:szCs w:val="20"/>
                <w:color w:val="auto"/>
              </w:rPr>
            </w:pPr>
            <w:r>
              <w:rPr>
                <w:rFonts w:ascii="Arial" w:cs="Arial" w:eastAsia="Arial" w:hAnsi="Arial"/>
                <w:sz w:val="15"/>
                <w:szCs w:val="15"/>
                <w:b w:val="1"/>
                <w:bCs w:val="1"/>
                <w:color w:val="auto"/>
              </w:rPr>
              <w:t>11</w:t>
            </w:r>
          </w:p>
        </w:tc>
        <w:tc>
          <w:tcPr>
            <w:tcW w:w="7420" w:type="dxa"/>
            <w:vAlign w:val="bottom"/>
            <w:gridSpan w:val="3"/>
          </w:tcPr>
          <w:p>
            <w:pPr>
              <w:ind w:left="160"/>
              <w:spacing w:after="0"/>
              <w:rPr>
                <w:sz w:val="20"/>
                <w:szCs w:val="20"/>
                <w:color w:val="auto"/>
              </w:rPr>
            </w:pPr>
            <w:r>
              <w:rPr>
                <w:rFonts w:ascii="Arial" w:cs="Arial" w:eastAsia="Arial" w:hAnsi="Arial"/>
                <w:sz w:val="15"/>
                <w:szCs w:val="15"/>
                <w:color w:val="auto"/>
              </w:rPr>
              <w:t>AGGREGATE AMOUNT BENEFICIALLY OWNED BY EACH PERSON</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10,000,000</w:t>
            </w:r>
          </w:p>
        </w:tc>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900" w:type="dxa"/>
            <w:vAlign w:val="bottom"/>
            <w:tcBorders>
              <w:left w:val="single" w:sz="8" w:color="auto"/>
              <w:bottom w:val="single" w:sz="8" w:color="auto"/>
              <w:right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12</w:t>
            </w:r>
          </w:p>
        </w:tc>
        <w:tc>
          <w:tcPr>
            <w:tcW w:w="74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CHECK IF THE AGGREGATE AMOUNT IN ROW (11) EXCLUDES CERTAIN SHARES</w:t>
            </w:r>
          </w:p>
        </w:tc>
        <w:tc>
          <w:tcPr>
            <w:tcW w:w="880" w:type="dxa"/>
            <w:vAlign w:val="bottom"/>
            <w:tcBorders>
              <w:bottom w:val="single" w:sz="8" w:color="auto"/>
            </w:tcBorders>
          </w:tcPr>
          <w:p>
            <w:pPr>
              <w:ind w:left="640"/>
              <w:spacing w:after="0" w:line="201" w:lineRule="exact"/>
              <w:rPr>
                <w:sz w:val="20"/>
                <w:szCs w:val="20"/>
                <w:color w:val="auto"/>
              </w:rPr>
            </w:pPr>
            <w:r>
              <w:rPr>
                <w:rFonts w:ascii="MS PGothic" w:cs="MS PGothic" w:eastAsia="MS PGothic" w:hAnsi="MS PGothic"/>
                <w:sz w:val="20"/>
                <w:szCs w:val="20"/>
                <w:color w:val="auto"/>
              </w:rPr>
              <w:t>☐</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900" w:type="dxa"/>
            <w:vAlign w:val="bottom"/>
            <w:tcBorders>
              <w:left w:val="single" w:sz="8" w:color="auto"/>
              <w:right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13</w:t>
            </w:r>
          </w:p>
        </w:tc>
        <w:tc>
          <w:tcPr>
            <w:tcW w:w="7420" w:type="dxa"/>
            <w:vAlign w:val="bottom"/>
            <w:gridSpan w:val="3"/>
            <w:vMerge w:val="restart"/>
          </w:tcPr>
          <w:p>
            <w:pPr>
              <w:ind w:left="140"/>
              <w:spacing w:after="0"/>
              <w:rPr>
                <w:sz w:val="20"/>
                <w:szCs w:val="20"/>
                <w:color w:val="auto"/>
              </w:rPr>
            </w:pPr>
            <w:r>
              <w:rPr>
                <w:rFonts w:ascii="Arial" w:cs="Arial" w:eastAsia="Arial" w:hAnsi="Arial"/>
                <w:sz w:val="15"/>
                <w:szCs w:val="15"/>
                <w:color w:val="auto"/>
              </w:rPr>
              <w:t>PERCENT OF CLASS REPRESENTED BY AMOUNT IN ROW (11)</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900" w:type="dxa"/>
            <w:vAlign w:val="bottom"/>
            <w:tcBorders>
              <w:left w:val="single" w:sz="8" w:color="auto"/>
              <w:right w:val="single" w:sz="8" w:color="auto"/>
            </w:tcBorders>
          </w:tcPr>
          <w:p>
            <w:pPr>
              <w:spacing w:after="0"/>
              <w:rPr>
                <w:sz w:val="4"/>
                <w:szCs w:val="4"/>
                <w:color w:val="auto"/>
              </w:rPr>
            </w:pPr>
          </w:p>
        </w:tc>
        <w:tc>
          <w:tcPr>
            <w:tcW w:w="7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742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color w:val="auto"/>
              </w:rPr>
              <w:t>14.9% (based on 67,060,943 shares of Common Stock outstanding on March 26, 2020)</w:t>
            </w: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00" w:type="dxa"/>
            <w:vAlign w:val="bottom"/>
            <w:tcBorders>
              <w:left w:val="single" w:sz="8" w:color="auto"/>
              <w:right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14</w:t>
            </w:r>
          </w:p>
        </w:tc>
        <w:tc>
          <w:tcPr>
            <w:tcW w:w="7420" w:type="dxa"/>
            <w:vAlign w:val="bottom"/>
            <w:gridSpan w:val="3"/>
          </w:tcPr>
          <w:p>
            <w:pPr>
              <w:ind w:left="160"/>
              <w:spacing w:after="0"/>
              <w:rPr>
                <w:sz w:val="20"/>
                <w:szCs w:val="20"/>
                <w:color w:val="auto"/>
              </w:rPr>
            </w:pPr>
            <w:r>
              <w:rPr>
                <w:rFonts w:ascii="Arial" w:cs="Arial" w:eastAsia="Arial" w:hAnsi="Arial"/>
                <w:sz w:val="15"/>
                <w:szCs w:val="15"/>
                <w:color w:val="auto"/>
              </w:rPr>
              <w:t>TYPE OF REPORTING PERSON</w:t>
            </w:r>
          </w:p>
        </w:tc>
        <w:tc>
          <w:tcPr>
            <w:tcW w:w="8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80"/>
              <w:spacing w:after="0"/>
              <w:rPr>
                <w:sz w:val="20"/>
                <w:szCs w:val="20"/>
                <w:color w:val="auto"/>
              </w:rPr>
            </w:pPr>
            <w:r>
              <w:rPr>
                <w:rFonts w:ascii="Arial" w:cs="Arial" w:eastAsia="Arial" w:hAnsi="Arial"/>
                <w:sz w:val="15"/>
                <w:szCs w:val="15"/>
                <w:color w:val="auto"/>
              </w:rPr>
              <w:t>OO</w:t>
            </w:r>
          </w:p>
        </w:tc>
        <w:tc>
          <w:tcPr>
            <w:tcW w:w="5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00"/>
        </w:trPr>
        <w:tc>
          <w:tcPr>
            <w:tcW w:w="1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37" w:right="439" w:bottom="1440" w:gutter="0" w:footer="0" w:header="0"/>
          <w:type w:val="continuous"/>
        </w:sectPr>
      </w:pPr>
    </w:p>
    <w:bookmarkStart w:id="3" w:name="page4"/>
    <w:bookmarkEnd w:id="3"/>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466090</wp:posOffset>
            </wp:positionV>
            <wp:extent cx="1671955"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1955" cy="19748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4"/>
          <w:szCs w:val="14"/>
          <w:b w:val="1"/>
          <w:bCs w:val="1"/>
          <w:color w:val="auto"/>
        </w:rPr>
        <w:t>CUSIP No. 74275G 107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-131445</wp:posOffset>
            </wp:positionV>
            <wp:extent cx="161163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1630" cy="19748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3">
            <w:col w:w="6020" w:space="720"/>
            <w:col w:w="2280" w:space="720"/>
            <w:col w:w="1420"/>
          </w:cols>
          <w:pgMar w:left="400" w:top="769" w:right="339" w:bottom="1440" w:gutter="0" w:footer="0" w:header="0"/>
        </w:sectPr>
      </w:pP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Amendment No. 3 (“</w:t>
      </w:r>
      <w:r>
        <w:rPr>
          <w:rFonts w:ascii="Arial" w:cs="Arial" w:eastAsia="Arial" w:hAnsi="Arial"/>
          <w:sz w:val="15"/>
          <w:szCs w:val="15"/>
          <w:u w:val="single" w:color="auto"/>
          <w:color w:val="auto"/>
        </w:rPr>
        <w:t>Amendment No. 3</w:t>
      </w:r>
      <w:r>
        <w:rPr>
          <w:rFonts w:ascii="Arial" w:cs="Arial" w:eastAsia="Arial" w:hAnsi="Arial"/>
          <w:sz w:val="15"/>
          <w:szCs w:val="15"/>
          <w:color w:val="auto"/>
        </w:rPr>
        <w:t>”) amends and supplements the statement on Schedule 13D filed with the Securities and Exchange Commission (the “SEC”) on August 3, 2018 (the “</w:t>
      </w:r>
      <w:r>
        <w:rPr>
          <w:rFonts w:ascii="Arial" w:cs="Arial" w:eastAsia="Arial" w:hAnsi="Arial"/>
          <w:sz w:val="15"/>
          <w:szCs w:val="15"/>
          <w:u w:val="single" w:color="auto"/>
          <w:color w:val="auto"/>
        </w:rPr>
        <w:t>Original Schedule 13D</w:t>
      </w:r>
      <w:r>
        <w:rPr>
          <w:rFonts w:ascii="Arial" w:cs="Arial" w:eastAsia="Arial" w:hAnsi="Arial"/>
          <w:sz w:val="15"/>
          <w:szCs w:val="15"/>
          <w:color w:val="auto"/>
        </w:rPr>
        <w:t>”), Amendment No. 1 to the Original Schedule 13D filed with the SEC on August 21, 2019 (“</w:t>
      </w:r>
      <w:r>
        <w:rPr>
          <w:rFonts w:ascii="Arial" w:cs="Arial" w:eastAsia="Arial" w:hAnsi="Arial"/>
          <w:sz w:val="15"/>
          <w:szCs w:val="15"/>
          <w:u w:val="single" w:color="auto"/>
          <w:color w:val="auto"/>
        </w:rPr>
        <w:t>Amendment No. 1</w:t>
      </w:r>
      <w:r>
        <w:rPr>
          <w:rFonts w:ascii="Arial" w:cs="Arial" w:eastAsia="Arial" w:hAnsi="Arial"/>
          <w:sz w:val="15"/>
          <w:szCs w:val="15"/>
          <w:color w:val="auto"/>
        </w:rPr>
        <w:t>”) and Amendment No. 2 to the Original Schedule 13D filed with the SEC on November 19, 2019 (“</w:t>
      </w:r>
      <w:r>
        <w:rPr>
          <w:rFonts w:ascii="Arial" w:cs="Arial" w:eastAsia="Arial" w:hAnsi="Arial"/>
          <w:sz w:val="15"/>
          <w:szCs w:val="15"/>
          <w:u w:val="single" w:color="auto"/>
          <w:color w:val="auto"/>
        </w:rPr>
        <w:t>Amendment No. 2</w:t>
      </w:r>
      <w:r>
        <w:rPr>
          <w:rFonts w:ascii="Arial" w:cs="Arial" w:eastAsia="Arial" w:hAnsi="Arial"/>
          <w:sz w:val="15"/>
          <w:szCs w:val="15"/>
          <w:color w:val="auto"/>
        </w:rPr>
        <w:t>” and, together with the Original Schedule 13D and the Amendment No. 1, the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13D</w:t>
      </w:r>
      <w:r>
        <w:rPr>
          <w:rFonts w:ascii="Arial" w:cs="Arial" w:eastAsia="Arial" w:hAnsi="Arial"/>
          <w:sz w:val="15"/>
          <w:szCs w:val="15"/>
          <w:color w:val="auto"/>
        </w:rPr>
        <w:t>”). The Schedule 13D remains in full force and effect, except as specifically amended by this Amendment No. 3. Capitalized terms used herein and not otherwise defined in this Amendment No. 3 have the meanings set forth in the Schedule 13D.</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Security and Issuer</w:t>
      </w:r>
    </w:p>
    <w:p>
      <w:pPr>
        <w:spacing w:after="0" w:line="210" w:lineRule="exact"/>
        <w:rPr>
          <w:sz w:val="20"/>
          <w:szCs w:val="20"/>
          <w:color w:val="auto"/>
        </w:rPr>
      </w:pPr>
    </w:p>
    <w:p>
      <w:pPr>
        <w:ind w:left="860"/>
        <w:spacing w:after="0" w:line="274" w:lineRule="auto"/>
        <w:rPr>
          <w:sz w:val="20"/>
          <w:szCs w:val="20"/>
          <w:color w:val="auto"/>
        </w:rPr>
      </w:pPr>
      <w:r>
        <w:rPr>
          <w:rFonts w:ascii="Arial" w:cs="Arial" w:eastAsia="Arial" w:hAnsi="Arial"/>
          <w:sz w:val="15"/>
          <w:szCs w:val="15"/>
          <w:color w:val="auto"/>
        </w:rPr>
        <w:t>This Schedule 13D relates to the Common Stock, $0.001 par value per share ("Common Stock") of Priority Technology Holdings, Inc., a Delaware corporation (the "Issuer"), with principal executive offices at 2001 Westside Parkway, Suite 155, Alpharetta, GA 30004.</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Identity and Background</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Item 2 of the Schedule 13D is hereby amended and restated as follows:</w:t>
      </w:r>
    </w:p>
    <w:p>
      <w:pPr>
        <w:spacing w:after="0" w:line="206" w:lineRule="exact"/>
        <w:rPr>
          <w:sz w:val="20"/>
          <w:szCs w:val="20"/>
          <w:color w:val="auto"/>
        </w:rPr>
      </w:pPr>
    </w:p>
    <w:p>
      <w:pPr>
        <w:ind w:left="860" w:hanging="851"/>
        <w:spacing w:after="0"/>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This statement is filed by:</w:t>
      </w:r>
    </w:p>
    <w:p>
      <w:pPr>
        <w:spacing w:after="0" w:line="178" w:lineRule="exact"/>
        <w:rPr>
          <w:rFonts w:ascii="Arial" w:cs="Arial" w:eastAsia="Arial" w:hAnsi="Arial"/>
          <w:sz w:val="15"/>
          <w:szCs w:val="15"/>
          <w:color w:val="auto"/>
        </w:rPr>
      </w:pPr>
    </w:p>
    <w:p>
      <w:pPr>
        <w:ind w:left="1420" w:hanging="547"/>
        <w:spacing w:after="0"/>
        <w:tabs>
          <w:tab w:leader="none" w:pos="142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Thomas Priore 2019 GRAT (the "GRAT"), with respect to the shares of Common Stock directly held by it; and</w:t>
      </w:r>
    </w:p>
    <w:p>
      <w:pPr>
        <w:spacing w:after="0" w:line="178" w:lineRule="exact"/>
        <w:rPr>
          <w:rFonts w:ascii="Arial" w:cs="Arial" w:eastAsia="Arial" w:hAnsi="Arial"/>
          <w:sz w:val="15"/>
          <w:szCs w:val="15"/>
          <w:color w:val="auto"/>
        </w:rPr>
      </w:pPr>
    </w:p>
    <w:p>
      <w:pPr>
        <w:jc w:val="both"/>
        <w:ind w:left="1440" w:hanging="567"/>
        <w:spacing w:after="0" w:line="259" w:lineRule="auto"/>
        <w:tabs>
          <w:tab w:leader="none" w:pos="1422" w:val="left"/>
        </w:tabs>
        <w:numPr>
          <w:ilvl w:val="1"/>
          <w:numId w:val="3"/>
        </w:numPr>
        <w:rPr>
          <w:rFonts w:ascii="Arial" w:cs="Arial" w:eastAsia="Arial" w:hAnsi="Arial"/>
          <w:sz w:val="15"/>
          <w:szCs w:val="15"/>
          <w:color w:val="auto"/>
        </w:rPr>
      </w:pPr>
      <w:r>
        <w:rPr>
          <w:rFonts w:ascii="Arial" w:cs="Arial" w:eastAsia="Arial" w:hAnsi="Arial"/>
          <w:sz w:val="15"/>
          <w:szCs w:val="15"/>
          <w:color w:val="auto"/>
        </w:rPr>
        <w:t>Thomas C. Priore ("Mr. Priore"), who serves as the managing member of Priority Investment Holdings, LLC ("PIH"), the manager of Priority Incentive Equity Holdings, LLC ("PIEH"), with respect to the shares of Common Stock directly held by him and by the Thomas C. Priore Irrevocable Insurance Trust u/a/d 1/8/2010 (the "Insurance Trust") and the GRAT.</w:t>
      </w:r>
    </w:p>
    <w:p>
      <w:pPr>
        <w:spacing w:after="0" w:line="157" w:lineRule="exact"/>
        <w:rPr>
          <w:sz w:val="20"/>
          <w:szCs w:val="20"/>
          <w:color w:val="auto"/>
        </w:rPr>
      </w:pPr>
    </w:p>
    <w:p>
      <w:pPr>
        <w:ind w:left="860"/>
        <w:spacing w:after="0" w:line="293" w:lineRule="auto"/>
        <w:rPr>
          <w:sz w:val="20"/>
          <w:szCs w:val="20"/>
          <w:color w:val="auto"/>
        </w:rPr>
      </w:pPr>
      <w:r>
        <w:rPr>
          <w:rFonts w:ascii="Arial" w:cs="Arial" w:eastAsia="Arial" w:hAnsi="Arial"/>
          <w:sz w:val="15"/>
          <w:szCs w:val="15"/>
          <w:color w:val="auto"/>
        </w:rPr>
        <w:t>The foregoing persons are hereinafter sometimes collectively referred to as the “Reporting Persons.” Any disclosures herein with respect to persons other than the Reporting Persons are made on information and belief after making inquiry to the appropriate party.</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filing of this statement should not be construed as an admission that any Reporting Person is the beneficial owner of the securities reported herein.</w:t>
      </w:r>
    </w:p>
    <w:p>
      <w:pPr>
        <w:spacing w:after="0" w:line="206" w:lineRule="exact"/>
        <w:rPr>
          <w:sz w:val="20"/>
          <w:szCs w:val="20"/>
          <w:color w:val="auto"/>
        </w:rPr>
      </w:pPr>
    </w:p>
    <w:p>
      <w:pPr>
        <w:ind w:left="860" w:hanging="851"/>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principal business address of the Reporting Persons and PIH is c/o Priority Technology Holdings, Inc., 2001 Westside Parkway, Suite 155, Alpharetta, GA 30004.</w:t>
      </w:r>
    </w:p>
    <w:p>
      <w:pPr>
        <w:spacing w:after="0" w:line="217" w:lineRule="exact"/>
        <w:rPr>
          <w:rFonts w:ascii="Arial" w:cs="Arial" w:eastAsia="Arial" w:hAnsi="Arial"/>
          <w:sz w:val="14"/>
          <w:szCs w:val="14"/>
          <w:color w:val="auto"/>
        </w:rPr>
      </w:pPr>
    </w:p>
    <w:p>
      <w:pPr>
        <w:ind w:left="860" w:hanging="851"/>
        <w:spacing w:after="0"/>
        <w:tabs>
          <w:tab w:leader="none" w:pos="860" w:val="left"/>
        </w:tabs>
        <w:numPr>
          <w:ilvl w:val="0"/>
          <w:numId w:val="4"/>
        </w:numPr>
        <w:rPr>
          <w:rFonts w:ascii="Arial" w:cs="Arial" w:eastAsia="Arial" w:hAnsi="Arial"/>
          <w:sz w:val="15"/>
          <w:szCs w:val="15"/>
          <w:color w:val="auto"/>
        </w:rPr>
      </w:pPr>
      <w:r>
        <w:rPr>
          <w:rFonts w:ascii="Arial" w:cs="Arial" w:eastAsia="Arial" w:hAnsi="Arial"/>
          <w:sz w:val="15"/>
          <w:szCs w:val="15"/>
          <w:color w:val="auto"/>
        </w:rPr>
        <w:t>Mr. Priore serves as the sole managing member of PIH. The principal business of PIH is to serve as the manager of PIEH.</w:t>
      </w:r>
    </w:p>
    <w:p>
      <w:pPr>
        <w:spacing w:after="0" w:line="205" w:lineRule="exact"/>
        <w:rPr>
          <w:rFonts w:ascii="Arial" w:cs="Arial" w:eastAsia="Arial" w:hAnsi="Arial"/>
          <w:sz w:val="15"/>
          <w:szCs w:val="15"/>
          <w:color w:val="auto"/>
        </w:rPr>
      </w:pPr>
    </w:p>
    <w:p>
      <w:pPr>
        <w:ind w:left="860" w:hanging="851"/>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None of the Reporting Persons nor PIH has, during the last five years, been convicted in a criminal proceeding (excluding traffic violations or similar misdemeanors).</w:t>
      </w:r>
    </w:p>
    <w:p>
      <w:pPr>
        <w:sectPr>
          <w:pgSz w:w="11900" w:h="16838" w:orient="portrait"/>
          <w:cols w:equalWidth="0" w:num="1">
            <w:col w:w="11160"/>
          </w:cols>
          <w:pgMar w:left="400" w:top="769" w:right="339" w:bottom="1440" w:gutter="0" w:footer="0" w:header="0"/>
          <w:type w:val="continuous"/>
        </w:sectPr>
      </w:pPr>
    </w:p>
    <w:bookmarkStart w:id="4" w:name="page5"/>
    <w:bookmarkEnd w:id="4"/>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466090</wp:posOffset>
            </wp:positionV>
            <wp:extent cx="167195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1955" cy="19748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4"/>
          <w:szCs w:val="14"/>
          <w:b w:val="1"/>
          <w:bCs w:val="1"/>
          <w:color w:val="auto"/>
        </w:rPr>
        <w:t>CUSIP No. 74275G 107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-131445</wp:posOffset>
            </wp:positionV>
            <wp:extent cx="161163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1630" cy="19748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3">
            <w:col w:w="6100" w:space="720"/>
            <w:col w:w="2280" w:space="720"/>
            <w:col w:w="1420"/>
          </w:cols>
          <w:pgMar w:left="320" w:top="769" w:right="339" w:bottom="1440" w:gutter="0" w:footer="0" w:header="0"/>
        </w:sectPr>
      </w:pPr>
    </w:p>
    <w:p>
      <w:pPr>
        <w:spacing w:after="0" w:line="35" w:lineRule="exact"/>
        <w:rPr>
          <w:sz w:val="20"/>
          <w:szCs w:val="20"/>
          <w:color w:val="auto"/>
        </w:rPr>
      </w:pPr>
    </w:p>
    <w:p>
      <w:pPr>
        <w:jc w:val="both"/>
        <w:ind w:left="940" w:hanging="851"/>
        <w:spacing w:after="0" w:line="286" w:lineRule="auto"/>
        <w:tabs>
          <w:tab w:leader="none" w:pos="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June 21, 2010, the SEC filed a civil lawsuit against ICP Asset Management (“</w:t>
      </w:r>
      <w:r>
        <w:rPr>
          <w:rFonts w:ascii="Arial" w:cs="Arial" w:eastAsia="Arial" w:hAnsi="Arial"/>
          <w:sz w:val="14"/>
          <w:szCs w:val="14"/>
          <w:u w:val="single" w:color="auto"/>
          <w:color w:val="auto"/>
        </w:rPr>
        <w:t>ICP</w:t>
      </w:r>
      <w:r>
        <w:rPr>
          <w:rFonts w:ascii="Arial" w:cs="Arial" w:eastAsia="Arial" w:hAnsi="Arial"/>
          <w:sz w:val="14"/>
          <w:szCs w:val="14"/>
          <w:color w:val="auto"/>
        </w:rPr>
        <w:t>”) and Mr.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w:t>
      </w:r>
      <w:r>
        <w:rPr>
          <w:rFonts w:ascii="Arial" w:cs="Arial" w:eastAsia="Arial" w:hAnsi="Arial"/>
          <w:sz w:val="14"/>
          <w:szCs w:val="14"/>
          <w:u w:val="single" w:color="auto"/>
          <w:color w:val="auto"/>
        </w:rPr>
        <w:t>CDOs</w:t>
      </w:r>
      <w:r>
        <w:rPr>
          <w:rFonts w:ascii="Arial" w:cs="Arial" w:eastAsia="Arial" w:hAnsi="Arial"/>
          <w:sz w:val="14"/>
          <w:szCs w:val="14"/>
          <w:color w:val="auto"/>
        </w:rPr>
        <w:t>”),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Mr. Priore’s involvement with Priority, or his service as Executive Chairman of the Issuer subsequent to the Business Combination.</w:t>
      </w:r>
    </w:p>
    <w:p>
      <w:pPr>
        <w:spacing w:after="0" w:line="157" w:lineRule="exact"/>
        <w:rPr>
          <w:rFonts w:ascii="Arial" w:cs="Arial" w:eastAsia="Arial" w:hAnsi="Arial"/>
          <w:sz w:val="14"/>
          <w:szCs w:val="14"/>
          <w:color w:val="auto"/>
        </w:rPr>
      </w:pPr>
    </w:p>
    <w:p>
      <w:pPr>
        <w:jc w:val="both"/>
        <w:ind w:left="940"/>
        <w:spacing w:after="0" w:line="278" w:lineRule="auto"/>
        <w:rPr>
          <w:rFonts w:ascii="Arial" w:cs="Arial" w:eastAsia="Arial" w:hAnsi="Arial"/>
          <w:sz w:val="14"/>
          <w:szCs w:val="14"/>
          <w:color w:val="auto"/>
        </w:rPr>
      </w:pPr>
      <w:r>
        <w:rPr>
          <w:rFonts w:ascii="Arial" w:cs="Arial" w:eastAsia="Arial" w:hAnsi="Arial"/>
          <w:sz w:val="15"/>
          <w:szCs w:val="15"/>
          <w:color w:val="auto"/>
        </w:rPr>
        <w:t>None of PIH or the GRAT,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6" w:lineRule="exact"/>
        <w:rPr>
          <w:rFonts w:ascii="Arial" w:cs="Arial" w:eastAsia="Arial" w:hAnsi="Arial"/>
          <w:sz w:val="14"/>
          <w:szCs w:val="14"/>
          <w:color w:val="auto"/>
        </w:rPr>
      </w:pPr>
    </w:p>
    <w:p>
      <w:pPr>
        <w:ind w:left="940" w:hanging="851"/>
        <w:spacing w:after="0" w:line="293" w:lineRule="auto"/>
        <w:tabs>
          <w:tab w:leader="none" w:pos="9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PIH is a Delaware limited liability company. The trustee of the GRAT and Mr. Priore’s spouse, Lori Priore, is a citizen of the United States. Mr. Priore is a citizen of the United States.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______________________________________________________________________________________________________________</w:t>
      </w:r>
    </w:p>
    <w:p>
      <w:pPr>
        <w:sectPr>
          <w:pgSz w:w="11900" w:h="16838" w:orient="portrait"/>
          <w:cols w:equalWidth="0" w:num="1">
            <w:col w:w="11240"/>
          </w:cols>
          <w:pgMar w:left="320" w:top="769" w:right="339" w:bottom="1440" w:gutter="0" w:footer="0" w:header="0"/>
          <w:type w:val="continuous"/>
        </w:sectPr>
      </w:pPr>
    </w:p>
    <w:bookmarkStart w:id="5" w:name="page6"/>
    <w:bookmarkEnd w:id="5"/>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466090</wp:posOffset>
            </wp:positionV>
            <wp:extent cx="167195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1955" cy="19748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5"/>
          <w:szCs w:val="15"/>
          <w:b w:val="1"/>
          <w:bCs w:val="1"/>
          <w:color w:val="auto"/>
        </w:rPr>
        <w:t>CUSIP No. 74275G 107</w:t>
      </w:r>
    </w:p>
    <w:p>
      <w:pPr>
        <w:spacing w:after="0" w:line="300"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Interest in Securities of the Issuer</w:t>
      </w:r>
    </w:p>
    <w:p>
      <w:pPr>
        <w:spacing w:after="0" w:line="210" w:lineRule="exact"/>
        <w:rPr>
          <w:sz w:val="20"/>
          <w:szCs w:val="20"/>
          <w:color w:val="auto"/>
        </w:rPr>
      </w:pPr>
    </w:p>
    <w:p>
      <w:pPr>
        <w:jc w:val="right"/>
        <w:ind w:right="820"/>
        <w:spacing w:after="0"/>
        <w:rPr>
          <w:sz w:val="20"/>
          <w:szCs w:val="20"/>
          <w:color w:val="auto"/>
        </w:rPr>
      </w:pPr>
      <w:r>
        <w:rPr>
          <w:rFonts w:ascii="Arial" w:cs="Arial" w:eastAsia="Arial" w:hAnsi="Arial"/>
          <w:sz w:val="15"/>
          <w:szCs w:val="15"/>
          <w:color w:val="auto"/>
        </w:rPr>
        <w:t>Item 5 of the Schedule 13D is hereby amended and restated as follows: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-131445</wp:posOffset>
            </wp:positionV>
            <wp:extent cx="161163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1630" cy="197485"/>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3">
            <w:col w:w="6100" w:space="720"/>
            <w:col w:w="2280" w:space="720"/>
            <w:col w:w="1420"/>
          </w:cols>
          <w:pgMar w:left="320" w:top="769" w:right="339" w:bottom="1440" w:gutter="0" w:footer="0" w:header="0"/>
        </w:sectPr>
      </w:pPr>
    </w:p>
    <w:p>
      <w:pPr>
        <w:spacing w:after="0" w:line="19" w:lineRule="exact"/>
        <w:rPr>
          <w:sz w:val="20"/>
          <w:szCs w:val="20"/>
          <w:color w:val="auto"/>
        </w:rPr>
      </w:pPr>
    </w:p>
    <w:p>
      <w:pPr>
        <w:jc w:val="both"/>
        <w:ind w:left="940" w:hanging="851"/>
        <w:spacing w:after="0" w:line="273" w:lineRule="auto"/>
        <w:tabs>
          <w:tab w:leader="none" w:pos="9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See rows (11) and (13) of the cover pages to this Amendment No. 3 for the aggregate number of shares of Common Stock and percentages of the Common Stock beneficially owned by the Reporting Persons. The percentages used in this Amendment No. 3 are calculated based upon 67,060,943 shares of Common Stock reported to be outstanding as of March 26, 2020, as described in the Company’s Annual Report on Form 10-K filed with the Securities and Exchange Commission on March 30, 2020.</w:t>
      </w:r>
    </w:p>
    <w:p>
      <w:pPr>
        <w:spacing w:after="0" w:line="160" w:lineRule="exact"/>
        <w:rPr>
          <w:rFonts w:ascii="Arial" w:cs="Arial" w:eastAsia="Arial" w:hAnsi="Arial"/>
          <w:sz w:val="15"/>
          <w:szCs w:val="15"/>
          <w:b w:val="1"/>
          <w:bCs w:val="1"/>
          <w:color w:val="auto"/>
        </w:rPr>
      </w:pPr>
    </w:p>
    <w:p>
      <w:pPr>
        <w:ind w:left="940" w:hanging="851"/>
        <w:spacing w:after="0" w:line="293" w:lineRule="auto"/>
        <w:tabs>
          <w:tab w:leader="none" w:pos="9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See rows (7) through (10) of the cover pages to this Amendment No. 3 for the number of shares of Common Stock as to which the Reporting Persons have the sole or shared power to vote or direct the vote and sole or shared power to dispose or to direct the disposition.</w:t>
      </w:r>
    </w:p>
    <w:p>
      <w:pPr>
        <w:spacing w:after="0" w:line="132" w:lineRule="exact"/>
        <w:rPr>
          <w:rFonts w:ascii="Arial" w:cs="Arial" w:eastAsia="Arial" w:hAnsi="Arial"/>
          <w:sz w:val="15"/>
          <w:szCs w:val="15"/>
          <w:b w:val="1"/>
          <w:bCs w:val="1"/>
          <w:color w:val="auto"/>
        </w:rPr>
      </w:pPr>
    </w:p>
    <w:p>
      <w:pPr>
        <w:ind w:left="940" w:hanging="851"/>
        <w:spacing w:after="0"/>
        <w:tabs>
          <w:tab w:leader="none" w:pos="9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Except as described in Items 3 and 4, none of the Reporting Persons has effected any transaction in the Common Stock during the past sixty days.</w:t>
      </w:r>
    </w:p>
    <w:p>
      <w:pPr>
        <w:spacing w:after="0" w:line="178" w:lineRule="exact"/>
        <w:rPr>
          <w:rFonts w:ascii="Arial" w:cs="Arial" w:eastAsia="Arial" w:hAnsi="Arial"/>
          <w:sz w:val="15"/>
          <w:szCs w:val="15"/>
          <w:b w:val="1"/>
          <w:bCs w:val="1"/>
          <w:color w:val="auto"/>
        </w:rPr>
      </w:pPr>
    </w:p>
    <w:p>
      <w:pPr>
        <w:jc w:val="both"/>
        <w:ind w:left="94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On April 6, 2020, PIEH made an in-kind distribution of an aggregate of 620,810 shares, without any additional consideration, of Common Stock of the Issuer to a holder of ownership interest of PIEH. As a result, such shares are no longer deemed beneficially owned by Mr. Priore. Following such distribution, PIEH no longer holds shares of Common Stock of the Issuer and is accordingly no longer a reporting person.</w:t>
      </w:r>
    </w:p>
    <w:p>
      <w:pPr>
        <w:spacing w:after="0" w:line="184" w:lineRule="exact"/>
        <w:rPr>
          <w:rFonts w:ascii="Arial" w:cs="Arial" w:eastAsia="Arial" w:hAnsi="Arial"/>
          <w:sz w:val="15"/>
          <w:szCs w:val="15"/>
          <w:b w:val="1"/>
          <w:bCs w:val="1"/>
          <w:color w:val="auto"/>
        </w:rPr>
      </w:pPr>
    </w:p>
    <w:p>
      <w:pPr>
        <w:ind w:left="940" w:hanging="851"/>
        <w:spacing w:after="0"/>
        <w:tabs>
          <w:tab w:leader="none" w:pos="9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Not applicable.</w:t>
      </w:r>
    </w:p>
    <w:p>
      <w:pPr>
        <w:spacing w:after="0" w:line="192" w:lineRule="exact"/>
        <w:rPr>
          <w:rFonts w:ascii="Arial" w:cs="Arial" w:eastAsia="Arial" w:hAnsi="Arial"/>
          <w:sz w:val="15"/>
          <w:szCs w:val="15"/>
          <w:b w:val="1"/>
          <w:bCs w:val="1"/>
          <w:color w:val="auto"/>
        </w:rPr>
      </w:pPr>
    </w:p>
    <w:p>
      <w:pPr>
        <w:ind w:left="940" w:hanging="851"/>
        <w:spacing w:after="0"/>
        <w:tabs>
          <w:tab w:leader="none" w:pos="94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Not applicable.</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_________________________________________________________________________________________________________________________________</w:t>
      </w:r>
    </w:p>
    <w:p>
      <w:pPr>
        <w:sectPr>
          <w:pgSz w:w="11900" w:h="16838" w:orient="portrait"/>
          <w:cols w:equalWidth="0" w:num="1">
            <w:col w:w="11240"/>
          </w:cols>
          <w:pgMar w:left="320" w:top="769" w:right="339" w:bottom="1440" w:gutter="0" w:footer="0" w:header="0"/>
          <w:type w:val="continuous"/>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466090</wp:posOffset>
            </wp:positionV>
            <wp:extent cx="1671955"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71955" cy="19748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4"/>
          <w:szCs w:val="14"/>
          <w:b w:val="1"/>
          <w:bCs w:val="1"/>
          <w:color w:val="auto"/>
        </w:rPr>
        <w:t>CUSIP No. 74275G 107</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13D</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-131445</wp:posOffset>
            </wp:positionV>
            <wp:extent cx="161163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11630" cy="19748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3">
            <w:col w:w="6020" w:space="720"/>
            <w:col w:w="2280" w:space="720"/>
            <w:col w:w="1400"/>
          </w:cols>
          <w:pgMar w:left="400" w:top="769" w:right="359" w:bottom="1440" w:gutter="0" w:footer="0" w:header="0"/>
        </w:sectPr>
      </w:pPr>
    </w:p>
    <w:p>
      <w:pPr>
        <w:spacing w:after="0" w:line="23" w:lineRule="exact"/>
        <w:rPr>
          <w:sz w:val="20"/>
          <w:szCs w:val="20"/>
          <w:color w:val="auto"/>
        </w:rPr>
      </w:pPr>
    </w:p>
    <w:p>
      <w:pPr>
        <w:ind w:firstLine="553"/>
        <w:spacing w:after="0" w:line="293" w:lineRule="auto"/>
        <w:rPr>
          <w:sz w:val="20"/>
          <w:szCs w:val="20"/>
          <w:color w:val="auto"/>
        </w:rPr>
      </w:pPr>
      <w:r>
        <w:rPr>
          <w:rFonts w:ascii="Arial" w:cs="Arial" w:eastAsia="Arial" w:hAnsi="Arial"/>
          <w:sz w:val="15"/>
          <w:szCs w:val="15"/>
          <w:color w:val="auto"/>
        </w:rPr>
        <w:t>After reasonable inquiry and to the best of its or his knowledge and belief, each of the undersigned certifies that the information set forth in this Amendment No. 3 to Schedule 13D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Date: April 20, 2020</w:t>
      </w:r>
    </w:p>
    <w:p>
      <w:pPr>
        <w:spacing w:after="0" w:line="200" w:lineRule="exact"/>
        <w:rPr>
          <w:sz w:val="20"/>
          <w:szCs w:val="20"/>
          <w:color w:val="auto"/>
        </w:rPr>
      </w:pPr>
    </w:p>
    <w:p>
      <w:pPr>
        <w:spacing w:after="0" w:line="384" w:lineRule="exact"/>
        <w:rPr>
          <w:sz w:val="20"/>
          <w:szCs w:val="20"/>
          <w:color w:val="auto"/>
        </w:rPr>
      </w:pPr>
    </w:p>
    <w:p>
      <w:pPr>
        <w:ind w:left="5900"/>
        <w:spacing w:after="0"/>
        <w:rPr>
          <w:sz w:val="20"/>
          <w:szCs w:val="20"/>
          <w:color w:val="auto"/>
        </w:rPr>
      </w:pPr>
      <w:r>
        <w:rPr>
          <w:rFonts w:ascii="Arial" w:cs="Arial" w:eastAsia="Arial" w:hAnsi="Arial"/>
          <w:sz w:val="15"/>
          <w:szCs w:val="15"/>
          <w:u w:val="single" w:color="auto"/>
          <w:color w:val="auto"/>
        </w:rPr>
        <w:t>/s/ Thomas C. Priore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THOMAS C. PRIORE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900"/>
        <w:spacing w:after="0"/>
        <w:rPr>
          <w:sz w:val="20"/>
          <w:szCs w:val="20"/>
          <w:color w:val="auto"/>
        </w:rPr>
      </w:pPr>
      <w:r>
        <w:rPr>
          <w:rFonts w:ascii="Arial" w:cs="Arial" w:eastAsia="Arial" w:hAnsi="Arial"/>
          <w:sz w:val="15"/>
          <w:szCs w:val="15"/>
          <w:u w:val="single" w:color="auto"/>
          <w:color w:val="auto"/>
        </w:rPr>
        <w:t>/s/ Lori Priore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LORI PRIORE, AS TRUSTEE FOR THE THOMAS PRIORE 2019 GRAT</w:t>
      </w:r>
    </w:p>
    <w:sectPr>
      <w:pgSz w:w="11900" w:h="16838" w:orient="portrait"/>
      <w:cols w:equalWidth="0" w:num="1">
        <w:col w:w="11140"/>
      </w:cols>
      <w:pgMar w:left="400" w:top="76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0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lowerRoman"/>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2020-04-20T13:20:20Z</dcterms:created>
  <dcterms:modified xsi:type="dcterms:W3CDTF">2020-04-20T13:20:20Z</dcterms:modified>
</cp:coreProperties>
</file>