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13,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0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jc w:val="right"/>
              <w:ind w:right="2270"/>
              <w:spacing w:after="0"/>
              <w:rPr>
                <w:sz w:val="20"/>
                <w:szCs w:val="20"/>
                <w:color w:val="auto"/>
              </w:rPr>
            </w:pPr>
            <w:r>
              <w:rPr>
                <w:rFonts w:ascii="Arial" w:cs="Arial" w:eastAsia="Arial" w:hAnsi="Arial"/>
                <w:sz w:val="18"/>
                <w:szCs w:val="18"/>
                <w:b w:val="1"/>
                <w:bCs w:val="1"/>
                <w:color w:val="auto"/>
              </w:rPr>
              <w:t>30004</w:t>
            </w:r>
          </w:p>
        </w:tc>
      </w:tr>
      <w:tr>
        <w:trPr>
          <w:trHeight w:val="270"/>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Arial" w:cs="Arial" w:eastAsia="Arial" w:hAnsi="Arial"/>
                <w:sz w:val="18"/>
                <w:szCs w:val="18"/>
                <w:b w:val="1"/>
                <w:bCs w:val="1"/>
                <w:color w:val="auto"/>
              </w:rPr>
              <w:t>Alpharetta,</w:t>
            </w:r>
          </w:p>
        </w:tc>
        <w:tc>
          <w:tcPr>
            <w:tcW w:w="3700" w:type="dxa"/>
            <w:vAlign w:val="bottom"/>
            <w:gridSpan w:val="4"/>
          </w:tcPr>
          <w:p>
            <w:pPr>
              <w:ind w:left="40"/>
              <w:spacing w:after="0"/>
              <w:rPr>
                <w:sz w:val="20"/>
                <w:szCs w:val="20"/>
                <w:color w:val="auto"/>
              </w:rPr>
            </w:pPr>
            <w:r>
              <w:rPr>
                <w:rFonts w:ascii="Arial" w:cs="Arial" w:eastAsia="Arial" w:hAnsi="Arial"/>
                <w:sz w:val="18"/>
                <w:szCs w:val="18"/>
                <w:b w:val="1"/>
                <w:bCs w:val="1"/>
                <w:color w:val="auto"/>
              </w:rPr>
              <w:t>Georgia</w:t>
            </w:r>
          </w:p>
        </w:tc>
        <w:tc>
          <w:tcPr>
            <w:tcW w:w="3600" w:type="dxa"/>
            <w:vAlign w:val="bottom"/>
          </w:tcPr>
          <w:p>
            <w:pPr>
              <w:spacing w:after="0"/>
              <w:rPr>
                <w:sz w:val="23"/>
                <w:szCs w:val="23"/>
                <w:color w:val="auto"/>
              </w:rPr>
            </w:pP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PRTH</w:t>
            </w:r>
          </w:p>
        </w:tc>
        <w:tc>
          <w:tcPr>
            <w:tcW w:w="4340" w:type="dxa"/>
            <w:vAlign w:val="bottom"/>
          </w:tcPr>
          <w:p>
            <w:pPr>
              <w:ind w:left="134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61" w:right="3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13, 2020, Priority Technology Holdings, Inc. issued a press release announcing its financial results for the quarter ended March 31, 2020. A copy of that press release is attached as Exhibit 99.1 to this Current Report on Form 8-K.</w:t>
      </w: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6210" cy="8255"/>
                    </a:xfrm>
                    <a:prstGeom prst="rect">
                      <a:avLst/>
                    </a:prstGeom>
                    <a:noFill/>
                  </pic:spPr>
                </pic:pic>
              </a:graphicData>
            </a:graphic>
          </wp:anchor>
        </w:drawing>
      </w:r>
    </w:p>
    <w:p>
      <w:pPr>
        <w:spacing w:after="0" w:line="191" w:lineRule="exact"/>
        <w:rPr>
          <w:sz w:val="20"/>
          <w:szCs w:val="20"/>
          <w:color w:val="auto"/>
        </w:rPr>
      </w:pPr>
    </w:p>
    <w:p>
      <w:pPr>
        <w:spacing w:after="0"/>
        <w:tabs>
          <w:tab w:leader="none" w:pos="660" w:val="left"/>
        </w:tabs>
        <w:rPr>
          <w:rFonts w:ascii="Arial" w:cs="Arial" w:eastAsia="Arial" w:hAnsi="Arial"/>
          <w:sz w:val="16"/>
          <w:szCs w:val="16"/>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6"/>
            <w:szCs w:val="16"/>
            <w:u w:val="single" w:color="auto"/>
            <w:color w:val="0000FF"/>
          </w:rPr>
          <w:t>Press Release of Priority Technology Holdings, Inc. dated May 13, 2020</w:t>
        </w:r>
      </w:hyperlink>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13, 2020</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55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76593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Priority Technology Holdings, Inc. Announces First Quarter 2020 Financial Results</w:t>
      </w:r>
    </w:p>
    <w:p>
      <w:pPr>
        <w:spacing w:after="0" w:line="3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ALPHARETTA, GA - May 13, 2020 -- Priority Technology Holdings, Inc. (NASDAQ: PRTH) (“Priority” or the “Company”), a leading provider of merchant acquiring, integrated payment software and commercial payment solutions, today announced its first quarter 2020 financial results.</w:t>
      </w:r>
    </w:p>
    <w:p>
      <w:pPr>
        <w:spacing w:after="0" w:line="200" w:lineRule="exact"/>
        <w:rPr>
          <w:sz w:val="20"/>
          <w:szCs w:val="20"/>
          <w:color w:val="auto"/>
        </w:rPr>
      </w:pPr>
    </w:p>
    <w:p>
      <w:pPr>
        <w:spacing w:after="0" w:line="218" w:lineRule="exact"/>
        <w:rPr>
          <w:sz w:val="20"/>
          <w:szCs w:val="20"/>
          <w:color w:val="auto"/>
        </w:rPr>
      </w:pPr>
    </w:p>
    <w:p>
      <w:pPr>
        <w:ind w:left="3980"/>
        <w:spacing w:after="0"/>
        <w:rPr>
          <w:sz w:val="20"/>
          <w:szCs w:val="20"/>
          <w:color w:val="auto"/>
        </w:rPr>
      </w:pPr>
      <w:r>
        <w:rPr>
          <w:rFonts w:ascii="Arial" w:cs="Arial" w:eastAsia="Arial" w:hAnsi="Arial"/>
          <w:sz w:val="20"/>
          <w:szCs w:val="20"/>
          <w:b w:val="1"/>
          <w:bCs w:val="1"/>
          <w:u w:val="single" w:color="auto"/>
          <w:color w:val="auto"/>
        </w:rPr>
        <w:t>Highlights of Consolidated Results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First Quarter 2020, Compared with First Quarter 2019</w:t>
      </w:r>
    </w:p>
    <w:p>
      <w:pPr>
        <w:spacing w:after="0" w:line="5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Revenues of $96.9 million increased 10.6% from $87.6 million.</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Gross profit of $30.6 million increased 11.0% from $27.5 million.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Gross profit margin of 31.5% increased 11 basis points from 31.4%.</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Income from operations of $3.6 million increased $2.6 million from $1.0 million.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Net loss of $5.9 million decreased $0.6 million from $6.4 million.</w:t>
      </w:r>
    </w:p>
    <w:p>
      <w:pPr>
        <w:ind w:left="660" w:right="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Adjusted EBITDA of $15.8 million increased 26.8% from $12.5 million. The Company’s non-GAAP adjusted EBITDA measure is net loss before interest, taxes, depreciation and amortization (EBITDA), further adjusted for non-cash stock-based compensation and certain expenses considered non-recurring.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Merchant bankcard processing dollar volume of $10.6 billion increased 2.6% from $10.3 billion.</w:t>
      </w:r>
    </w:p>
    <w:p>
      <w:pPr>
        <w:spacing w:after="0" w:line="200" w:lineRule="exact"/>
        <w:rPr>
          <w:sz w:val="20"/>
          <w:szCs w:val="20"/>
          <w:color w:val="auto"/>
        </w:rPr>
      </w:pPr>
    </w:p>
    <w:p>
      <w:pPr>
        <w:spacing w:after="0" w:line="32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"Despite the coronavirus outbreak, we experienced excellent growth in the first quarter of 2020, reflecting the continuing momentum and fundamental strength of our business segments," said Tom Priore, Executive Chairman and CEO of Priority. "Starting in mid-March, COVID-19 began to negatively impact the Company’s daily consumer payment processing volumes as the pandemic spread across the United States and restrictive shelter-in-place requirements were instituted. However, these headwinds were offset by revenue growth in our defensively positioned and counter-cyclical integrated partner payment solutions for the rent, hospitality, healthcare and B2B markets. As a result, we were able to slightly outperform our expectations for the first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u w:val="single" w:color="auto"/>
          <w:color w:val="auto"/>
        </w:rPr>
        <w:t>Non-GAAP Adjusted EBITDA</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Selling, general and administrative expenses included certain operating expenses that the Company considers non-recurring in nature. These expenses totaled $1.4 million and $1.2 million in the first quarters of 2020 and 2019, respectively. In 2020, these expenses included $0.9 million associated with transition services from YapStone, Inc. related to the integration of the March 2019 asset acquisition, and $0.5 million for certain legal services. In 2019, these expenses included $0.7 million for accounting services associated with the conversion to a public company, and $0.5 million for certain legal services.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Other income (expense), net in the first quarter of 2020 included $0.6 million of non-operating expenses that the Company considers non-recurring in nature. These expenses were $0.4 million of debt modification expenses and a $0.2 million non-cash write-off of the carrying value of an equity-method investment.</w:t>
      </w:r>
    </w:p>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Also, salaries and employee benefits included $0.3 million and $1.2 million of non-cash stock-based compensation in the first quarters of 2020 and 2019, respectively.</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Non-GAAP adjusted EBITDA, which excludes these expenses, was $15.8 million in the first quarter of 2020 and $12.5 million in the first quarter of 2019. See “Non-GAAP Financial Measures” and the reconciliation of adjusted EBITDA to its most comparable GAAP measure provided below for additional information.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Discussion of Reportable Segment Results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Consumer Payments Reportable Segment</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Consumer Payments revenue in the first quarter of 2020 increased 8.9% to $86.0 million, compared with $79.0 million in the first quarter of 2019.</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Merchant bankcard volume processed in the first quarter of 2020 of $10.4 billion grew by 1.7%, as compared with $10.2 billion in the first quarter of 2019. Merchant bankcard transactions of 119.4 million in the first quarter of 2020 declined by 1.2%, as compared with 120.9 million in the first quarter of 2019. Average ticket of $86.97 grew 3.0% in the first quarter of 2020, as compared with $84.47 in the first quarter of 2019.</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Consumer Payments income from operations in the first quarter of 2020 was $7.2 million, compared with $7.7 million in the first quarter of 2019. Costs of services of $62.7 million increased $6.7 million, depreciation and amortization of $8.6 million increased $0.8 million, and other operating expenses of $7.6 million increased $0.1 million.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Payments Reportable Segment</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Commercial Payments revenue in the first quarter of 2020 was $6.4 million, a decrease of $0.3 million compared with $6.7 million in the first quarter of 2019. Revenue from CPX accounts payable automated solutions of $1.6 million in the first quarter of 2020 increased 31.4% compared with $1.2 million in the first quarter of 2019. Revenue from curated managed services programs of $4.8 million in the first quarter of 2020 decreased by $0.7 million compared with $5.4 million in the first quarter of 2019. The managed services decline was largely driven by lower program activity and lower incentive revenue.</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Commercial Payments income from operations in the first quarter of 2020 was $0.8 million, compared with a loss from operations of $0.5 million in the first quarter of 2019. Costs of services of $2.9 million decreased $0.9 million, and other operating expenses, including depreciation and amortization, decreased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4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i w:val="1"/>
          <w:iCs w:val="1"/>
          <w:color w:val="auto"/>
        </w:rPr>
        <w:t>Integrated Partners Reportable Segment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Integrated Partners revenue in the first quarter of 2020 was $4.5 million, an increase of $2.6 million compared with $2.0 million in the first quarter of 2019. Priority Real Estate Technology ("PRET") comprised $4.0 million of this reportable segment’s revenue in the first quarter of 2020. PRET is comprised of the assets acquired from YapStone, Inc. in March 2019 and the net assets acquired from RadPad Holdings, Inc. in July 2019. Revenue from Priority PayRight Health Solutions and Priority Hospitality Technology, which commenced operations in April 2019 and February 2019, respectively, comprised the remainder of this reportable segment’s revenue.</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Integrated Partners income from operations in the first quarter of 2020 was $0.4 million, compared with a loss from operations of $0.2 million in the first quarter of 2019. Costs of services of $0.8 million increased $0.4 million, depreciation and amortization of $1.3 million increased $0.6 million, and other operating expenses of $2.1 million increased $0.9 million. Depreciation and amortization expense is primarily related to assets acquired from YapStone, Inc. Other operating expenses included $0.9 million of temporary transition services from YapStone, Inc. related to integration of the asset acquisition. Integrated Partners adjusted income from operations in the first quarter of 2020, excluding these temporary transition services, was $1.3 million. See “Non-GAAP Financial Measures” and the reconciliation of Integrated Partners adjusted income from operations to its most comparable GAAP measure provided below for additional information.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Corporate expense in the first quarter of 2020 was $4.7 million, compared with $6.1 million in the first quarter of 2019. Non-recurring operating expenses were $0.5 million in the first quarter of 2020 and $1.2 million in the first quarter 2019. Excluding non-recurring operating expenses, Corporate expense was $4.2 million and $4.9 million in the first quarter of 2020 and 2019, respectively. See “Non-GAAP Financial Measures” and the reconciliation of adjusted Corporate expense to its most comparable GAAP measure provided below for additional information.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Outlook</w:t>
      </w:r>
    </w:p>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Priority continues to closely monitor the business impact of the COVID-19 outbreak. Our top priority is to ensure the health and safety of our employees, and the communities in which we live and work. We have taken numerous actions to safeguard our team members, such as encouraging work from home and canceling business travel. The Company is operating normally, and we have not incurred, nor do we anticipate incurring, any significant impact to service operations.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April 2020, the Company implemented several actions to reduce expenses and preserve cash in order to mitigate the financial impact of COVID-19, including the furlough of 47 employees, reduction of 21 full-time contractors, freezing of new hires, and postponement of certain capital expenditures.</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Priore concluded, “As the effects of the COVID-19 pandemic persist, we will continue to leverage our industry-leading technology and service capabilities to deliver solutions our merchants need to sustain their businesses. Given the uncertainty of the duration and severity of the pandemic, however, we have suspended our financial guidance for 2020 until we have greater visibility into the remainder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4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070707"/>
        </w:rPr>
        <w:t xml:space="preserve">Priority Technology Holdings, Inc.’s leadership will host a conference call on Thursday, May 14, 2020 at 11:00 a.m. EDT to discuss its first quarter 2020 financial results. Participants can access the call by </w:t>
      </w:r>
      <w:r>
        <w:rPr>
          <w:rFonts w:ascii="Arial" w:cs="Arial" w:eastAsia="Arial" w:hAnsi="Arial"/>
          <w:sz w:val="18"/>
          <w:szCs w:val="18"/>
          <w:color w:val="000000"/>
        </w:rPr>
        <w:t>Phone: US/Canada: (877) 501-3161 or International: (786) 815-8443.</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Internet webcast link and accompanying slide presentation can be accessed at </w:t>
      </w:r>
      <w:r>
        <w:rPr>
          <w:rFonts w:ascii="Arial" w:cs="Arial" w:eastAsia="Arial" w:hAnsi="Arial"/>
          <w:sz w:val="20"/>
          <w:szCs w:val="20"/>
          <w:u w:val="single" w:color="auto"/>
          <w:color w:val="0563C1"/>
        </w:rPr>
        <w:t>https://edge.media-server.com/mmc/p/r8zh6ifi</w:t>
      </w:r>
      <w:r>
        <w:rPr>
          <w:rFonts w:ascii="Arial" w:cs="Arial" w:eastAsia="Arial" w:hAnsi="Arial"/>
          <w:sz w:val="20"/>
          <w:szCs w:val="20"/>
          <w:color w:val="auto"/>
        </w:rPr>
        <w:t xml:space="preserve"> and will also be posted in the “Investor Relations” section of the Company’s website at </w:t>
      </w:r>
      <w:r>
        <w:rPr>
          <w:rFonts w:ascii="Arial" w:cs="Arial" w:eastAsia="Arial" w:hAnsi="Arial"/>
          <w:sz w:val="20"/>
          <w:szCs w:val="20"/>
          <w:u w:val="single" w:color="auto"/>
          <w:color w:val="0563C1"/>
        </w:rPr>
        <w:t>www.PRTH.com</w:t>
      </w:r>
      <w:r>
        <w:rPr>
          <w:rFonts w:ascii="Arial" w:cs="Arial" w:eastAsia="Arial" w:hAnsi="Arial"/>
          <w:sz w:val="20"/>
          <w:szCs w:val="20"/>
          <w:color w:val="auto"/>
        </w:rPr>
        <w:t>.</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An audio replay of the call will be available shortly after the conference call until May 17, 2020 at 11:30 am Eastern Time. To listen to the audio replay, dial (855) 859-2056 or (404) 537-3406 and enter conference ID number </w:t>
      </w:r>
      <w:r>
        <w:rPr>
          <w:rFonts w:ascii="Arial" w:cs="Arial" w:eastAsia="Arial" w:hAnsi="Arial"/>
          <w:sz w:val="20"/>
          <w:szCs w:val="20"/>
          <w:b w:val="1"/>
          <w:bCs w:val="1"/>
          <w:color w:val="auto"/>
        </w:rPr>
        <w:t>5295355</w:t>
      </w:r>
      <w:r>
        <w:rPr>
          <w:rFonts w:ascii="Arial" w:cs="Arial" w:eastAsia="Arial" w:hAnsi="Arial"/>
          <w:sz w:val="20"/>
          <w:szCs w:val="20"/>
          <w:color w:val="auto"/>
        </w:rPr>
        <w:t xml:space="preserve">. Alternatively, you may access the webcast replay in the “Investor Relations” section of the Company’s website at </w:t>
      </w:r>
      <w:r>
        <w:rPr>
          <w:rFonts w:ascii="Arial" w:cs="Arial" w:eastAsia="Arial" w:hAnsi="Arial"/>
          <w:sz w:val="20"/>
          <w:szCs w:val="20"/>
          <w:u w:val="single" w:color="auto"/>
          <w:color w:val="0563C1"/>
        </w:rPr>
        <w:t>www.PRTH.com</w:t>
      </w: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Non-GAAP Financial Measures</w:t>
      </w: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Profit and Gross Profit Margin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non-GAAP gross profit metric represents revenues less costs of services. Gross profit margin is gross profit divided by revenues. We review these non-GAAP measures to evaluate our underlying profit trends.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Integrated Partners Income (Loss) from Operations and Adjusted Corporate Expense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Adjusted Integrated Partners income (loss) from operations and adjusted Corporate expense in the first quarter of 2020 have been negatively affected by non-recurring operating expenses largely associated with certain legal services and transition services from YapStone, Inc. We review these non-GAAP measures to evaluate our underlying profitability performance and trends.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 and Consolidated Adjusted EBITDA</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EBITDA is earnings before interest, income tax, depreciation and amortization expenses (“EBITDA”). Adjusted EBITDA begins with EBITDA but further excludes certain non-cash costs, such as stock-based compensation and the write-off of the carrying value of an equity-method investment, as well as debt modification expenses and other non-recurring expenses, including certain legal and transition services expenses. Consolidated adjusted EBITDA begins with Adjusted EBITDA but further includes adjustments for the pro-forma impact of acquisitions, as well as adjustments to exclude other professional and consulting fees and certain other tax expenses and other adjustments. We review these non-GAAP adjusted EBITDA and consolidated adjusted EBITDA measures to evaluate our business and trends, measure our performance, prepare financial projections, allocate resources, and make strategic decisions.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reconciliations of gross profit, gross profit margin, adjusted Integrated Partners income (loss) from operations, adjusted Corporate expense, adjusted EBITDA and consolidated adjusted EBITDA to the most directly comparable financial measures calculated and presented in accordance with GAAP, are shown in the attached schedules to this press release.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44" w:right="3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9"/>
          <w:szCs w:val="19"/>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About Priority Technology Holdings, Inc.</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Priority is a leading provider of merchant acquiring, integrated payment software and commercial payment solutions, offering unique product and service capabilities to its merchant network and distribution partners. Priority’s enterprise operates from a purpose-built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Forward-Looking Statements</w:t>
      </w: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of similar meaning. These forward-looking statements include, but are not limited to, our 2020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Annual Report on Form 10-K and our Quarterly Report on Form 10-Q filed with the SEC on March 30, 2020 and May 13, 2020, respectively. These filings are available online at www.sec.gov or www.PRTH.com.</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5" w:right="339" w:bottom="1440" w:gutter="0" w:footer="0" w:header="0"/>
        </w:sectPr>
      </w:pPr>
    </w:p>
    <w:bookmarkStart w:id="7" w:name="page8"/>
    <w:bookmarkEnd w:id="7"/>
    <w:p>
      <w:pPr>
        <w:jc w:val="center"/>
        <w:ind w:right="-65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420" w:type="dxa"/>
            <w:vAlign w:val="bottom"/>
            <w:tcBorders>
              <w:bottom w:val="single" w:sz="8" w:color="auto"/>
            </w:tcBorders>
            <w:shd w:val="clear" w:color="auto" w:fill="CCEEFF"/>
          </w:tcPr>
          <w:p>
            <w:pPr>
              <w:spacing w:after="0"/>
              <w:rPr>
                <w:sz w:val="22"/>
                <w:szCs w:val="22"/>
                <w:color w:val="auto"/>
              </w:rPr>
            </w:pPr>
          </w:p>
        </w:tc>
        <w:tc>
          <w:tcPr>
            <w:tcW w:w="3280" w:type="dxa"/>
            <w:vAlign w:val="bottom"/>
            <w:tcBorders>
              <w:bottom w:val="single" w:sz="8" w:color="auto"/>
            </w:tcBorders>
            <w:gridSpan w:val="4"/>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Quarter Ended March 31,</w:t>
            </w:r>
          </w:p>
        </w:tc>
      </w:tr>
      <w:tr>
        <w:trPr>
          <w:trHeight w:val="243"/>
        </w:trPr>
        <w:tc>
          <w:tcPr>
            <w:tcW w:w="6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
        </w:trPr>
        <w:tc>
          <w:tcPr>
            <w:tcW w:w="6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0"/>
        </w:trPr>
        <w:tc>
          <w:tcPr>
            <w:tcW w:w="6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96,933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87,646</w:t>
            </w:r>
          </w:p>
        </w:tc>
      </w:tr>
      <w:tr>
        <w:trPr>
          <w:trHeight w:val="27"/>
        </w:trPr>
        <w:tc>
          <w:tcPr>
            <w:tcW w:w="6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services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60,106</w:t>
            </w:r>
          </w:p>
        </w:tc>
      </w:tr>
      <w:tr>
        <w:trPr>
          <w:trHeight w:val="243"/>
        </w:trPr>
        <w:tc>
          <w:tcPr>
            <w:tcW w:w="688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10,899</w:t>
            </w:r>
          </w:p>
        </w:tc>
      </w:tr>
      <w:tr>
        <w:trPr>
          <w:trHeight w:val="27"/>
        </w:trPr>
        <w:tc>
          <w:tcPr>
            <w:tcW w:w="6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8,925</w:t>
            </w:r>
          </w:p>
        </w:tc>
      </w:tr>
      <w:tr>
        <w:trPr>
          <w:trHeight w:val="243"/>
        </w:trPr>
        <w:tc>
          <w:tcPr>
            <w:tcW w:w="68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6,750</w:t>
            </w:r>
          </w:p>
        </w:tc>
      </w:tr>
      <w:tr>
        <w:trPr>
          <w:trHeight w:val="27"/>
        </w:trPr>
        <w:tc>
          <w:tcPr>
            <w:tcW w:w="6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86,680</w:t>
            </w:r>
          </w:p>
        </w:tc>
      </w:tr>
      <w:tr>
        <w:trPr>
          <w:trHeight w:val="156"/>
        </w:trPr>
        <w:tc>
          <w:tcPr>
            <w:tcW w:w="68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209"/>
        </w:trPr>
        <w:tc>
          <w:tcPr>
            <w:tcW w:w="68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(9,363)</w:t>
            </w:r>
          </w:p>
        </w:tc>
      </w:tr>
      <w:tr>
        <w:trPr>
          <w:trHeight w:val="27"/>
        </w:trPr>
        <w:tc>
          <w:tcPr>
            <w:tcW w:w="6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37"/>
        </w:trPr>
        <w:tc>
          <w:tcPr>
            <w:tcW w:w="6880" w:type="dxa"/>
            <w:vAlign w:val="bottom"/>
          </w:tcPr>
          <w:p>
            <w:pPr>
              <w:ind w:left="280"/>
              <w:spacing w:after="0"/>
              <w:rPr>
                <w:sz w:val="20"/>
                <w:szCs w:val="20"/>
                <w:color w:val="auto"/>
              </w:rPr>
            </w:pPr>
            <w:r>
              <w:rPr>
                <w:rFonts w:ascii="Arial" w:cs="Arial" w:eastAsia="Arial" w:hAnsi="Arial"/>
                <w:sz w:val="18"/>
                <w:szCs w:val="18"/>
                <w:color w:val="auto"/>
              </w:rPr>
              <w:t>Total other expenses, net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(9,136)</w:t>
            </w:r>
          </w:p>
        </w:tc>
      </w:tr>
      <w:tr>
        <w:trPr>
          <w:trHeight w:val="27"/>
        </w:trPr>
        <w:tc>
          <w:tcPr>
            <w:tcW w:w="6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9"/>
        </w:trPr>
        <w:tc>
          <w:tcPr>
            <w:tcW w:w="6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(8,170)</w:t>
            </w:r>
          </w:p>
        </w:tc>
      </w:tr>
      <w:tr>
        <w:trPr>
          <w:trHeight w:val="27"/>
        </w:trPr>
        <w:tc>
          <w:tcPr>
            <w:tcW w:w="6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75"/>
        </w:trPr>
        <w:tc>
          <w:tcPr>
            <w:tcW w:w="6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7"/>
        </w:trPr>
        <w:tc>
          <w:tcPr>
            <w:tcW w:w="6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55"/>
        </w:trPr>
        <w:tc>
          <w:tcPr>
            <w:tcW w:w="6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303"/>
        </w:trPr>
        <w:tc>
          <w:tcPr>
            <w:tcW w:w="6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w:t>
            </w:r>
          </w:p>
        </w:tc>
      </w:tr>
      <w:tr>
        <w:trPr>
          <w:trHeight w:val="230"/>
        </w:trPr>
        <w:tc>
          <w:tcPr>
            <w:tcW w:w="6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175"/>
        </w:trPr>
        <w:tc>
          <w:tcPr>
            <w:tcW w:w="6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67,061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67,164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320" w:top="553" w:right="9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3,234</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37,362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37,993</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Current portion of notes receivable</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1,326</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94,214</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7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Notes receivable, less current portion</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5,382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4,395</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23,518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109,515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109,515</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182,826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50,890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49,657</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97"/>
        </w:trPr>
        <w:tc>
          <w:tcPr>
            <w:tcW w:w="7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447,919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464,505</w:t>
            </w:r>
          </w:p>
        </w:tc>
      </w:tr>
      <w:tr>
        <w:trPr>
          <w:trHeight w:val="230"/>
        </w:trPr>
        <w:tc>
          <w:tcPr>
            <w:tcW w:w="7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24,413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26,965</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4,928</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Settlement obligations</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30,665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37,789</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93,004</w:t>
            </w:r>
          </w:p>
        </w:tc>
      </w:tr>
      <w:tr>
        <w:trPr>
          <w:trHeight w:val="223"/>
        </w:trPr>
        <w:tc>
          <w:tcPr>
            <w:tcW w:w="70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485,578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6,612</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489,588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492,190</w:t>
            </w:r>
          </w:p>
        </w:tc>
      </w:tr>
      <w:tr>
        <w:trPr>
          <w:trHeight w:val="169"/>
        </w:trPr>
        <w:tc>
          <w:tcPr>
            <w:tcW w:w="70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574,139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585,194</w:t>
            </w:r>
          </w:p>
        </w:tc>
      </w:tr>
      <w:tr>
        <w:trPr>
          <w:trHeight w:val="223"/>
        </w:trPr>
        <w:tc>
          <w:tcPr>
            <w:tcW w:w="70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3,989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3,651</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(133,543)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(127,674)</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Priority Technology Holdings, Inc.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(126,343)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Non-controlling interest in a subsidiary</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5,654</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(120,689)</w:t>
            </w:r>
          </w:p>
        </w:tc>
      </w:tr>
      <w:tr>
        <w:trPr>
          <w:trHeight w:val="223"/>
        </w:trPr>
        <w:tc>
          <w:tcPr>
            <w:tcW w:w="70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r>
      <w:tr>
        <w:trPr>
          <w:trHeight w:val="263"/>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stockholders' deficit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447,919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464,505</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553"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3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3100" w:type="dxa"/>
            <w:vAlign w:val="bottom"/>
            <w:tcBorders>
              <w:bottom w:val="single" w:sz="8" w:color="auto"/>
            </w:tcBorders>
            <w:gridSpan w:val="4"/>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Quarter Ended March 31,</w:t>
            </w:r>
          </w:p>
        </w:tc>
      </w:tr>
      <w:tr>
        <w:trPr>
          <w:trHeight w:val="243"/>
        </w:trPr>
        <w:tc>
          <w:tcPr>
            <w:tcW w:w="54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54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(5,869)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(6,446)</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Adjustment to reconcile net loss to net cash used in operating activities:</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Depreciation and amortization of assets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8,925</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Amortization of debt issuance costs and discounts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for deferred income taxes, net of change in allowance</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Payment-in-kind interest</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1,210</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items</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Settlement assets and obligations, net</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2,285</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Notes receivable</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Customer deposits and advance payments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23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5460" w:type="dxa"/>
            <w:vAlign w:val="bottom"/>
          </w:tcPr>
          <w:p>
            <w:pPr>
              <w:ind w:left="280"/>
              <w:spacing w:after="0"/>
              <w:rPr>
                <w:sz w:val="20"/>
                <w:szCs w:val="20"/>
                <w:color w:val="auto"/>
              </w:rPr>
            </w:pPr>
            <w:r>
              <w:rPr>
                <w:rFonts w:ascii="Arial" w:cs="Arial" w:eastAsia="Arial" w:hAnsi="Arial"/>
                <w:sz w:val="18"/>
                <w:szCs w:val="18"/>
                <w:b w:val="1"/>
                <w:bCs w:val="1"/>
                <w:color w:val="auto"/>
              </w:rPr>
              <w:t>Net cash used in operating activities</w:t>
            </w:r>
          </w:p>
        </w:tc>
        <w:tc>
          <w:tcPr>
            <w:tcW w:w="23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w:t>
            </w:r>
          </w:p>
        </w:tc>
      </w:tr>
      <w:tr>
        <w:trPr>
          <w:trHeight w:val="27"/>
        </w:trPr>
        <w:tc>
          <w:tcPr>
            <w:tcW w:w="54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46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equipment and software</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Acquisitions of intangible assets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(79,612)</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3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7"/>
        </w:trPr>
        <w:tc>
          <w:tcPr>
            <w:tcW w:w="5460" w:type="dxa"/>
            <w:vAlign w:val="bottom"/>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23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(82,178)</w:t>
            </w:r>
          </w:p>
        </w:tc>
      </w:tr>
      <w:tr>
        <w:trPr>
          <w:trHeight w:val="27"/>
        </w:trPr>
        <w:tc>
          <w:tcPr>
            <w:tcW w:w="54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54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 net of issue discount</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69,650</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Repayment of long-term debt</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modification costs</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Borrowings under revolving credit facility</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54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3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78,827</w:t>
            </w:r>
          </w:p>
        </w:tc>
      </w:tr>
      <w:tr>
        <w:trPr>
          <w:trHeight w:val="277"/>
        </w:trPr>
        <w:tc>
          <w:tcPr>
            <w:tcW w:w="5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restricted cash:</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Net decrease in cash and restricted cash</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(4,591)</w:t>
            </w: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restricted cash at beginning of year</w:t>
            </w:r>
          </w:p>
        </w:tc>
        <w:tc>
          <w:tcPr>
            <w:tcW w:w="23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33,831</w:t>
            </w:r>
          </w:p>
        </w:tc>
      </w:tr>
      <w:tr>
        <w:trPr>
          <w:trHeight w:val="297"/>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restricted cash at March 31</w:t>
            </w:r>
          </w:p>
        </w:tc>
        <w:tc>
          <w:tcPr>
            <w:tcW w:w="23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39,731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29,240</w:t>
            </w:r>
          </w:p>
        </w:tc>
      </w:tr>
      <w:tr>
        <w:trPr>
          <w:trHeight w:val="216"/>
        </w:trPr>
        <w:tc>
          <w:tcPr>
            <w:tcW w:w="5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6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7,126</w:t>
            </w:r>
          </w:p>
        </w:tc>
      </w:tr>
      <w:tr>
        <w:trPr>
          <w:trHeight w:val="432"/>
        </w:trPr>
        <w:tc>
          <w:tcPr>
            <w:tcW w:w="5460" w:type="dxa"/>
            <w:vAlign w:val="bottom"/>
          </w:tcPr>
          <w:p>
            <w:pPr>
              <w:spacing w:after="0"/>
              <w:rPr>
                <w:sz w:val="24"/>
                <w:szCs w:val="24"/>
                <w:color w:val="auto"/>
              </w:rPr>
            </w:pPr>
          </w:p>
        </w:tc>
        <w:tc>
          <w:tcPr>
            <w:tcW w:w="2300" w:type="dxa"/>
            <w:vAlign w:val="bottom"/>
          </w:tcPr>
          <w:p>
            <w:pPr>
              <w:jc w:val="right"/>
              <w:ind w:right="201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Reportable Segments' Results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shd w:val="clear" w:color="auto" w:fill="CCEEFF"/>
          </w:tcPr>
          <w:p>
            <w:pPr>
              <w:spacing w:after="0"/>
              <w:rPr>
                <w:sz w:val="22"/>
                <w:szCs w:val="22"/>
                <w:color w:val="auto"/>
              </w:rPr>
            </w:pPr>
          </w:p>
        </w:tc>
        <w:tc>
          <w:tcPr>
            <w:tcW w:w="3040" w:type="dxa"/>
            <w:vAlign w:val="bottom"/>
            <w:tcBorders>
              <w:bottom w:val="single" w:sz="8" w:color="auto"/>
            </w:tcBorders>
            <w:gridSpan w:val="4"/>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Quarter Ended March 31,</w:t>
            </w:r>
          </w:p>
        </w:tc>
      </w:tr>
      <w:tr>
        <w:trPr>
          <w:trHeight w:val="243"/>
        </w:trPr>
        <w:tc>
          <w:tcPr>
            <w:tcW w:w="6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6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Consumer Payments: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79,009</w:t>
            </w: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78,879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71,290</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7,152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7,719</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6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7,808</w:t>
            </w:r>
          </w:p>
        </w:tc>
      </w:tr>
      <w:tr>
        <w:trPr>
          <w:trHeight w:val="243"/>
        </w:trPr>
        <w:tc>
          <w:tcPr>
            <w:tcW w:w="6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10,386,748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10,210,755</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119,431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120,884</w:t>
            </w:r>
          </w:p>
        </w:tc>
      </w:tr>
      <w:tr>
        <w:trPr>
          <w:trHeight w:val="216"/>
        </w:trPr>
        <w:tc>
          <w:tcPr>
            <w:tcW w:w="6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6,368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6,658</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7,109</w:t>
            </w:r>
          </w:p>
        </w:tc>
      </w:tr>
      <w:tr>
        <w:trPr>
          <w:trHeight w:val="297"/>
        </w:trPr>
        <w:tc>
          <w:tcPr>
            <w:tcW w:w="6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(451)</w:t>
            </w:r>
          </w:p>
        </w:tc>
      </w:tr>
      <w:tr>
        <w:trPr>
          <w:trHeight w:val="237"/>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margin</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98</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69,897</w:t>
            </w: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6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1,979</w:t>
            </w: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2,212</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6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691</w:t>
            </w:r>
          </w:p>
        </w:tc>
      </w:tr>
      <w:tr>
        <w:trPr>
          <w:trHeight w:val="216"/>
        </w:trPr>
        <w:tc>
          <w:tcPr>
            <w:tcW w:w="6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124,518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33,985</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128</w:t>
            </w:r>
          </w:p>
        </w:tc>
      </w:tr>
      <w:tr>
        <w:trPr>
          <w:trHeight w:val="297"/>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7,035</w:t>
            </w: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Less: Corporate expense</w:t>
            </w: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(6,069)</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966</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328</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10,583,943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10,314,637</w:t>
            </w: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119,904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121,042</w:t>
            </w:r>
          </w:p>
        </w:tc>
      </w:tr>
    </w:tbl>
    <w:p>
      <w:pPr>
        <w:spacing w:after="0" w:line="200" w:lineRule="exact"/>
        <w:rPr>
          <w:sz w:val="20"/>
          <w:szCs w:val="20"/>
          <w:color w:val="auto"/>
        </w:rPr>
      </w:pPr>
    </w:p>
    <w:p>
      <w:pPr>
        <w:sectPr>
          <w:pgSz w:w="11900" w:h="16838" w:orient="portrait"/>
          <w:cols w:equalWidth="0" w:num="1">
            <w:col w:w="10260"/>
          </w:cols>
          <w:pgMar w:left="820" w:top="553" w:right="8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260"/>
          </w:cols>
          <w:pgMar w:left="820" w:top="553" w:right="81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non-GAAP reconciliations of Consolidated Gross Profit, Consolidated Gross Profit Margin, Adjusted Integrated Partners Income (Loss) from Operations, and Adjusted Corporate Expense to the most directly comparable financial measures calculated and presented in accordance with GAAP, are shown in the table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shd w:val="clear" w:color="auto" w:fill="CCEEFF"/>
          </w:tcPr>
          <w:p>
            <w:pPr>
              <w:spacing w:after="0"/>
              <w:rPr>
                <w:sz w:val="22"/>
                <w:szCs w:val="22"/>
                <w:color w:val="auto"/>
              </w:rPr>
            </w:pPr>
          </w:p>
        </w:tc>
        <w:tc>
          <w:tcPr>
            <w:tcW w:w="2960" w:type="dxa"/>
            <w:vAlign w:val="bottom"/>
            <w:tcBorders>
              <w:bottom w:val="single" w:sz="8" w:color="auto"/>
            </w:tcBorders>
            <w:gridSpan w:val="4"/>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Quarter Ended March 31,</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Consolidated - Gross Profit:</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96,933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87,646</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Costs of services</w:t>
            </w: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66,364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60,106</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 (non-GAAP)</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30,569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27,540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 margin (non-GAAP)</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Integrated Partners - Adjusted 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Non-recurring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Integrated Partners income (loss) from operations (non-GAAP)</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1,264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(233)</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Corporate Expense - Adjusted:</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Non-recurring expenses</w:t>
            </w: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Corporate Expense (non-GAAP)</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(4,884)</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5540"/>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Reconciliations of Non-GAAP EBITDA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non-GAAP reconciliations of EBITDA, Adjusted EBITDA, and Consolidated Adjusted EBITDA to consolidated net loss, the most directly comparable financial measure calculated and presented in accordance with GAAP, are shown in the table below:</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shd w:val="clear" w:color="auto" w:fill="CCEEFF"/>
          </w:tcPr>
          <w:p>
            <w:pPr>
              <w:spacing w:after="0"/>
              <w:rPr>
                <w:sz w:val="22"/>
                <w:szCs w:val="22"/>
                <w:color w:val="auto"/>
              </w:rPr>
            </w:pPr>
          </w:p>
        </w:tc>
        <w:tc>
          <w:tcPr>
            <w:tcW w:w="3200" w:type="dxa"/>
            <w:vAlign w:val="bottom"/>
            <w:tcBorders>
              <w:bottom w:val="single" w:sz="8" w:color="auto"/>
            </w:tcBorders>
            <w:gridSpan w:val="4"/>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Quarter Ended March 31,</w:t>
            </w:r>
          </w:p>
        </w:tc>
      </w:tr>
      <w:tr>
        <w:trPr>
          <w:trHeight w:val="243"/>
        </w:trPr>
        <w:tc>
          <w:tcPr>
            <w:tcW w:w="7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7"/>
        </w:trPr>
        <w:tc>
          <w:tcPr>
            <w:tcW w:w="7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(5,869)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(6,446)</w:t>
            </w:r>
          </w:p>
        </w:tc>
      </w:tr>
      <w:tr>
        <w:trPr>
          <w:trHeight w:val="27"/>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9,363</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8,925</w:t>
            </w:r>
          </w:p>
        </w:tc>
      </w:tr>
      <w:tr>
        <w:trPr>
          <w:trHeight w:val="27"/>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Income tax benefit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EBITDA (non-GAAP)</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13,485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10,118</w:t>
            </w:r>
          </w:p>
        </w:tc>
      </w:tr>
      <w:tr>
        <w:trPr>
          <w:trHeight w:val="27"/>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Add: Non-cash stock-based compensation</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27"/>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Non-recurring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Debt modification expenses</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 of an equity-method investment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Certain legal services (2)</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accounting and consulting fees (3)</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YapStone transition services</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12,463</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Further adjusted by:</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Pro-forma impact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Other tax expenses and other adjustments</w:t>
            </w: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Consolidated Adjusted EBITDA (non-GAAP) (4)</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16,179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15,684</w:t>
            </w: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Interest expense includes amortization of debt issuance costs and discount.</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Legal expenses related to business and asset acquisition activity, settlement negotiation and other litigation expenses.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Primarily transaction-related, capital markets and accounting advisory services.</w:t>
      </w:r>
    </w:p>
    <w:p>
      <w:pPr>
        <w:spacing w:after="0" w:line="194" w:lineRule="exact"/>
        <w:rPr>
          <w:rFonts w:ascii="Arial" w:cs="Arial" w:eastAsia="Arial" w:hAnsi="Arial"/>
          <w:sz w:val="16"/>
          <w:szCs w:val="16"/>
          <w:color w:val="auto"/>
        </w:rPr>
      </w:pPr>
    </w:p>
    <w:p>
      <w:pPr>
        <w:jc w:val="both"/>
        <w:ind w:firstLine="8"/>
        <w:spacing w:after="0" w:line="252" w:lineRule="auto"/>
        <w:tabs>
          <w:tab w:leader="none" w:pos="244"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Presented to reflect the definition in the Company's credit agreements, as amended. Until December 31, 2019, the Consolidated Adjusted EBITDA of the Borrowers under the credit agreements excluded expenses of Priority Technology Holdings, Inc., which is neither a Borrower nor a guarantor under the credit agreements, subsequent to the Business Combination. Effective December 31, 2019, in accordance with the Sixth Amendment to the Company's Credit and Guaranty Agreement, the Consolidated Adjusted EBITDA of the Borrowers under the credit agreements includes expenses of Priority Technology Holdings, Inc. Consolidated Adjusted EBITDA of the Borrowers was approximately $16.2 million and $19.4 million for the quarters ended March 31, 2020 and 2019, respectively. The 2019 amount excludes $3.7 million of expenses of Priority Technology Holdings, Inc.</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2020-05-13T15:24:32Z</dcterms:created>
  <dcterms:modified xsi:type="dcterms:W3CDTF">2020-05-13T15:24:32Z</dcterms:modified>
</cp:coreProperties>
</file>