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50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MILLER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General Counsel and CRO</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02/17/2024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66,666</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264,373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02/17/2024</w:t>
            </w:r>
          </w:p>
        </w:tc>
        <w:tc>
          <w:tcPr>
            <w:tcW w:w="114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66,666</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66,666</w:t>
            </w:r>
          </w:p>
        </w:tc>
        <w:tc>
          <w:tcPr>
            <w:tcW w:w="40" w:type="dxa"/>
            <w:vAlign w:val="bottom"/>
          </w:tcPr>
          <w:p>
            <w:pPr>
              <w:spacing w:after="0"/>
              <w:rPr>
                <w:sz w:val="20"/>
                <w:szCs w:val="20"/>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66,667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5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2022, a grant was approved for the Reporting Person for 200,000 restricted stock units which 66,666 vest on February 17, 2023, 66,666 vest on February 17, 2024, and 66,667 vest on February 17, 2025 subject to the Reporting Person's continued employment with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02/22/2024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5973"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2024-02-22T13:34:36Z</dcterms:created>
  <dcterms:modified xsi:type="dcterms:W3CDTF">2024-02-22T13:34:36Z</dcterms:modified>
</cp:coreProperties>
</file>