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-12700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5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40" w:type="dxa"/>
            <w:vAlign w:val="bottom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19685</wp:posOffset>
            </wp:positionV>
            <wp:extent cx="7019290" cy="3242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242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Ram Ranjana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Head of M&amp;A Strategic Initiati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01/30/2024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U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413,081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297,436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1. On January 30, 2024, the Reporting Person entered into an Exchange Agreement as described in that certain Form 8-K filed by the Issuer on February 23, 2024 in which the Reporting Person returned 413,081 shares back to the Issuer.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Bradley J. Miller (Attorney-In-Fact)  03/26/2024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79133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828071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2024-03-26T15:05:58Z</dcterms:created>
  <dcterms:modified xsi:type="dcterms:W3CDTF">2024-03-26T15:05:58Z</dcterms:modified>
</cp:coreProperties>
</file>