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30, 2020, Priority Technology Holdings, Inc. issued a press release announcing its financial results for the quarter and year ended December 31, 2019. A copy of that press release is attached as Exhibit 99.1 to this Current Report on Form 8-K.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3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5"/>
          <w:szCs w:val="15"/>
          <w:b w:val="1"/>
          <w:bCs w:val="1"/>
          <w:u w:val="single" w:color="auto"/>
          <w:color w:val="auto"/>
        </w:rPr>
        <w:t>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80" w:type="dxa"/>
            <w:vAlign w:val="bottom"/>
          </w:tcPr>
          <w:p>
            <w:pPr>
              <w:spacing w:after="0"/>
              <w:rPr>
                <w:sz w:val="17"/>
                <w:szCs w:val="17"/>
                <w:color w:val="auto"/>
              </w:rPr>
            </w:pPr>
          </w:p>
        </w:tc>
        <w:tc>
          <w:tcPr>
            <w:tcW w:w="5840" w:type="dxa"/>
            <w:vAlign w:val="bottom"/>
            <w:gridSpan w:val="2"/>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Press Release of Priority Technology Holdings, Inc. dated March 30, 2020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6420" w:type="dxa"/>
            <w:vAlign w:val="bottom"/>
            <w:gridSpan w:val="3"/>
          </w:tcPr>
          <w:p>
            <w:pPr>
              <w:ind w:left="480"/>
              <w:spacing w:after="0"/>
              <w:rPr>
                <w:sz w:val="20"/>
                <w:szCs w:val="20"/>
                <w:color w:val="auto"/>
              </w:rPr>
            </w:pPr>
            <w:r>
              <w:rPr>
                <w:rFonts w:ascii="Arial" w:cs="Arial" w:eastAsia="Arial" w:hAnsi="Arial"/>
                <w:sz w:val="18"/>
                <w:szCs w:val="18"/>
                <w:color w:val="auto"/>
                <w:w w:val="92"/>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30,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553" w:right="339" w:bottom="1440" w:gutter="0" w:footer="0" w:header="0"/>
        </w:sectPr>
      </w:pPr>
    </w:p>
    <w:bookmarkStart w:id="2" w:name="page3"/>
    <w:bookmarkEnd w:id="2"/>
    <w:p>
      <w:pPr>
        <w:ind w:left="732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151765</wp:posOffset>
            </wp:positionV>
            <wp:extent cx="176593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ckettmann@lincolnchurchilladvisors.com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 Announces Fourth Quarter and Full Year 2019 Results</w:t>
      </w:r>
    </w:p>
    <w:p>
      <w:pPr>
        <w:spacing w:after="0" w:line="200" w:lineRule="exact"/>
        <w:rPr>
          <w:sz w:val="20"/>
          <w:szCs w:val="20"/>
          <w:color w:val="auto"/>
        </w:rPr>
      </w:pPr>
    </w:p>
    <w:p>
      <w:pPr>
        <w:spacing w:after="0" w:line="3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ALPHARETTA, GEORGIA - March 30, 2020 -- Priority Technology Holdings, Inc. (NASDAQ: PRTH) (“Priority” or the “Company”), a leading provider of merchant acquiring, integrated payment software and commercial payment solutions, today announced its fourth quarter and full-year 2019 financial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Highlights of Consolidated Results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Revenue of $98.2 million increased 10.7% from $88.7 million.</w:t>
      </w:r>
    </w:p>
    <w:p>
      <w:pPr>
        <w:ind w:left="660" w:right="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of $31.4 million increased 15.1% from $27.3 million. The Company’s non-GAAP gross profit metric represents revenue less costs of services.</w:t>
      </w:r>
    </w:p>
    <w:p>
      <w:pPr>
        <w:ind w:left="660" w:right="5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margin of 32.0% increased 124 basis points from 30.8%. Gross profit margin is non-GAAP gross profit divided by revenue.</w:t>
      </w:r>
    </w:p>
    <w:p>
      <w:pPr>
        <w:ind w:left="660" w:right="3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Income from operations of $1.1 million declined $1.6 million from $2.7 million, driven by a $3.3 million increase in depreciation and amortization expense.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Interest expense of $10.1 million increased $2.0 million from $8.0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Net loss of $7.2 million increased $1.5 million from $5.7 million.</w:t>
      </w:r>
    </w:p>
    <w:p>
      <w:pPr>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EBITDA of $16.2 million increased 34.9% from $12.0 million. The Company’s non-GAAP adjusted EBITDA measure is net loss before interest, taxes, depreciation and amortization (EBITDA), further adjusted for non-cash compensation and certain other expenses considered non-recurring.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merchant bankcard processing dollar volume of $11.0 billion increased 16.2% from $9.4 billion.</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5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Revenue of $371.9 million decreased 1.1% from $375.8 million.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of $119.3 million increased 12.0% from $106.5 million.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of 32.1% increased 373 basis points from 28.3%.</w:t>
      </w:r>
    </w:p>
    <w:p>
      <w:pPr>
        <w:ind w:left="660" w:right="1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Income from operations of $7.2 million declined $9.2 million from $16.4 million, driven by a $19.4 million increase in depreciation and amortization expense, and a $17.8 million decrease in income from operations from certain subscription-billing e-commerce merchants.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Interest expense of $40.7 million increased $10.7 million from $29.9 million.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Net loss of $33.6 million increased $15.8 million from $17.8 million.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Adjusted EBITDA of $58.9 million increased 19.2% from $49.4 million.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merchant bankcard processing dollar volume of $43.0 billion increased 12.7% from $38.2 billion.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3" w:name="page4"/>
    <w:bookmarkEnd w:id="3"/>
    <w:p>
      <w:pPr>
        <w:jc w:val="both"/>
        <w:spacing w:after="0" w:line="291" w:lineRule="auto"/>
        <w:rPr>
          <w:sz w:val="20"/>
          <w:szCs w:val="20"/>
          <w:color w:val="auto"/>
        </w:rPr>
      </w:pPr>
      <w:r>
        <w:rPr>
          <w:rFonts w:ascii="Arial" w:cs="Arial" w:eastAsia="Arial" w:hAnsi="Arial"/>
          <w:sz w:val="18"/>
          <w:szCs w:val="18"/>
          <w:color w:val="auto"/>
        </w:rPr>
        <w:t>"We reported excellent fourth quarter and full-year 2019 results, reflecting the fundamental integrity of our business segments and the strong underlying momentum we’ve seen over the past several quarters," said Tom Priore, Executive Chairman and CEO of Priority. "We continue to benefit from our industry-leading technology and infrastructure, resulting in strong, broad-based demand for our products and services.”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Highlights</w:t>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comparative revenue, gross profit, and income from operations for the fourth quarter and full-year 2019 were negatively affected by the wind-down of high-margin accounts with certain subscription-billing e-commerce merchants. The wind-down of merchants in this channel was due to industry-wide changes for enhanced card association compliance. This revenue, which is included entirely within the Consumer Payments reportable segment, was $1.5 million and $6.8 million in the fourth quarters of 2019 and 2018, respectively, and $7.8 million and $59.3 million in the years ended December 31, 2019 and 2018, respectively. The corresponding gross profit and income from operations associated with this revenue was $0.7 million and $3.0 million in the fourth quarters of 2019 and 2018, respectively, and $3.5 million and $21.3 million in the years ended December 31, 2019 and 2018, respectively.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Income from operations included certain operating expenses that the Company considers non-recurring in nature ("non-recurring expenses"). In 2019, these expenses were associated with transition services from YapStone, Inc. related to the integration of the March 2019 asset acquisition, and certain litigation and acquisition related advisory costs. In 2018, these expenses were associated with legal, accounting, advisory and consulting, largely associated with the conversion to a public company, and certain litigation costs. These operating expenses were $4.9 million and $2.1 million in the fourth quarters of 2019 and 2018, respectively, and were $8.9 million and $12.4 million in the years ended December 31, 2019 and 2018, respectively.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Non-GAAP consolidated adjusted revenue and income from operations, excluding the above items, for the fourth quarters of 2019 and 2018 and for the full-years 2019 and 2018, are as follows: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Consolidated adjusted revenue of $96.6 million in the fourth quarter of 2019 increased $14.7 million, or 18.0%. Consolidated adjusted income from operations of $5.2 million in the fourth quarter of 2019 increased $3.5 million.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Consolidated adjusted revenue of $364.1 million in the full-year 2019 increased $47.6 million, or 15.0%. Consolidated adjusted income from operations of $12.6 million in the full-year 2019 increased $5.1 million.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See “Non-GAAP Financial Measures” and the reconciliations of gross profit, gross profit margin, adjusted EBITDA, consolidated adjusted revenue and consolidated adjusted income from operations to their most comparable GAAP measures provided below for additional information.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Discussion of Reportable Segment Results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Payments Reportable Segment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Consumer Payments revenue in the fourth quarter of 2019 was $87.4 million, a 7.9% increase of $6.4 million compared with $81.0 million in the fourth quarter of 2018. This growth rate was hampered by a $5.3 million decline in revenue from the subscription-billing e-commerce merchants. Revenue generated by the remainder of Consumer Payments, excluding these e-Commerce merchants, increased $11.6 million, or 15.7%.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44"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20"/>
          <w:szCs w:val="20"/>
          <w:color w:val="auto"/>
        </w:rPr>
        <w:t>Merchant bankcard volume processed in the fourth quarter of 2019 of $10.8 billion grew by 15.1%, as compared with $9.3 billion in the fourth quarter of 2018. Merchant bankcard transactions of 129.2 million in the fourth quarter of 2019 grew by 13.0%, as compared with $114.3 million in the fourth quarter of 2018. Average ticket of $83.24 grew 1.8% in the fourth quarter of 2019, as compared with $81.77 in the fourth quarter of 2018.</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Consumer Payments income from operations in the fourth quarter of 2019 was $9.9 million, compared with $10.5 million in the fourth quarter of 2018. Costs of services of $62.8 million increased $5.6 million, depreciation and amortization of $8.6 million increased $2.2 million, and other operating expenses of $6.0 million decreased $0.9 million. Higher depreciation and amortization expense is related to acquisitions of affiliate assets and the December, 2018 acquisition of Direct Connect. Income from operations from the subscription-billing e-commerce merchants declined $2.3 million year over year. Consumer Payments adjusted income from operations of $9.2 million increased $1.7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Consumer Payments revenue in the full-year 2019 was $330.6 million, a 4.7% decline of $16.4 million compared with $347.0 million in the full-year 2018. This decline was due to a $51.5 million decrease in revenue from the subscription-billing e-commerce merchants. Revenue generated by the remainder of Consumer Payments, excluding these e-Commerce merchants, increased $35.1 million, or 12.2%.</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Merchant bankcard volume processed in the full-year 2019 of $42.3 billion grew by 11.6%, as compared with $37.9 billion in the full-year 2018. Merchant bankcard transactions of 511.9 million in the full-year 2019 grew by 9.9%, compared with 465.6 million in full-year 2018. Average ticket of $82.65 grew 1.5% in the full-year 2019, as compared with $81.39 in the full-year 2018.</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Consumer Payments income from operations in the full-year 2019 was $32.2 million, compared with $47.0 million in the full-year 2018. Costs of services of $236.4 million decreased $16.8 million, depreciation and amortization of $32.8 million increased $14.9 million, and other operating expenses of $29.1 million increased $0.3 million. Higher depreciation and amortization expense is related to acquisitions of affiliate assets and the December 2018 acquisition of Direct Connect. Income from operations from the subscription-billing e-commerce merchants declined $17.8 million year over year. Consumer Payments adjusted income from operations of $28.7 million increased $3.0 million, or 11.8%.</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See “Non-GAAP Financial Measures” and the reconciliations of Consumer Payments adjusted revenue and adjusted income from operations to their most comparable GAAP measures provided below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Payments Reportable Segment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Commercial Payments revenue in the fourth quarter of 2019 was $6.5 million, a 6.0% decrease of $0.4 million compared with $6.9 million in the fourth quarter of 2018. Revenue from CPX accounts payable automated solutions of $1.6 million in the fourth quarter of 2019 increased 31.1% compared with $1.2 million in the fourth quarter of 2018. Revenue from curated managed services programs of $4.9 million in the fourth quarter of 2019 decreased by $0.8 million compared with $5.7 million in the fourth quarter of 2018. The managed services decline was largely driven by lower incentive revenue and program activity.</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Commercial Payments income from operations in the fourth quarter of 2019 was $0.2 million, compared with a loss from operations of $0.2 million in the fourth quarter of 2018. Costs of services of $3.2 million decreased $0.7 million, and other operating expenses, including depreciation and amortization, decreased $0.1 million.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Commercial Payments revenue in the full-year 2019 amounted to $26.0 million, a 4.0% decrease of $1.1 million compared with $27.1 million in the full-year 2018. Revenue from CPX accounts payable automated solutions of $5.5 million in the full-year 2019 increased 27.8% compared with $4.3 million in the full-year 2018. Revenue from curated managed services programs of $20.5 million in the full-year 2019 declined by $2.3 million compared with $22.7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in the full-year 2018. The managed services decline was largely driven by lower incentive revenue and program activity.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Commercial Payments loss from operations in the full-year 2019 was $0.9 million, compared with a $1.0 million loss from operations in the full-year 2018. Costs of services of $13.8 million decreased $1.7 million, and other operating expenses, including depreciation and amortization, increased $0.5 million.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Integrated Partners Reportable Segment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Integrated Partners revenue in the fourth quarter of 2019 was $4.3 million, an increase of $3.5 million compared with $0.8 million in the fourth quarter of 2018. Priority Real Estate Technology ("PRET") comprised $3.7 million of this reportable segment’s revenue in the fourth quarter of 2019. PRET is comprised of the assets acquired from YapStone, Inc. in March 2019 and the net assets acquired from RadPad Holdings, Inc. in July 2018. Revenue from Priority PayRight Health Solutions and Priority Hospitality Technology, which commenced operations in April 2018 and February 2019, respectively, comprised the remainder of this reportable segment’s revenue.</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Integrated Partners loss from operations in the fourth quarter of 2019 was $0.6 million, compared with a loss from operations of $1.3 million in the fourth quarter of 2018. Costs of services of $0.7 million increased $0.4 million, depreciation and amortization of $1.3 million increased $1.2 million, and other operating expenses of $2.9 million increased $1.1 million. Depreciation and amortization expense is primarily related to assets acquired from YapStone, Inc. Other operating expenses included $1.7 million of temporary transition services from YapStone, Inc. related to integration of the asset acquisition. Integrated Partners adjusted income from operations in the fourth quarter of 2019, excluding these temporary transition services, was $1.1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Integrated Partners revenue in the full-year 2019 amounted to $15.3 million compared with $1.8 million in the full-year 2018. PRET comprised $13.2 million of this reportable segment’s revenue in the full-year 2019. Revenue from Priority PayRight Health Solutions and Priority Hospitality Technology comprised the remainder of this reportable segment’s revenue.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Integrated Partners income from operations in the full-year 2019 was $0.7 million, compared with a loss from operations of $2.0 million in the full-year 2018. Costs of services of $2.3 million increased $1.8 million, depreciation and amortization of $4.4 million increased $4.3 million, and other operating expenses of $7.8 million increased $4.8 million. Depreciation and amortization expense is primarily related to assets acquired from YapStone, Inc. in March 2019. Other operating expenses included $2.9 million of temporary transition services from YapStone, Inc. related to integration of the asset acquisition. Integrated Partners adjusted income from operations in the full-year 2019, excluding these temporary transition services, was $3.6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2019, Compared with Fourth Quarter 2018</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Corporate expense in the fourth quarter of 2019 was $8.5 million, compared with $6.2 million in the fourth quarter of 2018. Non-recurring operating expenses were $3.2 million in the fourth quarter of 2019 and $2.1 million in the fourth quarter 2018. Excluding non-recurring operating expenses, Corporate expense was $5.3 million and $4.1 million in fourth quarter of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2019, Compared with Full-Year 2018</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Corporate expense in the full-year 2019 was $24.9 million, compared with $27.7 million in the full-year 2018. Non-recurring operating expenses were $6.0 million in the full-year 2019 and $12.4 million in the full-year 2018. Excluding non-recurring operating expenses, Corporate expense was $18.9 million and $15.3 million in full-year 2019 and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20"/>
          <w:szCs w:val="20"/>
          <w:color w:val="auto"/>
        </w:rPr>
        <w:t>respectively. Corporate expense included non-cash equity compensation of $1.5 million and $0.6 million in full-year 2019 and 2018,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2020 Outlook</w:t>
      </w:r>
    </w:p>
    <w:p>
      <w:pPr>
        <w:spacing w:after="0" w:line="23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Priore concluded, "Given the economic uncertainties related to the spread of the coronavirus, we have made the decision to suspend guidance until we have additional clarity into its impact on the broader economy and our business. That said, while the COVID-19 pandemic is an unpredictable event, we are seeing evidence that our past decisions to build defensively positioned and counter-cyclical, integrated payment assets in segments like rent, hospitality, healthcare and B2B has positioned us favorably to weather this crisis and future economic cycles."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70707"/>
        </w:rPr>
        <w:t xml:space="preserve">Priority Technology Holdings, Inc.’s leadership will host a conference call on Tuesday, March 31, 2020 at 11:00 a.m. EDT to discuss its fourth quarter and full-year 2019 financial results. Participants can access the call by </w:t>
      </w:r>
      <w:r>
        <w:rPr>
          <w:rFonts w:ascii="Arial" w:cs="Arial" w:eastAsia="Arial" w:hAnsi="Arial"/>
          <w:sz w:val="20"/>
          <w:szCs w:val="20"/>
          <w:color w:val="000000"/>
        </w:rPr>
        <w:t>Phone: US/Canada: (877) 501-3161 or International:</w:t>
      </w:r>
      <w:r>
        <w:rPr>
          <w:rFonts w:ascii="Arial" w:cs="Arial" w:eastAsia="Arial" w:hAnsi="Arial"/>
          <w:sz w:val="20"/>
          <w:szCs w:val="20"/>
          <w:color w:val="070707"/>
        </w:rPr>
        <w:t xml:space="preserve"> </w:t>
      </w:r>
      <w:r>
        <w:rPr>
          <w:rFonts w:ascii="Arial" w:cs="Arial" w:eastAsia="Arial" w:hAnsi="Arial"/>
          <w:sz w:val="20"/>
          <w:szCs w:val="20"/>
          <w:color w:val="000000"/>
        </w:rPr>
        <w:t>(786) 815-8443.</w:t>
      </w:r>
    </w:p>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Internet webcast link and accompanying slide presentation can be accessed at https://edge.media-server.com/mmc/p/pv3hgp9p and will also be posted in the “Investor Relations” section of the Company’s website at www.PRTH.com.</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 audio replay of the call will be available shortly after the conference call until April 3, 2020 at 11:30 am Eastern Time. To listen to the audio replay, dial (855) 859-2056 or (404) 537-3406 and enter conference ID number 2589847. Alternatively, you may access the webcast replay in the “Investor Relations” section of the Company’s website at www.PRTH.com.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Revenue</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Consolidated adjusted revenue and Consumer Payments adjusted revenue for the quarter and year ended December 31, 2019 has been negatively affected by the closure of high-margin accounts with certain subscription-billing e-commerce merchants. The closure of merchants in the Consumer Payments segment was due to industry-wide changes for enhanced card association compliance. We refer to consolidated adjusted revenue and Consumer Payments adjusted revenue, which excludes these revenue amounts from the periods presented. We review this non-GAAP measure to evaluate our underlying revenue and trends.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Gross Profit Margin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non-GAAP gross profit metric represents revenue less costs of services. Gross profit margin is gross profit divided by revenue. We review these non-GAAP measures to evaluate our underlying profit trends.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Operating Expenses and Adjusted Income from Operations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9"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20"/>
          <w:szCs w:val="20"/>
          <w:color w:val="auto"/>
        </w:rPr>
        <w:t>Consolidated adjusted operating expenses and adjusted income from operations, as well as Consumer Payments adjusted operating expenses and adjusted income from operations for the quarter and year ended December 31, 2019 has been negatively affected by the closure of the high-margin accounts with certain subscription-billing e-commerce merchants. We review these non-GAAP measures to evaluate our underlying profitability performance and trends.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Additionally, consolidated adjusted operating expenses and adjusted income from operations for the quarter and year ended December 31, 2019 has been negatively affected by the incurrence of non-recurring operating expenses largely associated with certain litigation and acquisition-related advisory costs and transition services from YapStone, Inc. We review these non-GAAP measures to evaluate our underlying profitability performance and trends.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Consolidated Adjusted EBITDA</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EBITDA is earnings before interest, income tax, depreciation and amortization expenses (“EBITDA”). Adjusted EBITDA begins with EBITDA but further excludes certain non-cash expenses such as equity-based compensation and fair value adjustments, debt modification costs and non-recurring expenses such as Business Combination costs, litigation settlement costs, certain legal services costs, and professional, accounting and consulting fees and transition services. Consolidated adjusted EBITDA begins with Adjusted EBITDA but further includes adjustments for the pro-forma impact of acquisitions, as well as adjustments to exclude other professional and consulting fees and certain other tax expenses and other adjustments. We review these non-GAAP adjusted EBITDA and consolidated adjusted EBITDA measures to evaluate our business and trends, measure our performance, prepare financial projections, allocate resources, and make strategic decisions.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reconciliations of consolidated adjusted revenue, Consumer Payments adjusted revenue, gross profit, gross profit margin, consolidated adjusted operating expenses, consolidated adjusted income from operations, Consumer Payments adjusted operating expenses, Consumer Payments adjusted income from operations, adjusted EBITDA and consolidated adjusted EBITDA to the most directly comparable financial measures calculated and presented in accordance with GAAP, are shown in the attached schedules to this press release.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equity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5" w:right="339" w:bottom="1440" w:gutter="0" w:footer="0" w:header="0"/>
        </w:sectPr>
      </w:pPr>
    </w:p>
    <w:bookmarkStart w:id="8" w:name="page9"/>
    <w:bookmarkEnd w:id="8"/>
    <w:p>
      <w:pPr>
        <w:jc w:val="both"/>
        <w:spacing w:after="0" w:line="243" w:lineRule="auto"/>
        <w:rPr>
          <w:sz w:val="20"/>
          <w:szCs w:val="20"/>
          <w:color w:val="auto"/>
        </w:rPr>
      </w:pPr>
      <w:r>
        <w:rPr>
          <w:rFonts w:ascii="Arial" w:cs="Arial" w:eastAsia="Arial" w:hAnsi="Arial"/>
          <w:sz w:val="20"/>
          <w:szCs w:val="20"/>
          <w:color w:val="auto"/>
        </w:rPr>
        <w:t>“intends,”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for 2019 filed with the SEC on March 30, 2020. These filings are available online at www.sec.gov or www.PRTH.com.</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9"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PRIORITY TECHNOLOGY HOLDINGS, INC.</w:t>
      </w:r>
    </w:p>
    <w:p>
      <w:pPr>
        <w:spacing w:after="0" w:line="225" w:lineRule="exact"/>
        <w:rPr>
          <w:sz w:val="20"/>
          <w:szCs w:val="20"/>
          <w:color w:val="auto"/>
        </w:rPr>
      </w:pPr>
    </w:p>
    <w:p>
      <w:pPr>
        <w:jc w:val="center"/>
        <w:ind w:left="380" w:right="234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Quarter Ended December 31, 2019 Compared to Quarter Ended December 31, 2018 </w:t>
      </w:r>
      <w:r>
        <w:rPr>
          <w:rFonts w:ascii="Arial" w:cs="Arial" w:eastAsia="Arial" w:hAnsi="Arial"/>
          <w:sz w:val="18"/>
          <w:szCs w:val="18"/>
          <w:i w:val="1"/>
          <w:iCs w:val="1"/>
          <w:color w:val="auto"/>
        </w:rPr>
        <w:t>(unaudited)</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6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gridSpan w:val="4"/>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6"/>
              </w:rPr>
              <w:t>Quarter Ended December 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Restated</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331"/>
        </w:trPr>
        <w:tc>
          <w:tcPr>
            <w:tcW w:w="5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63"/>
        </w:trPr>
        <w:tc>
          <w:tcPr>
            <w:tcW w:w="5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Costs of services</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61,411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5,331</w:t>
            </w:r>
          </w:p>
        </w:tc>
        <w:tc>
          <w:tcPr>
            <w:tcW w:w="15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3,268</w:t>
            </w:r>
          </w:p>
        </w:tc>
        <w:tc>
          <w:tcPr>
            <w:tcW w:w="1540" w:type="dxa"/>
            <w:vAlign w:val="bottom"/>
          </w:tcPr>
          <w:p>
            <w:pPr>
              <w:jc w:val="right"/>
              <w:spacing w:after="0"/>
              <w:rPr>
                <w:sz w:val="20"/>
                <w:szCs w:val="20"/>
                <w:color w:val="auto"/>
              </w:rPr>
            </w:pPr>
            <w:r>
              <w:rPr>
                <w:rFonts w:ascii="Arial" w:cs="Arial" w:eastAsia="Arial" w:hAnsi="Arial"/>
                <w:sz w:val="18"/>
                <w:szCs w:val="18"/>
                <w:color w:val="auto"/>
              </w:rPr>
              <w:t>46.3 %</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37"/>
        </w:trPr>
        <w:tc>
          <w:tcPr>
            <w:tcW w:w="512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11,082</w:t>
            </w:r>
          </w:p>
        </w:tc>
        <w:tc>
          <w:tcPr>
            <w:tcW w:w="154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23"/>
        </w:trPr>
        <w:tc>
          <w:tcPr>
            <w:tcW w:w="5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w:t>
            </w:r>
          </w:p>
        </w:tc>
        <w:tc>
          <w:tcPr>
            <w:tcW w:w="15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77"/>
        </w:trPr>
        <w:tc>
          <w:tcPr>
            <w:tcW w:w="5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43"/>
        </w:trPr>
        <w:tc>
          <w:tcPr>
            <w:tcW w:w="512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1,863</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9"/>
        </w:trPr>
        <w:tc>
          <w:tcPr>
            <w:tcW w:w="5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155"/>
        </w:trPr>
        <w:tc>
          <w:tcPr>
            <w:tcW w:w="5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540" w:type="dxa"/>
            <w:vAlign w:val="bottom"/>
          </w:tcPr>
          <w:p>
            <w:pPr>
              <w:spacing w:after="0"/>
              <w:rPr>
                <w:sz w:val="13"/>
                <w:szCs w:val="13"/>
                <w:color w:val="auto"/>
              </w:rPr>
            </w:pPr>
          </w:p>
        </w:tc>
      </w:tr>
      <w:tr>
        <w:trPr>
          <w:trHeight w:val="26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540" w:type="dxa"/>
            <w:vAlign w:val="bottom"/>
          </w:tcPr>
          <w:p>
            <w:pPr>
              <w:jc w:val="right"/>
              <w:spacing w:after="0"/>
              <w:rPr>
                <w:sz w:val="20"/>
                <w:szCs w:val="20"/>
                <w:color w:val="auto"/>
              </w:rPr>
            </w:pPr>
            <w:r>
              <w:rPr>
                <w:rFonts w:ascii="Arial" w:cs="Arial" w:eastAsia="Arial" w:hAnsi="Arial"/>
                <w:sz w:val="18"/>
                <w:szCs w:val="18"/>
                <w:color w:val="auto"/>
              </w:rPr>
              <w:t>(37.5)%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337"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25" w:lineRule="exact"/>
        <w:rPr>
          <w:sz w:val="20"/>
          <w:szCs w:val="20"/>
          <w:color w:val="auto"/>
        </w:rPr>
      </w:pPr>
    </w:p>
    <w:p>
      <w:pPr>
        <w:jc w:val="center"/>
        <w:ind w:left="340" w:right="266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Year Ended December 31, 2019 Compared to Year Ended December 31, 2018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8"/>
              </w:rPr>
              <w:t>Year Ended December 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Restated</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91"/>
        </w:trPr>
        <w:tc>
          <w:tcPr>
            <w:tcW w:w="50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375,822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Costs of services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252,569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269,284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(16,715)</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19,352</w:t>
            </w:r>
          </w:p>
        </w:tc>
        <w:tc>
          <w:tcPr>
            <w:tcW w:w="1580" w:type="dxa"/>
            <w:vAlign w:val="bottom"/>
          </w:tcPr>
          <w:p>
            <w:pPr>
              <w:jc w:val="right"/>
              <w:spacing w:after="0"/>
              <w:rPr>
                <w:sz w:val="20"/>
                <w:szCs w:val="20"/>
                <w:color w:val="auto"/>
              </w:rPr>
            </w:pPr>
            <w:r>
              <w:rPr>
                <w:rFonts w:ascii="Arial" w:cs="Arial" w:eastAsia="Arial" w:hAnsi="Arial"/>
                <w:sz w:val="18"/>
                <w:szCs w:val="18"/>
                <w:color w:val="auto"/>
              </w:rPr>
              <w:t>98.0 %</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364,670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359,429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5,241</w:t>
            </w: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155"/>
        </w:trPr>
        <w:tc>
          <w:tcPr>
            <w:tcW w:w="5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(9,209)</w:t>
            </w:r>
          </w:p>
        </w:tc>
        <w:tc>
          <w:tcPr>
            <w:tcW w:w="15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10"/>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7,494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169"/>
        </w:trPr>
        <w:tc>
          <w:tcPr>
            <w:tcW w:w="50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580" w:type="dxa"/>
            <w:vAlign w:val="bottom"/>
          </w:tcPr>
          <w:p>
            <w:pPr>
              <w:spacing w:after="0"/>
              <w:rPr>
                <w:sz w:val="14"/>
                <w:szCs w:val="1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175"/>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155"/>
        </w:trPr>
        <w:tc>
          <w:tcPr>
            <w:tcW w:w="50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580" w:type="dxa"/>
            <w:vAlign w:val="bottom"/>
          </w:tcPr>
          <w:p>
            <w:pPr>
              <w:spacing w:after="0"/>
              <w:rPr>
                <w:sz w:val="13"/>
                <w:szCs w:val="13"/>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(0.21)</w:t>
            </w:r>
          </w:p>
        </w:tc>
        <w:tc>
          <w:tcPr>
            <w:tcW w:w="1580" w:type="dxa"/>
            <w:vAlign w:val="bottom"/>
          </w:tcPr>
          <w:p>
            <w:pPr>
              <w:jc w:val="right"/>
              <w:spacing w:after="0"/>
              <w:rPr>
                <w:sz w:val="20"/>
                <w:szCs w:val="20"/>
                <w:color w:val="auto"/>
              </w:rPr>
            </w:pPr>
            <w:r>
              <w:rPr>
                <w:rFonts w:ascii="Arial" w:cs="Arial" w:eastAsia="Arial" w:hAnsi="Arial"/>
                <w:sz w:val="18"/>
                <w:szCs w:val="18"/>
                <w:color w:val="auto"/>
              </w:rPr>
              <w:t>(72.4)%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SEGMENT RESULTS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December 31, 2019 Compared to Quarter Ended December 31, 2018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340" w:type="dxa"/>
            <w:vAlign w:val="bottom"/>
            <w:tcBorders>
              <w:bottom w:val="single" w:sz="8" w:color="auto"/>
            </w:tcBorders>
            <w:shd w:val="clear" w:color="auto" w:fill="CCEEFF"/>
          </w:tcPr>
          <w:p>
            <w:pPr>
              <w:spacing w:after="0"/>
              <w:rPr>
                <w:sz w:val="22"/>
                <w:szCs w:val="22"/>
                <w:color w:val="auto"/>
              </w:rPr>
            </w:pPr>
          </w:p>
        </w:tc>
        <w:tc>
          <w:tcPr>
            <w:tcW w:w="302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Quarter Ended December 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i w:val="1"/>
                <w:iCs w:val="1"/>
                <w:color w:val="auto"/>
              </w:rPr>
              <w:t>Restated</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63"/>
        </w:trPr>
        <w:tc>
          <w:tcPr>
            <w:tcW w:w="48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Consumer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87,394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81,027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6,367</w:t>
            </w:r>
          </w:p>
        </w:tc>
        <w:tc>
          <w:tcPr>
            <w:tcW w:w="140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77,460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70,567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6,893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97"/>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9,934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10,460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(526)</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6,448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2,179</w:t>
            </w:r>
          </w:p>
        </w:tc>
        <w:tc>
          <w:tcPr>
            <w:tcW w:w="1400" w:type="dxa"/>
            <w:vAlign w:val="bottom"/>
          </w:tcPr>
          <w:p>
            <w:pPr>
              <w:jc w:val="right"/>
              <w:spacing w:after="0"/>
              <w:rPr>
                <w:sz w:val="20"/>
                <w:szCs w:val="20"/>
                <w:color w:val="auto"/>
              </w:rPr>
            </w:pPr>
            <w:r>
              <w:rPr>
                <w:rFonts w:ascii="Arial" w:cs="Arial" w:eastAsia="Arial" w:hAnsi="Arial"/>
                <w:sz w:val="18"/>
                <w:szCs w:val="18"/>
                <w:color w:val="auto"/>
              </w:rPr>
              <w:t>33.8 %</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10,752,476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9,344,239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1,408,237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129,176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114,280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14,896</w:t>
            </w:r>
          </w:p>
        </w:tc>
        <w:tc>
          <w:tcPr>
            <w:tcW w:w="140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(844)</w:t>
            </w:r>
          </w:p>
        </w:tc>
        <w:tc>
          <w:tcPr>
            <w:tcW w:w="1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6.5 %</w:t>
            </w:r>
          </w:p>
        </w:tc>
        <w:tc>
          <w:tcPr>
            <w:tcW w:w="14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75,626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76,544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(918)</w:t>
            </w: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3,510</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2,786</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97"/>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724</w:t>
            </w:r>
          </w:p>
        </w:tc>
        <w:tc>
          <w:tcPr>
            <w:tcW w:w="140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189"/>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126,207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123,042</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439</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segments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(6,238)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(2,247)</w:t>
            </w:r>
          </w:p>
        </w:tc>
        <w:tc>
          <w:tcPr>
            <w:tcW w:w="140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7"/>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10,954,309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9,423,948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1,530,361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129,669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114,341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15,328</w:t>
            </w:r>
          </w:p>
        </w:tc>
        <w:tc>
          <w:tcPr>
            <w:tcW w:w="1400" w:type="dxa"/>
            <w:vAlign w:val="bottom"/>
          </w:tcPr>
          <w:p>
            <w:pPr>
              <w:jc w:val="right"/>
              <w:spacing w:after="0"/>
              <w:rPr>
                <w:sz w:val="20"/>
                <w:szCs w:val="20"/>
                <w:color w:val="auto"/>
              </w:rPr>
            </w:pPr>
            <w:r>
              <w:rPr>
                <w:rFonts w:ascii="Arial" w:cs="Arial" w:eastAsia="Arial" w:hAnsi="Arial"/>
                <w:sz w:val="18"/>
                <w:szCs w:val="18"/>
                <w:color w:val="auto"/>
              </w:rPr>
              <w:t>13.4 %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140"/>
          </w:cols>
          <w:pgMar w:left="320" w:top="337" w:right="439" w:bottom="1440" w:gutter="0" w:footer="0" w:header="0"/>
        </w:sect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337" w:right="439" w:bottom="1440" w:gutter="0" w:footer="0" w:header="0"/>
          <w:type w:val="continuous"/>
        </w:sectPr>
      </w:pPr>
    </w:p>
    <w:bookmarkStart w:id="12" w:name="page13"/>
    <w:bookmarkEnd w:id="12"/>
    <w:p>
      <w:pPr>
        <w:jc w:val="center"/>
        <w:ind w:right="-43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SEGMENT RESULTS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(unaudited)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and volume amounts in thousands)</w:t>
            </w:r>
          </w:p>
        </w:tc>
        <w:tc>
          <w:tcPr>
            <w:tcW w:w="320" w:type="dxa"/>
            <w:vAlign w:val="bottom"/>
            <w:tcBorders>
              <w:bottom w:val="single" w:sz="8" w:color="auto"/>
            </w:tcBorders>
            <w:shd w:val="clear" w:color="auto" w:fill="CCEEFF"/>
          </w:tcPr>
          <w:p>
            <w:pPr>
              <w:spacing w:after="0"/>
              <w:rPr>
                <w:sz w:val="22"/>
                <w:szCs w:val="22"/>
                <w:color w:val="auto"/>
              </w:rPr>
            </w:pPr>
          </w:p>
        </w:tc>
        <w:tc>
          <w:tcPr>
            <w:tcW w:w="2920" w:type="dxa"/>
            <w:vAlign w:val="bottom"/>
            <w:tcBorders>
              <w:bottom w:val="single" w:sz="8" w:color="auto"/>
            </w:tcBorders>
            <w:gridSpan w:val="4"/>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i w:val="1"/>
                <w:iCs w:val="1"/>
                <w:color w:val="auto"/>
              </w:rPr>
              <w:t>Restated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63"/>
        </w:trPr>
        <w:tc>
          <w:tcPr>
            <w:tcW w:w="42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330,599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347,013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(16,414)</w:t>
            </w: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9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32,237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47,002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(14,765)</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17,945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14,897</w:t>
            </w:r>
          </w:p>
        </w:tc>
        <w:tc>
          <w:tcPr>
            <w:tcW w:w="1280" w:type="dxa"/>
            <w:vAlign w:val="bottom"/>
          </w:tcPr>
          <w:p>
            <w:pPr>
              <w:jc w:val="right"/>
              <w:spacing w:after="0"/>
              <w:rPr>
                <w:sz w:val="20"/>
                <w:szCs w:val="20"/>
                <w:color w:val="auto"/>
              </w:rPr>
            </w:pPr>
            <w:r>
              <w:rPr>
                <w:rFonts w:ascii="Arial" w:cs="Arial" w:eastAsia="Arial" w:hAnsi="Arial"/>
                <w:sz w:val="18"/>
                <w:szCs w:val="18"/>
                <w:color w:val="auto"/>
              </w:rPr>
              <w:t>83.0 %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9"/>
        </w:trPr>
        <w:tc>
          <w:tcPr>
            <w:tcW w:w="4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42,303,880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37,892,474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4,411,406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511,852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465,584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46,268</w:t>
            </w:r>
          </w:p>
        </w:tc>
        <w:tc>
          <w:tcPr>
            <w:tcW w:w="128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26,871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28,008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(1,137)</w:t>
            </w: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0.1 %</w:t>
            </w:r>
          </w:p>
        </w:tc>
        <w:tc>
          <w:tcPr>
            <w:tcW w:w="12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312,342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257,308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55,034</w:t>
            </w:r>
          </w:p>
        </w:tc>
        <w:tc>
          <w:tcPr>
            <w:tcW w:w="128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15,275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13,522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14,550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10,828</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9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2,694</w:t>
            </w:r>
          </w:p>
        </w:tc>
        <w:tc>
          <w:tcPr>
            <w:tcW w:w="12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4,253</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16"/>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386,101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5,516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380,585</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1,325</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4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segments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(12,010)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(27,688)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2,801</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16,393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(9,209)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436</w:t>
            </w:r>
          </w:p>
        </w:tc>
        <w:tc>
          <w:tcPr>
            <w:tcW w:w="1280" w:type="dxa"/>
            <w:vAlign w:val="bottom"/>
          </w:tcPr>
          <w:p>
            <w:pPr>
              <w:jc w:val="right"/>
              <w:spacing w:after="0"/>
              <w:rPr>
                <w:sz w:val="20"/>
                <w:szCs w:val="20"/>
                <w:color w:val="auto"/>
              </w:rPr>
            </w:pPr>
            <w:r>
              <w:rPr>
                <w:rFonts w:ascii="Arial" w:cs="Arial" w:eastAsia="Arial" w:hAnsi="Arial"/>
                <w:sz w:val="18"/>
                <w:szCs w:val="18"/>
                <w:color w:val="auto"/>
              </w:rPr>
              <w:t>39.9 %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9"/>
        </w:trPr>
        <w:tc>
          <w:tcPr>
            <w:tcW w:w="4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Key indicators: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43,002,323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38,155,298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4,847,025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513,341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465,757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47,584</w:t>
            </w:r>
          </w:p>
        </w:tc>
        <w:tc>
          <w:tcPr>
            <w:tcW w:w="1280" w:type="dxa"/>
            <w:vAlign w:val="bottom"/>
          </w:tcPr>
          <w:p>
            <w:pPr>
              <w:jc w:val="right"/>
              <w:spacing w:after="0"/>
              <w:rPr>
                <w:sz w:val="20"/>
                <w:szCs w:val="20"/>
                <w:color w:val="auto"/>
              </w:rPr>
            </w:pPr>
            <w:r>
              <w:rPr>
                <w:rFonts w:ascii="Arial" w:cs="Arial" w:eastAsia="Arial" w:hAnsi="Arial"/>
                <w:sz w:val="18"/>
                <w:szCs w:val="18"/>
                <w:color w:val="auto"/>
              </w:rPr>
              <w:t>10.2 %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0800"/>
          </w:cols>
          <w:pgMar w:left="320" w:top="553" w:right="779" w:bottom="1440" w:gutter="0" w:footer="0" w:header="0"/>
        </w:sectPr>
      </w:pP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800"/>
          </w:cols>
          <w:pgMar w:left="320" w:top="553" w:right="77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610"/>
              <w:spacing w:after="0"/>
              <w:rPr>
                <w:sz w:val="20"/>
                <w:szCs w:val="20"/>
                <w:color w:val="auto"/>
              </w:rPr>
            </w:pPr>
            <w:r>
              <w:rPr>
                <w:rFonts w:ascii="Arial" w:cs="Arial" w:eastAsia="Arial" w:hAnsi="Arial"/>
                <w:sz w:val="18"/>
                <w:szCs w:val="18"/>
                <w:i w:val="1"/>
                <w:iCs w:val="1"/>
                <w:color w:val="auto"/>
              </w:rPr>
              <w:t>Restated</w:t>
            </w:r>
          </w:p>
        </w:tc>
      </w:tr>
      <w:tr>
        <w:trPr>
          <w:trHeight w:val="243"/>
        </w:trPr>
        <w:tc>
          <w:tcPr>
            <w:tcW w:w="7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47,231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18,200</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3,642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Settlement assets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75,092</w:t>
            </w:r>
          </w:p>
        </w:tc>
      </w:tr>
      <w:tr>
        <w:trPr>
          <w:trHeight w:val="297"/>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17,482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182,826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124,637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1,295</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379,296</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Accrued residual commissions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18,715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93,004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63,283</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7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485,578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402,095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69"/>
        </w:trPr>
        <w:tc>
          <w:tcPr>
            <w:tcW w:w="7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585,194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473,314</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77"/>
        </w:trPr>
        <w:tc>
          <w:tcPr>
            <w:tcW w:w="7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(94,085)</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deficit attributable to stockholders of PRTH</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(94,018)</w:t>
            </w:r>
          </w:p>
        </w:tc>
      </w:tr>
      <w:tr>
        <w:trPr>
          <w:trHeight w:val="162"/>
        </w:trPr>
        <w:tc>
          <w:tcPr>
            <w:tcW w:w="70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379,296</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553" w:right="339" w:bottom="1440" w:gutter="0" w:footer="0" w:header="0"/>
          <w:type w:val="continuous"/>
        </w:sectPr>
      </w:pPr>
    </w:p>
    <w:bookmarkStart w:id="14" w:name="page15"/>
    <w:bookmarkEnd w:id="14"/>
    <w:p>
      <w:pPr>
        <w:jc w:val="center"/>
        <w:ind w:right="-110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shd w:val="clear" w:color="auto" w:fill="CCEEFF"/>
          </w:tcPr>
          <w:p>
            <w:pPr>
              <w:spacing w:after="0"/>
              <w:rPr>
                <w:sz w:val="22"/>
                <w:szCs w:val="2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gridSpan w:val="4"/>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6"/>
              </w:rPr>
              <w:t>Year Ended December 31,</w:t>
            </w:r>
          </w:p>
        </w:tc>
      </w:tr>
      <w:tr>
        <w:trPr>
          <w:trHeight w:val="243"/>
        </w:trPr>
        <w:tc>
          <w:tcPr>
            <w:tcW w:w="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i w:val="1"/>
                <w:iCs w:val="1"/>
                <w:color w:val="auto"/>
              </w:rPr>
              <w:t>Restated</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7"/>
        </w:trPr>
        <w:tc>
          <w:tcPr>
            <w:tcW w:w="4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(17,836)</w:t>
            </w:r>
          </w:p>
        </w:tc>
      </w:tr>
      <w:tr>
        <w:trPr>
          <w:trHeight w:val="243"/>
        </w:trPr>
        <w:tc>
          <w:tcPr>
            <w:tcW w:w="4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Equity-based compensation</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Equity in losses and impairment of unconsolidated entities</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Provision for allowance for deferred income tax assets</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Payment-in-kind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4,897</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Other non-cash items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change in operating assets and liabilities (net of business combinations)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19,883</w:t>
            </w:r>
          </w:p>
        </w:tc>
      </w:tr>
      <w:tr>
        <w:trPr>
          <w:trHeight w:val="236"/>
        </w:trPr>
        <w:tc>
          <w:tcPr>
            <w:tcW w:w="4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31,348</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Acquisitions of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(10,562)</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Notes receivable loan funding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Acquisitions of intangible assets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(90,858)</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(108,928)</w:t>
            </w:r>
          </w:p>
        </w:tc>
      </w:tr>
      <w:tr>
        <w:trPr>
          <w:trHeight w:val="210"/>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126,813</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Borrowings under revolving line of credit</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borrowings under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Debt issuance costs refunded (paid)</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Distributions from equity</w:t>
            </w:r>
          </w:p>
        </w:tc>
        <w:tc>
          <w:tcPr>
            <w:tcW w:w="3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(7,075)</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Redemptions of equity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(76,211)</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Recapitalization proceeds</w:t>
            </w:r>
          </w:p>
        </w:tc>
        <w:tc>
          <w:tcPr>
            <w:tcW w:w="3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49,389</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Redemption of warrants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r>
      <w:tr>
        <w:trPr>
          <w:trHeight w:val="243"/>
        </w:trPr>
        <w:tc>
          <w:tcPr>
            <w:tcW w:w="40" w:type="dxa"/>
            <w:vAlign w:val="bottom"/>
          </w:tcPr>
          <w:p>
            <w:pPr>
              <w:spacing w:after="0"/>
              <w:rPr>
                <w:sz w:val="21"/>
                <w:szCs w:val="21"/>
                <w:color w:val="auto"/>
              </w:rPr>
            </w:pPr>
          </w:p>
        </w:tc>
        <w:tc>
          <w:tcPr>
            <w:tcW w:w="7060" w:type="dxa"/>
            <w:vAlign w:val="bottom"/>
            <w:gridSpan w:val="2"/>
          </w:tcPr>
          <w:p>
            <w:pPr>
              <w:ind w:left="140"/>
              <w:spacing w:after="0"/>
              <w:rPr>
                <w:sz w:val="20"/>
                <w:szCs w:val="20"/>
                <w:color w:val="auto"/>
              </w:rPr>
            </w:pPr>
            <w:r>
              <w:rPr>
                <w:rFonts w:ascii="Arial" w:cs="Arial" w:eastAsia="Arial" w:hAnsi="Arial"/>
                <w:sz w:val="18"/>
                <w:szCs w:val="18"/>
                <w:color w:val="auto"/>
              </w:rPr>
              <w:t>Recapitalization costs</w:t>
            </w:r>
          </w:p>
        </w:tc>
        <w:tc>
          <w:tcPr>
            <w:tcW w:w="3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(9,704)</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67,252</w:t>
            </w:r>
          </w:p>
        </w:tc>
      </w:tr>
      <w:tr>
        <w:trPr>
          <w:trHeight w:val="209"/>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r>
      <w:tr>
        <w:trPr>
          <w:trHeight w:val="243"/>
        </w:trPr>
        <w:tc>
          <w:tcPr>
            <w:tcW w:w="40" w:type="dxa"/>
            <w:vAlign w:val="bottom"/>
          </w:tcPr>
          <w:p>
            <w:pPr>
              <w:spacing w:after="0"/>
              <w:rPr>
                <w:sz w:val="21"/>
                <w:szCs w:val="21"/>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44,159</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50,465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33,831</w:t>
            </w:r>
          </w:p>
        </w:tc>
      </w:tr>
      <w:tr>
        <w:trPr>
          <w:trHeight w:val="20"/>
        </w:trPr>
        <w:tc>
          <w:tcPr>
            <w:tcW w:w="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40" w:type="dxa"/>
            <w:vAlign w:val="bottom"/>
            <w:shd w:val="clear" w:color="auto" w:fill="CCEEFF"/>
          </w:tcPr>
          <w:p>
            <w:pPr>
              <w:spacing w:after="0"/>
              <w:rPr>
                <w:sz w:val="21"/>
                <w:szCs w:val="21"/>
                <w:color w:val="auto"/>
              </w:rPr>
            </w:pPr>
          </w:p>
        </w:tc>
        <w:tc>
          <w:tcPr>
            <w:tcW w:w="7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interest</w:t>
            </w:r>
          </w:p>
        </w:tc>
        <w:tc>
          <w:tcPr>
            <w:tcW w:w="27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33,091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23,350</w:t>
            </w:r>
          </w:p>
        </w:tc>
      </w:tr>
    </w:tbl>
    <w:p>
      <w:pPr>
        <w:spacing w:after="0" w:line="200" w:lineRule="exact"/>
        <w:rPr>
          <w:sz w:val="20"/>
          <w:szCs w:val="20"/>
          <w:color w:val="auto"/>
        </w:rPr>
      </w:pPr>
    </w:p>
    <w:p>
      <w:pPr>
        <w:sectPr>
          <w:pgSz w:w="11900" w:h="16838" w:orient="portrait"/>
          <w:cols w:equalWidth="0" w:num="1">
            <w:col w:w="10139"/>
          </w:cols>
          <w:pgMar w:left="320" w:top="553" w:right="1440" w:bottom="1440" w:gutter="0" w:footer="0" w:header="0"/>
        </w:sect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553" w:right="1440"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non-GAAP reconciliations of Adjusted Consolidated Revenue, Adjusted Consolidated Operating Expenses, Adjusted Consolidated Income from Operations, Consolidated Gross Profit, Consolidated Gross Profit Margin, Adjusted Consumer Payments Revenue, Adjusted Consumer Payments Operating Expenses, and Adjusted Consumer Payments Income from Operations to the most directly comparable financial measures calculated and presented in accordance with GAAP, are shown in the following two tables:</w:t>
      </w: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shd w:val="clear" w:color="auto" w:fill="CCEEFF"/>
          </w:tcPr>
          <w:p>
            <w:pPr>
              <w:spacing w:after="0"/>
              <w:rPr>
                <w:sz w:val="22"/>
                <w:szCs w:val="22"/>
                <w:color w:val="auto"/>
              </w:rPr>
            </w:pPr>
          </w:p>
        </w:tc>
        <w:tc>
          <w:tcPr>
            <w:tcW w:w="2920" w:type="dxa"/>
            <w:vAlign w:val="bottom"/>
            <w:tcBorders>
              <w:bottom w:val="single" w:sz="8" w:color="auto"/>
            </w:tcBorders>
            <w:gridSpan w:val="4"/>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7"/>
              </w:rPr>
              <w:t>Quarter ended December 31,</w:t>
            </w:r>
          </w:p>
        </w:tc>
      </w:tr>
      <w:tr>
        <w:trPr>
          <w:trHeight w:val="243"/>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i w:val="1"/>
                <w:iCs w:val="1"/>
                <w:color w:val="auto"/>
              </w:rPr>
              <w:t>Restated</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36"/>
        </w:trPr>
        <w:tc>
          <w:tcPr>
            <w:tcW w:w="7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98,183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88,718</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(6,813)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revenue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96,643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81,905</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operating expenses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97,126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86,044</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(3,813)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Non-recurring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(2,089)</w:t>
            </w:r>
          </w:p>
        </w:tc>
      </w:tr>
      <w:tr>
        <w:trPr>
          <w:trHeight w:val="29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operating expenses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91,399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80,142</w:t>
            </w:r>
          </w:p>
        </w:tc>
      </w:tr>
      <w:tr>
        <w:trPr>
          <w:trHeight w:val="311"/>
        </w:trPr>
        <w:tc>
          <w:tcPr>
            <w:tcW w:w="7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from operations (GAAP)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2,674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Gross profit from certain subscription-billing-e-commerce merchants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Add: Non-recurring expenses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2,089</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1,763</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 (non-GAAP)</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Consolidated 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98,183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88,718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Consolidated costs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(66,742)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(61,411)</w:t>
            </w:r>
          </w:p>
        </w:tc>
      </w:tr>
      <w:tr>
        <w:trPr>
          <w:trHeight w:val="29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Consolidated gross profit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31,441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27,307</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 margin (non-GAAP)</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r>
      <w:tr>
        <w:trPr>
          <w:trHeight w:val="324"/>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revenue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87,394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81,027</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(6,813)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revenue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85,854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74,214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operating expenses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77,460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70,567</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(3,813)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operating expenses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76,663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66,754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income from operations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10,460</w:t>
            </w:r>
          </w:p>
        </w:tc>
      </w:tr>
      <w:tr>
        <w:trPr>
          <w:trHeight w:val="243"/>
        </w:trPr>
        <w:tc>
          <w:tcPr>
            <w:tcW w:w="7100" w:type="dxa"/>
            <w:vAlign w:val="bottom"/>
          </w:tcPr>
          <w:p>
            <w:pPr>
              <w:ind w:left="140"/>
              <w:spacing w:after="0"/>
              <w:rPr>
                <w:sz w:val="20"/>
                <w:szCs w:val="20"/>
                <w:color w:val="auto"/>
              </w:rPr>
            </w:pPr>
            <w:r>
              <w:rPr>
                <w:rFonts w:ascii="Arial" w:cs="Arial" w:eastAsia="Arial" w:hAnsi="Arial"/>
                <w:sz w:val="18"/>
                <w:szCs w:val="18"/>
                <w:color w:val="auto"/>
              </w:rPr>
              <w:t>Less: Gross profit from certain subscription-billing-e-commerce merchants</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(3,000)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income from operations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9,191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7,460</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553"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7"/>
              </w:rPr>
              <w:t>Year ended December 31,</w:t>
            </w:r>
          </w:p>
        </w:tc>
      </w:tr>
      <w:tr>
        <w:trPr>
          <w:trHeight w:val="243"/>
        </w:trPr>
        <w:tc>
          <w:tcPr>
            <w:tcW w:w="7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i w:val="1"/>
                <w:iCs w:val="1"/>
                <w:color w:val="auto"/>
              </w:rPr>
              <w:t>Restated</w:t>
            </w:r>
          </w:p>
        </w:tc>
      </w:tr>
      <w:tr>
        <w:trPr>
          <w:trHeight w:val="27"/>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7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371,854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375,822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(59,310)</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revenue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364,074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316,512</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operating expenses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364,670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359,429</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(38,003)</w:t>
            </w:r>
          </w:p>
        </w:tc>
      </w:tr>
      <w:tr>
        <w:trPr>
          <w:trHeight w:val="27"/>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Non-recurring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(12,371)</w:t>
            </w:r>
          </w:p>
        </w:tc>
      </w:tr>
      <w:tr>
        <w:trPr>
          <w:trHeight w:val="29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operating expenses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351,503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309,055</w:t>
            </w:r>
          </w:p>
        </w:tc>
      </w:tr>
      <w:tr>
        <w:trPr>
          <w:trHeight w:val="311"/>
        </w:trPr>
        <w:tc>
          <w:tcPr>
            <w:tcW w:w="7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from operations (GAAP)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7,184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16,393</w:t>
            </w:r>
          </w:p>
        </w:tc>
      </w:tr>
      <w:tr>
        <w:trPr>
          <w:trHeight w:val="27"/>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Gross profit from certain subscription-billing-e-commerce merchants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(21,307)</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Add: Non-recurring expenses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12,371</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12,570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7,457</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 (non-GAAP)</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Consolidated 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371,854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375,822</w:t>
            </w:r>
          </w:p>
        </w:tc>
      </w:tr>
      <w:tr>
        <w:trPr>
          <w:trHeight w:val="27"/>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Consolidated costs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(252,569)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(269,284)</w:t>
            </w:r>
          </w:p>
        </w:tc>
      </w:tr>
      <w:tr>
        <w:trPr>
          <w:trHeight w:val="29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Consolidated gross profit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119,285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106,538</w:t>
            </w: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 margin (non-GAAP)</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r>
      <w:tr>
        <w:trPr>
          <w:trHeight w:val="324"/>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revenue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330,599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347,013</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(59,310)</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revenue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322,819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287,703</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operating expenses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298,362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300,011</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(38,003)</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operating expenses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294,081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262,008</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 income from operations (GAAP)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47,002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Less: Gross profit from certain subscription-billing-e-commerce merchants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(21,307)</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income from operations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28,737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25,695</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20"/>
          </w:cols>
          <w:pgMar w:left="880" w:top="55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120"/>
          </w:cols>
          <w:pgMar w:left="880" w:top="553" w:right="89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non-GAAP reconciliations of EBITDA, Adjusted EBITDA and Consolidated Adjusted EBITDA to net loss, the most directly comparable financial measure calculated and presented in accordance with GAAP, are shown in the following two tables:</w:t>
      </w:r>
    </w:p>
    <w:p>
      <w:pPr>
        <w:spacing w:after="0" w:line="320" w:lineRule="exact"/>
        <w:rPr>
          <w:sz w:val="20"/>
          <w:szCs w:val="20"/>
          <w:color w:val="auto"/>
        </w:rPr>
      </w:pPr>
    </w:p>
    <w:tbl>
      <w:tblPr>
        <w:tblLayout w:type="fixed"/>
        <w:tblInd w:w="480" w:type="dxa"/>
        <w:tblCellMar>
          <w:top w:w="0" w:type="dxa"/>
          <w:left w:w="0" w:type="dxa"/>
          <w:bottom w:w="0" w:type="dxa"/>
          <w:right w:w="0" w:type="dxa"/>
        </w:tblCellMar>
      </w:tblP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98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December 31,</w:t>
            </w:r>
          </w:p>
        </w:tc>
      </w:tr>
      <w:tr>
        <w:trPr>
          <w:trHeight w:val="243"/>
        </w:trPr>
        <w:tc>
          <w:tcPr>
            <w:tcW w:w="7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i w:val="1"/>
                <w:iCs w:val="1"/>
                <w:color w:val="auto"/>
              </w:rPr>
              <w:t>Restated</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63"/>
        </w:trPr>
        <w:tc>
          <w:tcPr>
            <w:tcW w:w="7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w:t>
            </w: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Add: Interest expense (1)</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8,042</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Add: Income tax benefit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 (non-GAAP)</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8,059</w:t>
            </w: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Further adjusted by:</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Non-cash equity-based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Add: Debt modification costs and warrant fair value changes</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1,261</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Changes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Add: Non-recurring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Certain legal services (2)</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accounting and consulting fees (3)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YapStone transition services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11,995</w:t>
            </w:r>
          </w:p>
        </w:tc>
      </w:tr>
      <w:tr>
        <w:trPr>
          <w:trHeight w:val="243"/>
        </w:trPr>
        <w:tc>
          <w:tcPr>
            <w:tcW w:w="7300" w:type="dxa"/>
            <w:vAlign w:val="bottom"/>
          </w:tcPr>
          <w:p>
            <w:pPr>
              <w:ind w:left="160"/>
              <w:spacing w:after="0"/>
              <w:rPr>
                <w:sz w:val="20"/>
                <w:szCs w:val="20"/>
                <w:color w:val="auto"/>
              </w:rPr>
            </w:pPr>
            <w:r>
              <w:rPr>
                <w:rFonts w:ascii="Arial" w:cs="Arial" w:eastAsia="Arial" w:hAnsi="Arial"/>
                <w:sz w:val="18"/>
                <w:szCs w:val="18"/>
                <w:color w:val="auto"/>
              </w:rPr>
              <w:t>Further adjusted by:</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impacts for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Add: Contracted revenue and savings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Adjusted EBITDA (non-GAAP) (4)</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13,691</w:t>
            </w: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769" w:right="3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r>
      <w:tr>
        <w:trPr>
          <w:trHeight w:val="243"/>
        </w:trPr>
        <w:tc>
          <w:tcPr>
            <w:tcW w:w="7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i w:val="1"/>
                <w:iCs w:val="1"/>
                <w:color w:val="auto"/>
              </w:rPr>
              <w:t>Restated</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63"/>
        </w:trPr>
        <w:tc>
          <w:tcPr>
            <w:tcW w:w="77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(17,836)</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Add: Interest expense (1)</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29,935</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Add: Income tax expense (benefit)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(non-GAAP)</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29,349</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Non-cash 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Add: Debt modification costs and warrant fair value changes</w:t>
            </w: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6,042</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Changes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Add: Non-recurring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(recoveries) costs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Certain legal services (2)</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4,900</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accounting and consulting fees (3)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YapStone transition services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49,411</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impacts for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Add: Contracted revenue and savings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Adjusted EBITDA (non-GAAP) (4)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72,087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69,147</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includes amortization of debt issuance costs and discount.</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Primarily transaction-related, capital markets and accounting advisory services.</w:t>
      </w:r>
    </w:p>
    <w:p>
      <w:pPr>
        <w:spacing w:after="0" w:line="9" w:lineRule="exact"/>
        <w:rPr>
          <w:rFonts w:ascii="Arial" w:cs="Arial" w:eastAsia="Arial" w:hAnsi="Arial"/>
          <w:sz w:val="18"/>
          <w:szCs w:val="18"/>
          <w:color w:val="auto"/>
        </w:rPr>
      </w:pPr>
    </w:p>
    <w:p>
      <w:pPr>
        <w:jc w:val="both"/>
        <w:ind w:left="980" w:hanging="648"/>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Presented to reflect the definition in the Company's credit agreements, as amended. The Consolidated Adjusted EBITDA of the Borrowers under the credit agreements excluded expenses of Priority Technology Holdings, Inc., which is neither a Borrower nor a guarantor under the credit agreements, subsequent to the Business Combination until December 31, 2019. Effective December 31, 2019, in accordance with the Sixth Amendment to the Company's Credit and Guaranty Agreement, the Consolidated Adjusted EBITDA of the Borrowers under the credit agreements includes expenses of Priority Technology Holdings, Inc. Consolidated Adjusted EBITDA of the Borrowers was approximately$72.1 million and $75.0 million for the years ended December 31, 2019 and 2018, respectively. The 2018 amount excludes $5.8 million of expenses of Priority Technology Holdings, Inc.</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2020-03-31T05:32:38Z</dcterms:created>
  <dcterms:modified xsi:type="dcterms:W3CDTF">2020-03-31T05:32:38Z</dcterms:modified>
</cp:coreProperties>
</file>