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6995160" cy="4472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472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Ram Ranjana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 w:right="100"/>
        <w:spacing w:after="0" w:line="3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PRIORITY TECHNOLOGY HOLDINGS, INC. 2001 WESTSIDE PARKWAY, SUITE 155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Head of M&amp;A Strategic Initiati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04/19/2021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164,353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04/19/2021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250,000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253,357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-1653540</wp:posOffset>
            </wp:positionV>
            <wp:extent cx="28575" cy="1658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58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/>
        <w:spacing w:after="0" w:line="244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19,2021, the Reporting Person was granted 250,000 restricted stock units. 250,000 vest subject to the Reporting Person's continued service as an employee of the Issuer as follows: 83,333 on April 19, 2022; 83,333 on April 19, 2023; and 83,334 on April 19, 2024.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/s/ Ranjana Ram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04/21/2021</w:t>
            </w: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8071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2021-04-21T18:44:11Z</dcterms:created>
  <dcterms:modified xsi:type="dcterms:W3CDTF">2021-04-21T18:44:11Z</dcterms:modified>
</cp:coreProperties>
</file>