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color w:val="auto"/>
        </w:rPr>
        <w:t>Confidentially submitted to the Securities and Exchange Commission on October 9, 2015</w:t>
      </w:r>
    </w:p>
    <w:p>
      <w:pPr>
        <w:spacing w:after="0" w:line="220" w:lineRule="exact"/>
        <w:rPr>
          <w:sz w:val="24"/>
          <w:szCs w:val="24"/>
          <w:color w:val="auto"/>
        </w:rPr>
      </w:pPr>
    </w:p>
    <w:p>
      <w:pPr>
        <w:ind w:right="460"/>
        <w:spacing w:after="0" w:line="267" w:lineRule="auto"/>
        <w:rPr>
          <w:sz w:val="20"/>
          <w:szCs w:val="20"/>
          <w:color w:val="auto"/>
        </w:rPr>
      </w:pPr>
      <w:r>
        <w:rPr>
          <w:rFonts w:ascii="Arial" w:cs="Arial" w:eastAsia="Arial" w:hAnsi="Arial"/>
          <w:sz w:val="18"/>
          <w:szCs w:val="18"/>
          <w:color w:val="auto"/>
        </w:rPr>
        <w:t>This draft registration statement has not been publicly filed with the U.S. Securities and Exchange Commission and all information herein remains strictly confidential.</w:t>
      </w:r>
    </w:p>
    <w:p>
      <w:pPr>
        <w:spacing w:after="0" w:line="180" w:lineRule="exact"/>
        <w:rPr>
          <w:sz w:val="24"/>
          <w:szCs w:val="24"/>
          <w:color w:val="auto"/>
        </w:rPr>
      </w:pPr>
    </w:p>
    <w:p>
      <w:pPr>
        <w:ind w:left="9260"/>
        <w:spacing w:after="0"/>
        <w:rPr>
          <w:sz w:val="20"/>
          <w:szCs w:val="20"/>
          <w:color w:val="auto"/>
        </w:rPr>
      </w:pPr>
      <w:r>
        <w:rPr>
          <w:rFonts w:ascii="Arial" w:cs="Arial" w:eastAsia="Arial" w:hAnsi="Arial"/>
          <w:sz w:val="16"/>
          <w:szCs w:val="16"/>
          <w:color w:val="auto"/>
        </w:rPr>
        <w:t>Registration No. 333-_______</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2889885</wp:posOffset>
            </wp:positionH>
            <wp:positionV relativeFrom="paragraph">
              <wp:posOffset>133985</wp:posOffset>
            </wp:positionV>
            <wp:extent cx="147764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7645" cy="2984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S-1</w:t>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REGISTRATION STATEMENT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2889885</wp:posOffset>
            </wp:positionH>
            <wp:positionV relativeFrom="paragraph">
              <wp:posOffset>133985</wp:posOffset>
            </wp:positionV>
            <wp:extent cx="147764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7645" cy="3810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 I Acquisitions,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2889885</wp:posOffset>
            </wp:positionH>
            <wp:positionV relativeFrom="paragraph">
              <wp:posOffset>151765</wp:posOffset>
            </wp:positionV>
            <wp:extent cx="147764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7645" cy="2984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tbl>
      <w:tblPr>
        <w:tblLayout w:type="fixed"/>
        <w:tblInd w:w="720" w:type="dxa"/>
        <w:tblCellMar>
          <w:top w:w="0" w:type="dxa"/>
          <w:left w:w="0" w:type="dxa"/>
          <w:bottom w:w="0" w:type="dxa"/>
          <w:right w:w="0" w:type="dxa"/>
        </w:tblCellMar>
      </w:tblPr>
      <w:tr>
        <w:trPr>
          <w:trHeight w:val="213"/>
        </w:trPr>
        <w:tc>
          <w:tcPr>
            <w:tcW w:w="3040" w:type="dxa"/>
            <w:vAlign w:val="bottom"/>
          </w:tcPr>
          <w:p>
            <w:pPr>
              <w:jc w:val="center"/>
              <w:ind w:right="791"/>
              <w:spacing w:after="0"/>
              <w:rPr>
                <w:sz w:val="20"/>
                <w:szCs w:val="20"/>
                <w:color w:val="auto"/>
              </w:rPr>
            </w:pPr>
            <w:r>
              <w:rPr>
                <w:rFonts w:ascii="Arial" w:cs="Arial" w:eastAsia="Arial" w:hAnsi="Arial"/>
                <w:sz w:val="18"/>
                <w:szCs w:val="18"/>
                <w:color w:val="auto"/>
                <w:w w:val="89"/>
              </w:rPr>
              <w:t>Delaware</w:t>
            </w:r>
          </w:p>
        </w:tc>
        <w:tc>
          <w:tcPr>
            <w:tcW w:w="4020" w:type="dxa"/>
            <w:vAlign w:val="bottom"/>
          </w:tcPr>
          <w:p>
            <w:pPr>
              <w:jc w:val="center"/>
              <w:ind w:right="51"/>
              <w:spacing w:after="0"/>
              <w:rPr>
                <w:sz w:val="20"/>
                <w:szCs w:val="20"/>
                <w:color w:val="auto"/>
              </w:rPr>
            </w:pPr>
            <w:r>
              <w:rPr>
                <w:rFonts w:ascii="Arial" w:cs="Arial" w:eastAsia="Arial" w:hAnsi="Arial"/>
                <w:sz w:val="18"/>
                <w:szCs w:val="18"/>
                <w:color w:val="auto"/>
                <w:w w:val="89"/>
              </w:rPr>
              <w:t>6770</w:t>
            </w:r>
          </w:p>
        </w:tc>
        <w:tc>
          <w:tcPr>
            <w:tcW w:w="2660" w:type="dxa"/>
            <w:vAlign w:val="bottom"/>
          </w:tcPr>
          <w:p>
            <w:pPr>
              <w:jc w:val="center"/>
              <w:ind w:left="951"/>
              <w:spacing w:after="0"/>
              <w:rPr>
                <w:sz w:val="20"/>
                <w:szCs w:val="20"/>
                <w:color w:val="auto"/>
              </w:rPr>
            </w:pPr>
            <w:r>
              <w:rPr>
                <w:rFonts w:ascii="Arial" w:cs="Arial" w:eastAsia="Arial" w:hAnsi="Arial"/>
                <w:sz w:val="18"/>
                <w:szCs w:val="18"/>
                <w:color w:val="auto"/>
                <w:w w:val="89"/>
              </w:rPr>
              <w:t>47-4257046</w:t>
            </w:r>
          </w:p>
        </w:tc>
      </w:tr>
      <w:tr>
        <w:trPr>
          <w:trHeight w:val="213"/>
        </w:trPr>
        <w:tc>
          <w:tcPr>
            <w:tcW w:w="3040" w:type="dxa"/>
            <w:vAlign w:val="bottom"/>
          </w:tcPr>
          <w:p>
            <w:pPr>
              <w:jc w:val="center"/>
              <w:ind w:right="811"/>
              <w:spacing w:after="0"/>
              <w:rPr>
                <w:sz w:val="20"/>
                <w:szCs w:val="20"/>
                <w:color w:val="auto"/>
              </w:rPr>
            </w:pPr>
            <w:r>
              <w:rPr>
                <w:rFonts w:ascii="Arial" w:cs="Arial" w:eastAsia="Arial" w:hAnsi="Arial"/>
                <w:sz w:val="18"/>
                <w:szCs w:val="18"/>
                <w:color w:val="auto"/>
                <w:w w:val="91"/>
              </w:rPr>
              <w:t>(State or other jurisdiction of</w:t>
            </w:r>
          </w:p>
        </w:tc>
        <w:tc>
          <w:tcPr>
            <w:tcW w:w="4020" w:type="dxa"/>
            <w:vAlign w:val="bottom"/>
          </w:tcPr>
          <w:p>
            <w:pPr>
              <w:jc w:val="center"/>
              <w:ind w:right="51"/>
              <w:spacing w:after="0"/>
              <w:rPr>
                <w:sz w:val="20"/>
                <w:szCs w:val="20"/>
                <w:color w:val="auto"/>
              </w:rPr>
            </w:pPr>
            <w:r>
              <w:rPr>
                <w:rFonts w:ascii="Arial" w:cs="Arial" w:eastAsia="Arial" w:hAnsi="Arial"/>
                <w:sz w:val="18"/>
                <w:szCs w:val="18"/>
                <w:color w:val="auto"/>
                <w:w w:val="91"/>
              </w:rPr>
              <w:t>(Primary Standard Industrial</w:t>
            </w:r>
          </w:p>
        </w:tc>
        <w:tc>
          <w:tcPr>
            <w:tcW w:w="2660" w:type="dxa"/>
            <w:vAlign w:val="bottom"/>
          </w:tcPr>
          <w:p>
            <w:pPr>
              <w:jc w:val="center"/>
              <w:ind w:left="931"/>
              <w:spacing w:after="0"/>
              <w:rPr>
                <w:sz w:val="20"/>
                <w:szCs w:val="20"/>
                <w:color w:val="auto"/>
              </w:rPr>
            </w:pPr>
            <w:r>
              <w:rPr>
                <w:rFonts w:ascii="Arial" w:cs="Arial" w:eastAsia="Arial" w:hAnsi="Arial"/>
                <w:sz w:val="18"/>
                <w:szCs w:val="18"/>
                <w:color w:val="auto"/>
                <w:w w:val="90"/>
              </w:rPr>
              <w:t>(I.R.S. Employer</w:t>
            </w:r>
          </w:p>
        </w:tc>
      </w:tr>
      <w:tr>
        <w:trPr>
          <w:trHeight w:val="224"/>
        </w:trPr>
        <w:tc>
          <w:tcPr>
            <w:tcW w:w="3040" w:type="dxa"/>
            <w:vAlign w:val="bottom"/>
          </w:tcPr>
          <w:p>
            <w:pPr>
              <w:jc w:val="center"/>
              <w:ind w:right="811"/>
              <w:spacing w:after="0"/>
              <w:rPr>
                <w:sz w:val="20"/>
                <w:szCs w:val="20"/>
                <w:color w:val="auto"/>
              </w:rPr>
            </w:pPr>
            <w:r>
              <w:rPr>
                <w:rFonts w:ascii="Arial" w:cs="Arial" w:eastAsia="Arial" w:hAnsi="Arial"/>
                <w:sz w:val="18"/>
                <w:szCs w:val="18"/>
                <w:color w:val="auto"/>
                <w:w w:val="91"/>
              </w:rPr>
              <w:t>incorporation or organization)</w:t>
            </w:r>
          </w:p>
        </w:tc>
        <w:tc>
          <w:tcPr>
            <w:tcW w:w="4020" w:type="dxa"/>
            <w:vAlign w:val="bottom"/>
          </w:tcPr>
          <w:p>
            <w:pPr>
              <w:jc w:val="center"/>
              <w:ind w:right="51"/>
              <w:spacing w:after="0"/>
              <w:rPr>
                <w:sz w:val="20"/>
                <w:szCs w:val="20"/>
                <w:color w:val="auto"/>
              </w:rPr>
            </w:pPr>
            <w:r>
              <w:rPr>
                <w:rFonts w:ascii="Arial" w:cs="Arial" w:eastAsia="Arial" w:hAnsi="Arial"/>
                <w:sz w:val="18"/>
                <w:szCs w:val="18"/>
                <w:color w:val="auto"/>
                <w:w w:val="90"/>
              </w:rPr>
              <w:t>Classification Code Number)</w:t>
            </w:r>
          </w:p>
        </w:tc>
        <w:tc>
          <w:tcPr>
            <w:tcW w:w="2660" w:type="dxa"/>
            <w:vAlign w:val="bottom"/>
          </w:tcPr>
          <w:p>
            <w:pPr>
              <w:jc w:val="center"/>
              <w:ind w:left="931"/>
              <w:spacing w:after="0"/>
              <w:rPr>
                <w:sz w:val="20"/>
                <w:szCs w:val="20"/>
                <w:color w:val="auto"/>
              </w:rPr>
            </w:pPr>
            <w:r>
              <w:rPr>
                <w:rFonts w:ascii="Arial" w:cs="Arial" w:eastAsia="Arial" w:hAnsi="Arial"/>
                <w:sz w:val="18"/>
                <w:szCs w:val="18"/>
                <w:color w:val="auto"/>
                <w:w w:val="93"/>
              </w:rPr>
              <w:t>Identification Number)</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c/o Magna Management LLC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5 Hanover Square</w:t>
      </w:r>
    </w:p>
    <w:p>
      <w:pPr>
        <w:ind w:left="4760"/>
        <w:spacing w:after="0" w:line="238" w:lineRule="auto"/>
        <w:rPr>
          <w:sz w:val="20"/>
          <w:szCs w:val="20"/>
          <w:color w:val="auto"/>
        </w:rPr>
      </w:pPr>
      <w:r>
        <w:rPr>
          <w:rFonts w:ascii="Arial" w:cs="Arial" w:eastAsia="Arial" w:hAnsi="Arial"/>
          <w:sz w:val="21"/>
          <w:szCs w:val="21"/>
          <w:b w:val="1"/>
          <w:bCs w:val="1"/>
          <w:color w:val="auto"/>
        </w:rPr>
        <w:t>New York, NY 10004</w:t>
      </w:r>
    </w:p>
    <w:p>
      <w:pPr>
        <w:spacing w:after="0" w:line="1" w:lineRule="exact"/>
        <w:rPr>
          <w:sz w:val="24"/>
          <w:szCs w:val="24"/>
          <w:color w:val="auto"/>
        </w:rPr>
      </w:pPr>
    </w:p>
    <w:p>
      <w:pPr>
        <w:ind w:left="5020"/>
        <w:spacing w:after="0"/>
        <w:rPr>
          <w:sz w:val="20"/>
          <w:szCs w:val="20"/>
          <w:color w:val="auto"/>
        </w:rPr>
      </w:pPr>
      <w:r>
        <w:rPr>
          <w:rFonts w:ascii="Arial" w:cs="Arial" w:eastAsia="Arial" w:hAnsi="Arial"/>
          <w:sz w:val="21"/>
          <w:szCs w:val="21"/>
          <w:b w:val="1"/>
          <w:bCs w:val="1"/>
          <w:color w:val="auto"/>
        </w:rPr>
        <w:t>(347) 491-4240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2889885</wp:posOffset>
            </wp:positionH>
            <wp:positionV relativeFrom="paragraph">
              <wp:posOffset>138430</wp:posOffset>
            </wp:positionV>
            <wp:extent cx="147764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7645" cy="29845"/>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Joshua Sason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c/o Magna Management LLC</w:t>
      </w:r>
    </w:p>
    <w:p>
      <w:pPr>
        <w:jc w:val="center"/>
        <w:spacing w:after="0" w:line="238" w:lineRule="auto"/>
        <w:rPr>
          <w:sz w:val="20"/>
          <w:szCs w:val="20"/>
          <w:color w:val="auto"/>
        </w:rPr>
      </w:pPr>
      <w:r>
        <w:rPr>
          <w:rFonts w:ascii="Arial" w:cs="Arial" w:eastAsia="Arial" w:hAnsi="Arial"/>
          <w:sz w:val="21"/>
          <w:szCs w:val="21"/>
          <w:b w:val="1"/>
          <w:bCs w:val="1"/>
          <w:color w:val="auto"/>
        </w:rPr>
        <w:t>5 Hanover Square</w:t>
      </w:r>
    </w:p>
    <w:p>
      <w:pPr>
        <w:ind w:left="4760"/>
        <w:spacing w:after="0"/>
        <w:rPr>
          <w:sz w:val="20"/>
          <w:szCs w:val="20"/>
          <w:color w:val="auto"/>
        </w:rPr>
      </w:pPr>
      <w:r>
        <w:rPr>
          <w:rFonts w:ascii="Arial" w:cs="Arial" w:eastAsia="Arial" w:hAnsi="Arial"/>
          <w:sz w:val="21"/>
          <w:szCs w:val="21"/>
          <w:b w:val="1"/>
          <w:bCs w:val="1"/>
          <w:color w:val="auto"/>
        </w:rPr>
        <w:t>New York, NY 10004</w:t>
      </w:r>
    </w:p>
    <w:p>
      <w:pPr>
        <w:ind w:left="5020"/>
        <w:spacing w:after="0"/>
        <w:rPr>
          <w:sz w:val="20"/>
          <w:szCs w:val="20"/>
          <w:color w:val="auto"/>
        </w:rPr>
      </w:pPr>
      <w:r>
        <w:rPr>
          <w:rFonts w:ascii="Arial" w:cs="Arial" w:eastAsia="Arial" w:hAnsi="Arial"/>
          <w:sz w:val="21"/>
          <w:szCs w:val="21"/>
          <w:b w:val="1"/>
          <w:bCs w:val="1"/>
          <w:color w:val="auto"/>
        </w:rPr>
        <w:t>(347) 491-4240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2889885</wp:posOffset>
            </wp:positionH>
            <wp:positionV relativeFrom="paragraph">
              <wp:posOffset>138430</wp:posOffset>
            </wp:positionV>
            <wp:extent cx="147764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7645" cy="3810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tbl>
      <w:tblPr>
        <w:tblLayout w:type="fixed"/>
        <w:tblInd w:w="1840" w:type="dxa"/>
        <w:tblCellMar>
          <w:top w:w="0" w:type="dxa"/>
          <w:left w:w="0" w:type="dxa"/>
          <w:bottom w:w="0" w:type="dxa"/>
          <w:right w:w="0" w:type="dxa"/>
        </w:tblCellMar>
      </w:tblPr>
      <w:tr>
        <w:trPr>
          <w:trHeight w:val="224"/>
        </w:trPr>
        <w:tc>
          <w:tcPr>
            <w:tcW w:w="2720" w:type="dxa"/>
            <w:vAlign w:val="bottom"/>
          </w:tcPr>
          <w:p>
            <w:pPr>
              <w:spacing w:after="0"/>
              <w:rPr>
                <w:sz w:val="19"/>
                <w:szCs w:val="19"/>
                <w:color w:val="auto"/>
              </w:rPr>
            </w:pPr>
          </w:p>
        </w:tc>
        <w:tc>
          <w:tcPr>
            <w:tcW w:w="5100" w:type="dxa"/>
            <w:vAlign w:val="bottom"/>
            <w:gridSpan w:val="2"/>
          </w:tcPr>
          <w:p>
            <w:pPr>
              <w:ind w:left="800"/>
              <w:spacing w:after="0"/>
              <w:rPr>
                <w:sz w:val="20"/>
                <w:szCs w:val="20"/>
                <w:color w:val="auto"/>
              </w:rPr>
            </w:pPr>
            <w:r>
              <w:rPr>
                <w:rFonts w:ascii="Arial" w:cs="Arial" w:eastAsia="Arial" w:hAnsi="Arial"/>
                <w:sz w:val="18"/>
                <w:szCs w:val="18"/>
                <w:color w:val="auto"/>
              </w:rPr>
              <w:t>Copies to:</w:t>
            </w:r>
          </w:p>
        </w:tc>
      </w:tr>
      <w:tr>
        <w:trPr>
          <w:trHeight w:val="416"/>
        </w:trPr>
        <w:tc>
          <w:tcPr>
            <w:tcW w:w="2720" w:type="dxa"/>
            <w:vAlign w:val="bottom"/>
          </w:tcPr>
          <w:p>
            <w:pPr>
              <w:jc w:val="center"/>
              <w:ind w:right="571"/>
              <w:spacing w:after="0"/>
              <w:rPr>
                <w:sz w:val="20"/>
                <w:szCs w:val="20"/>
                <w:color w:val="auto"/>
              </w:rPr>
            </w:pPr>
            <w:r>
              <w:rPr>
                <w:rFonts w:ascii="Arial" w:cs="Arial" w:eastAsia="Arial" w:hAnsi="Arial"/>
                <w:sz w:val="18"/>
                <w:szCs w:val="18"/>
                <w:color w:val="auto"/>
                <w:w w:val="90"/>
              </w:rPr>
              <w:t>Mitchell S. Nussbaum</w:t>
            </w:r>
          </w:p>
        </w:tc>
        <w:tc>
          <w:tcPr>
            <w:tcW w:w="2320" w:type="dxa"/>
            <w:vAlign w:val="bottom"/>
          </w:tcPr>
          <w:p>
            <w:pPr>
              <w:spacing w:after="0"/>
              <w:rPr>
                <w:sz w:val="24"/>
                <w:szCs w:val="24"/>
                <w:color w:val="auto"/>
              </w:rPr>
            </w:pPr>
          </w:p>
        </w:tc>
        <w:tc>
          <w:tcPr>
            <w:tcW w:w="2780" w:type="dxa"/>
            <w:vAlign w:val="bottom"/>
          </w:tcPr>
          <w:p>
            <w:pPr>
              <w:jc w:val="center"/>
              <w:ind w:left="631"/>
              <w:spacing w:after="0"/>
              <w:rPr>
                <w:sz w:val="20"/>
                <w:szCs w:val="20"/>
                <w:color w:val="auto"/>
              </w:rPr>
            </w:pPr>
            <w:r>
              <w:rPr>
                <w:rFonts w:ascii="Arial" w:cs="Arial" w:eastAsia="Arial" w:hAnsi="Arial"/>
                <w:sz w:val="18"/>
                <w:szCs w:val="18"/>
                <w:color w:val="auto"/>
                <w:w w:val="90"/>
              </w:rPr>
              <w:t>Robert H. Cohen</w:t>
            </w:r>
          </w:p>
        </w:tc>
      </w:tr>
      <w:tr>
        <w:trPr>
          <w:trHeight w:val="213"/>
        </w:trPr>
        <w:tc>
          <w:tcPr>
            <w:tcW w:w="2720" w:type="dxa"/>
            <w:vAlign w:val="bottom"/>
          </w:tcPr>
          <w:p>
            <w:pPr>
              <w:jc w:val="center"/>
              <w:ind w:right="571"/>
              <w:spacing w:after="0"/>
              <w:rPr>
                <w:sz w:val="20"/>
                <w:szCs w:val="20"/>
                <w:color w:val="auto"/>
              </w:rPr>
            </w:pPr>
            <w:r>
              <w:rPr>
                <w:rFonts w:ascii="Arial" w:cs="Arial" w:eastAsia="Arial" w:hAnsi="Arial"/>
                <w:sz w:val="18"/>
                <w:szCs w:val="18"/>
                <w:color w:val="auto"/>
                <w:w w:val="90"/>
              </w:rPr>
              <w:t>Giovanni Caruso</w:t>
            </w:r>
          </w:p>
        </w:tc>
        <w:tc>
          <w:tcPr>
            <w:tcW w:w="2320" w:type="dxa"/>
            <w:vAlign w:val="bottom"/>
          </w:tcPr>
          <w:p>
            <w:pPr>
              <w:spacing w:after="0"/>
              <w:rPr>
                <w:sz w:val="18"/>
                <w:szCs w:val="18"/>
                <w:color w:val="auto"/>
              </w:rPr>
            </w:pPr>
          </w:p>
        </w:tc>
        <w:tc>
          <w:tcPr>
            <w:tcW w:w="2780" w:type="dxa"/>
            <w:vAlign w:val="bottom"/>
          </w:tcPr>
          <w:p>
            <w:pPr>
              <w:jc w:val="center"/>
              <w:ind w:left="611"/>
              <w:spacing w:after="0"/>
              <w:rPr>
                <w:sz w:val="20"/>
                <w:szCs w:val="20"/>
                <w:color w:val="auto"/>
              </w:rPr>
            </w:pPr>
            <w:r>
              <w:rPr>
                <w:rFonts w:ascii="Arial" w:cs="Arial" w:eastAsia="Arial" w:hAnsi="Arial"/>
                <w:sz w:val="18"/>
                <w:szCs w:val="18"/>
                <w:color w:val="auto"/>
                <w:w w:val="95"/>
              </w:rPr>
              <w:t>McDermott Will &amp; Emery</w:t>
            </w:r>
          </w:p>
        </w:tc>
      </w:tr>
      <w:tr>
        <w:trPr>
          <w:trHeight w:val="213"/>
        </w:trPr>
        <w:tc>
          <w:tcPr>
            <w:tcW w:w="2720" w:type="dxa"/>
            <w:vAlign w:val="bottom"/>
          </w:tcPr>
          <w:p>
            <w:pPr>
              <w:jc w:val="center"/>
              <w:ind w:right="591"/>
              <w:spacing w:after="0"/>
              <w:rPr>
                <w:sz w:val="20"/>
                <w:szCs w:val="20"/>
                <w:color w:val="auto"/>
              </w:rPr>
            </w:pPr>
            <w:r>
              <w:rPr>
                <w:rFonts w:ascii="Arial" w:cs="Arial" w:eastAsia="Arial" w:hAnsi="Arial"/>
                <w:sz w:val="18"/>
                <w:szCs w:val="18"/>
                <w:color w:val="auto"/>
                <w:w w:val="94"/>
              </w:rPr>
              <w:t>Loeb &amp; Loeb LLP</w:t>
            </w:r>
          </w:p>
        </w:tc>
        <w:tc>
          <w:tcPr>
            <w:tcW w:w="2320" w:type="dxa"/>
            <w:vAlign w:val="bottom"/>
          </w:tcPr>
          <w:p>
            <w:pPr>
              <w:spacing w:after="0"/>
              <w:rPr>
                <w:sz w:val="18"/>
                <w:szCs w:val="18"/>
                <w:color w:val="auto"/>
              </w:rPr>
            </w:pPr>
          </w:p>
        </w:tc>
        <w:tc>
          <w:tcPr>
            <w:tcW w:w="2780" w:type="dxa"/>
            <w:vAlign w:val="bottom"/>
          </w:tcPr>
          <w:p>
            <w:pPr>
              <w:jc w:val="center"/>
              <w:ind w:left="571"/>
              <w:spacing w:after="0"/>
              <w:rPr>
                <w:sz w:val="20"/>
                <w:szCs w:val="20"/>
                <w:color w:val="auto"/>
              </w:rPr>
            </w:pPr>
            <w:r>
              <w:rPr>
                <w:rFonts w:ascii="Arial" w:cs="Arial" w:eastAsia="Arial" w:hAnsi="Arial"/>
                <w:sz w:val="18"/>
                <w:szCs w:val="18"/>
                <w:color w:val="auto"/>
                <w:w w:val="89"/>
              </w:rPr>
              <w:t>340 Madison Avenue</w:t>
            </w:r>
          </w:p>
        </w:tc>
      </w:tr>
      <w:tr>
        <w:trPr>
          <w:trHeight w:val="213"/>
        </w:trPr>
        <w:tc>
          <w:tcPr>
            <w:tcW w:w="2720" w:type="dxa"/>
            <w:vAlign w:val="bottom"/>
          </w:tcPr>
          <w:p>
            <w:pPr>
              <w:jc w:val="center"/>
              <w:ind w:right="571"/>
              <w:spacing w:after="0"/>
              <w:rPr>
                <w:sz w:val="20"/>
                <w:szCs w:val="20"/>
                <w:color w:val="auto"/>
              </w:rPr>
            </w:pPr>
            <w:r>
              <w:rPr>
                <w:rFonts w:ascii="Arial" w:cs="Arial" w:eastAsia="Arial" w:hAnsi="Arial"/>
                <w:sz w:val="18"/>
                <w:szCs w:val="18"/>
                <w:color w:val="auto"/>
                <w:w w:val="88"/>
              </w:rPr>
              <w:t>35 Park Avenue</w:t>
            </w:r>
          </w:p>
        </w:tc>
        <w:tc>
          <w:tcPr>
            <w:tcW w:w="2320" w:type="dxa"/>
            <w:vAlign w:val="bottom"/>
          </w:tcPr>
          <w:p>
            <w:pPr>
              <w:spacing w:after="0"/>
              <w:rPr>
                <w:sz w:val="18"/>
                <w:szCs w:val="18"/>
                <w:color w:val="auto"/>
              </w:rPr>
            </w:pPr>
          </w:p>
        </w:tc>
        <w:tc>
          <w:tcPr>
            <w:tcW w:w="2780" w:type="dxa"/>
            <w:vAlign w:val="bottom"/>
          </w:tcPr>
          <w:p>
            <w:pPr>
              <w:jc w:val="center"/>
              <w:ind w:left="631"/>
              <w:spacing w:after="0"/>
              <w:rPr>
                <w:sz w:val="20"/>
                <w:szCs w:val="20"/>
                <w:color w:val="auto"/>
              </w:rPr>
            </w:pPr>
            <w:r>
              <w:rPr>
                <w:rFonts w:ascii="Arial" w:cs="Arial" w:eastAsia="Arial" w:hAnsi="Arial"/>
                <w:sz w:val="18"/>
                <w:szCs w:val="18"/>
                <w:color w:val="auto"/>
                <w:w w:val="92"/>
              </w:rPr>
              <w:t>New York , NY 10173-1922</w:t>
            </w:r>
          </w:p>
        </w:tc>
      </w:tr>
      <w:tr>
        <w:trPr>
          <w:trHeight w:val="213"/>
        </w:trPr>
        <w:tc>
          <w:tcPr>
            <w:tcW w:w="2720" w:type="dxa"/>
            <w:vAlign w:val="bottom"/>
          </w:tcPr>
          <w:p>
            <w:pPr>
              <w:jc w:val="center"/>
              <w:ind w:right="571"/>
              <w:spacing w:after="0"/>
              <w:rPr>
                <w:sz w:val="20"/>
                <w:szCs w:val="20"/>
                <w:color w:val="auto"/>
              </w:rPr>
            </w:pPr>
            <w:r>
              <w:rPr>
                <w:rFonts w:ascii="Arial" w:cs="Arial" w:eastAsia="Arial" w:hAnsi="Arial"/>
                <w:sz w:val="18"/>
                <w:szCs w:val="18"/>
                <w:color w:val="auto"/>
                <w:w w:val="91"/>
              </w:rPr>
              <w:t>New York, New York 10154</w:t>
            </w:r>
          </w:p>
        </w:tc>
        <w:tc>
          <w:tcPr>
            <w:tcW w:w="5100" w:type="dxa"/>
            <w:vAlign w:val="bottom"/>
            <w:gridSpan w:val="2"/>
          </w:tcPr>
          <w:p>
            <w:pPr>
              <w:jc w:val="center"/>
              <w:ind w:left="2951"/>
              <w:spacing w:after="0"/>
              <w:rPr>
                <w:sz w:val="20"/>
                <w:szCs w:val="20"/>
                <w:color w:val="auto"/>
              </w:rPr>
            </w:pPr>
            <w:r>
              <w:rPr>
                <w:rFonts w:ascii="Arial" w:cs="Arial" w:eastAsia="Arial" w:hAnsi="Arial"/>
                <w:sz w:val="18"/>
                <w:szCs w:val="18"/>
                <w:color w:val="auto"/>
                <w:w w:val="89"/>
              </w:rPr>
              <w:t>(212) 547-5885</w:t>
            </w:r>
          </w:p>
        </w:tc>
      </w:tr>
      <w:tr>
        <w:trPr>
          <w:trHeight w:val="213"/>
        </w:trPr>
        <w:tc>
          <w:tcPr>
            <w:tcW w:w="2720" w:type="dxa"/>
            <w:vAlign w:val="bottom"/>
          </w:tcPr>
          <w:p>
            <w:pPr>
              <w:jc w:val="center"/>
              <w:ind w:right="571"/>
              <w:spacing w:after="0"/>
              <w:rPr>
                <w:sz w:val="20"/>
                <w:szCs w:val="20"/>
                <w:color w:val="auto"/>
              </w:rPr>
            </w:pPr>
            <w:r>
              <w:rPr>
                <w:rFonts w:ascii="Arial" w:cs="Arial" w:eastAsia="Arial" w:hAnsi="Arial"/>
                <w:sz w:val="18"/>
                <w:szCs w:val="18"/>
                <w:color w:val="auto"/>
                <w:w w:val="89"/>
              </w:rPr>
              <w:t>(212) 407-4000</w:t>
            </w:r>
          </w:p>
        </w:tc>
        <w:tc>
          <w:tcPr>
            <w:tcW w:w="2320" w:type="dxa"/>
            <w:vAlign w:val="bottom"/>
          </w:tcPr>
          <w:p>
            <w:pPr>
              <w:spacing w:after="0"/>
              <w:rPr>
                <w:sz w:val="18"/>
                <w:szCs w:val="18"/>
                <w:color w:val="auto"/>
              </w:rPr>
            </w:pPr>
          </w:p>
        </w:tc>
        <w:tc>
          <w:tcPr>
            <w:tcW w:w="2780" w:type="dxa"/>
            <w:vAlign w:val="bottom"/>
          </w:tcPr>
          <w:p>
            <w:pPr>
              <w:jc w:val="center"/>
              <w:ind w:left="631"/>
              <w:spacing w:after="0"/>
              <w:rPr>
                <w:sz w:val="20"/>
                <w:szCs w:val="20"/>
                <w:color w:val="auto"/>
              </w:rPr>
            </w:pPr>
            <w:r>
              <w:rPr>
                <w:rFonts w:ascii="Arial" w:cs="Arial" w:eastAsia="Arial" w:hAnsi="Arial"/>
                <w:sz w:val="18"/>
                <w:szCs w:val="18"/>
                <w:color w:val="auto"/>
                <w:w w:val="90"/>
              </w:rPr>
              <w:t>(212) 547-5444 — Facsimile</w:t>
            </w:r>
          </w:p>
        </w:tc>
      </w:tr>
      <w:tr>
        <w:trPr>
          <w:trHeight w:val="224"/>
        </w:trPr>
        <w:tc>
          <w:tcPr>
            <w:tcW w:w="2720" w:type="dxa"/>
            <w:vAlign w:val="bottom"/>
          </w:tcPr>
          <w:p>
            <w:pPr>
              <w:jc w:val="center"/>
              <w:ind w:right="571"/>
              <w:spacing w:after="0"/>
              <w:rPr>
                <w:sz w:val="20"/>
                <w:szCs w:val="20"/>
                <w:color w:val="auto"/>
              </w:rPr>
            </w:pPr>
            <w:r>
              <w:rPr>
                <w:rFonts w:ascii="Arial" w:cs="Arial" w:eastAsia="Arial" w:hAnsi="Arial"/>
                <w:sz w:val="18"/>
                <w:szCs w:val="18"/>
                <w:color w:val="auto"/>
                <w:w w:val="90"/>
              </w:rPr>
              <w:t>(212) 407-4990 — Facsimile</w:t>
            </w:r>
          </w:p>
        </w:tc>
        <w:tc>
          <w:tcPr>
            <w:tcW w:w="232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225"/>
        </w:trPr>
        <w:tc>
          <w:tcPr>
            <w:tcW w:w="2720" w:type="dxa"/>
            <w:vAlign w:val="bottom"/>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c>
          <w:tcPr>
            <w:tcW w:w="278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4354195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4"/>
          <w:szCs w:val="24"/>
          <w:color w:val="auto"/>
        </w:rPr>
      </w:pPr>
    </w:p>
    <w:p>
      <w:pPr>
        <w:spacing w:after="0"/>
        <w:rPr>
          <w:sz w:val="20"/>
          <w:szCs w:val="20"/>
          <w:color w:val="auto"/>
        </w:rPr>
      </w:pPr>
      <w:r>
        <w:rPr>
          <w:rFonts w:ascii="Arial" w:cs="Arial" w:eastAsia="Arial" w:hAnsi="Arial"/>
          <w:sz w:val="17"/>
          <w:szCs w:val="17"/>
          <w:color w:val="auto"/>
        </w:rPr>
        <w:t>Approximate date of commencement of proposed sale to the public: As soon as practicable after the effective date of this registration statement.</w:t>
      </w:r>
    </w:p>
    <w:p>
      <w:pPr>
        <w:spacing w:after="0" w:line="231" w:lineRule="exact"/>
        <w:rPr>
          <w:sz w:val="24"/>
          <w:szCs w:val="24"/>
          <w:color w:val="auto"/>
        </w:rPr>
      </w:pPr>
    </w:p>
    <w:p>
      <w:pPr>
        <w:ind w:right="240"/>
        <w:spacing w:after="0" w:line="229"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100"/>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377825</wp:posOffset>
            </wp:positionV>
            <wp:extent cx="724852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 w:name="page2"/>
    <w:bookmarkEnd w:id="1"/>
    <w:p>
      <w:pPr>
        <w:ind w:right="840"/>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0"/>
          <w:szCs w:val="20"/>
          <w:color w:val="auto"/>
        </w:rPr>
      </w:pPr>
    </w:p>
    <w:p>
      <w:pPr>
        <w:ind w:right="840"/>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0"/>
          <w:szCs w:val="20"/>
          <w:color w:val="auto"/>
        </w:rPr>
      </w:pPr>
    </w:p>
    <w:p>
      <w:pPr>
        <w:ind w:right="280"/>
        <w:spacing w:after="0" w:line="33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576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gridSpan w:val="3"/>
          </w:tcPr>
          <w:p>
            <w:pPr>
              <w:jc w:val="right"/>
              <w:ind w:right="531"/>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76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80" w:type="dxa"/>
            <w:vAlign w:val="bottom"/>
            <w:gridSpan w:val="4"/>
          </w:tcPr>
          <w:p>
            <w:pPr>
              <w:jc w:val="right"/>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5760" w:type="dxa"/>
            <w:vAlign w:val="bottom"/>
            <w:gridSpan w:val="2"/>
          </w:tcPr>
          <w:p>
            <w:pPr>
              <w:spacing w:after="0"/>
              <w:rPr>
                <w:sz w:val="20"/>
                <w:szCs w:val="20"/>
                <w:color w:val="auto"/>
              </w:rPr>
            </w:pPr>
            <w:r>
              <w:rPr>
                <w:rFonts w:ascii="Arial" w:cs="Arial" w:eastAsia="Arial" w:hAnsi="Arial"/>
                <w:sz w:val="18"/>
                <w:szCs w:val="18"/>
                <w:color w:val="auto"/>
              </w:rPr>
              <w:t>(Do not check if a smaller reporting company)</w:t>
            </w: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8360" w:type="dxa"/>
            <w:vAlign w:val="bottom"/>
            <w:gridSpan w:val="4"/>
          </w:tcPr>
          <w:p>
            <w:pPr>
              <w:jc w:val="right"/>
              <w:ind w:right="871"/>
              <w:spacing w:after="0"/>
              <w:rPr>
                <w:sz w:val="20"/>
                <w:szCs w:val="20"/>
                <w:color w:val="auto"/>
              </w:rPr>
            </w:pPr>
            <w:r>
              <w:rPr>
                <w:rFonts w:ascii="Arial" w:cs="Arial" w:eastAsia="Arial" w:hAnsi="Arial"/>
                <w:sz w:val="18"/>
                <w:szCs w:val="18"/>
                <w:b w:val="1"/>
                <w:bCs w:val="1"/>
                <w:color w:val="auto"/>
              </w:rPr>
              <w:t>CALCULATION OF REGISTRATION FEE</w:t>
            </w: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center"/>
              <w:ind w:right="111"/>
              <w:spacing w:after="0"/>
              <w:rPr>
                <w:sz w:val="20"/>
                <w:szCs w:val="20"/>
                <w:color w:val="auto"/>
              </w:rPr>
            </w:pPr>
            <w:r>
              <w:rPr>
                <w:rFonts w:ascii="Arial" w:cs="Arial" w:eastAsia="Arial" w:hAnsi="Arial"/>
                <w:sz w:val="18"/>
                <w:szCs w:val="18"/>
                <w:b w:val="1"/>
                <w:bCs w:val="1"/>
                <w:color w:val="auto"/>
                <w:w w:val="86"/>
              </w:rPr>
              <w:t>Proposed</w:t>
            </w: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center"/>
              <w:ind w:right="111"/>
              <w:spacing w:after="0"/>
              <w:rPr>
                <w:sz w:val="20"/>
                <w:szCs w:val="20"/>
                <w:color w:val="auto"/>
              </w:rPr>
            </w:pPr>
            <w:r>
              <w:rPr>
                <w:rFonts w:ascii="Arial" w:cs="Arial" w:eastAsia="Arial" w:hAnsi="Arial"/>
                <w:sz w:val="18"/>
                <w:szCs w:val="18"/>
                <w:b w:val="1"/>
                <w:bCs w:val="1"/>
                <w:color w:val="auto"/>
                <w:w w:val="90"/>
              </w:rPr>
              <w:t>maximum</w:t>
            </w: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Amount to</w:t>
            </w:r>
          </w:p>
        </w:tc>
        <w:tc>
          <w:tcPr>
            <w:tcW w:w="300" w:type="dxa"/>
            <w:vAlign w:val="bottom"/>
          </w:tcPr>
          <w:p>
            <w:pPr>
              <w:spacing w:after="0"/>
              <w:rPr>
                <w:sz w:val="18"/>
                <w:szCs w:val="18"/>
                <w:color w:val="auto"/>
              </w:rPr>
            </w:pPr>
          </w:p>
        </w:tc>
        <w:tc>
          <w:tcPr>
            <w:tcW w:w="1000" w:type="dxa"/>
            <w:vAlign w:val="bottom"/>
          </w:tcPr>
          <w:p>
            <w:pPr>
              <w:jc w:val="center"/>
              <w:ind w:right="111"/>
              <w:spacing w:after="0"/>
              <w:rPr>
                <w:sz w:val="20"/>
                <w:szCs w:val="20"/>
                <w:color w:val="auto"/>
              </w:rPr>
            </w:pPr>
            <w:r>
              <w:rPr>
                <w:rFonts w:ascii="Arial" w:cs="Arial" w:eastAsia="Arial" w:hAnsi="Arial"/>
                <w:sz w:val="18"/>
                <w:szCs w:val="18"/>
                <w:b w:val="1"/>
                <w:bCs w:val="1"/>
                <w:color w:val="auto"/>
                <w:w w:val="89"/>
              </w:rPr>
              <w:t>offering</w:t>
            </w:r>
          </w:p>
        </w:tc>
        <w:tc>
          <w:tcPr>
            <w:tcW w:w="1740" w:type="dxa"/>
            <w:vAlign w:val="bottom"/>
            <w:gridSpan w:val="2"/>
          </w:tcPr>
          <w:p>
            <w:pPr>
              <w:ind w:left="120"/>
              <w:spacing w:after="0"/>
              <w:rPr>
                <w:sz w:val="20"/>
                <w:szCs w:val="20"/>
                <w:color w:val="auto"/>
              </w:rPr>
            </w:pPr>
            <w:r>
              <w:rPr>
                <w:rFonts w:ascii="Arial" w:cs="Arial" w:eastAsia="Arial" w:hAnsi="Arial"/>
                <w:sz w:val="18"/>
                <w:szCs w:val="18"/>
                <w:b w:val="1"/>
                <w:bCs w:val="1"/>
                <w:color w:val="auto"/>
                <w:w w:val="93"/>
              </w:rPr>
              <w:t>Proposed Maximum</w:t>
            </w:r>
          </w:p>
        </w:tc>
        <w:tc>
          <w:tcPr>
            <w:tcW w:w="140" w:type="dxa"/>
            <w:vAlign w:val="bottom"/>
          </w:tcPr>
          <w:p>
            <w:pPr>
              <w:spacing w:after="0"/>
              <w:rPr>
                <w:sz w:val="18"/>
                <w:szCs w:val="18"/>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3"/>
              </w:rPr>
              <w:t>Amount of</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5"/>
              </w:rPr>
              <w:t>be</w:t>
            </w:r>
          </w:p>
        </w:tc>
        <w:tc>
          <w:tcPr>
            <w:tcW w:w="300" w:type="dxa"/>
            <w:vAlign w:val="bottom"/>
          </w:tcPr>
          <w:p>
            <w:pPr>
              <w:spacing w:after="0"/>
              <w:rPr>
                <w:sz w:val="18"/>
                <w:szCs w:val="18"/>
                <w:color w:val="auto"/>
              </w:rPr>
            </w:pPr>
          </w:p>
        </w:tc>
        <w:tc>
          <w:tcPr>
            <w:tcW w:w="1000" w:type="dxa"/>
            <w:vAlign w:val="bottom"/>
          </w:tcPr>
          <w:p>
            <w:pPr>
              <w:jc w:val="center"/>
              <w:ind w:right="111"/>
              <w:spacing w:after="0"/>
              <w:rPr>
                <w:sz w:val="20"/>
                <w:szCs w:val="20"/>
                <w:color w:val="auto"/>
              </w:rPr>
            </w:pPr>
            <w:r>
              <w:rPr>
                <w:rFonts w:ascii="Arial" w:cs="Arial" w:eastAsia="Arial" w:hAnsi="Arial"/>
                <w:sz w:val="18"/>
                <w:szCs w:val="18"/>
                <w:b w:val="1"/>
                <w:bCs w:val="1"/>
                <w:color w:val="auto"/>
                <w:w w:val="89"/>
              </w:rPr>
              <w:t>price per</w:t>
            </w:r>
          </w:p>
        </w:tc>
        <w:tc>
          <w:tcPr>
            <w:tcW w:w="1740" w:type="dxa"/>
            <w:vAlign w:val="bottom"/>
            <w:gridSpan w:val="2"/>
          </w:tcPr>
          <w:p>
            <w:pPr>
              <w:ind w:left="140"/>
              <w:spacing w:after="0"/>
              <w:rPr>
                <w:sz w:val="20"/>
                <w:szCs w:val="20"/>
                <w:color w:val="auto"/>
              </w:rPr>
            </w:pPr>
            <w:r>
              <w:rPr>
                <w:rFonts w:ascii="Arial" w:cs="Arial" w:eastAsia="Arial" w:hAnsi="Arial"/>
                <w:sz w:val="18"/>
                <w:szCs w:val="18"/>
                <w:b w:val="1"/>
                <w:bCs w:val="1"/>
                <w:color w:val="auto"/>
                <w:w w:val="96"/>
              </w:rPr>
              <w:t>Aggregate Offering</w:t>
            </w:r>
          </w:p>
        </w:tc>
        <w:tc>
          <w:tcPr>
            <w:tcW w:w="14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Registration</w:t>
            </w:r>
          </w:p>
        </w:tc>
        <w:tc>
          <w:tcPr>
            <w:tcW w:w="0" w:type="dxa"/>
            <w:vAlign w:val="bottom"/>
          </w:tcPr>
          <w:p>
            <w:pPr>
              <w:spacing w:after="0"/>
              <w:rPr>
                <w:sz w:val="1"/>
                <w:szCs w:val="1"/>
                <w:color w:val="auto"/>
              </w:rPr>
            </w:pP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Title of Class of Security being registered</w:t>
            </w:r>
          </w:p>
        </w:tc>
        <w:tc>
          <w:tcPr>
            <w:tcW w:w="1320" w:type="dxa"/>
            <w:vAlign w:val="bottom"/>
          </w:tcPr>
          <w:p>
            <w:pPr>
              <w:jc w:val="center"/>
              <w:ind w:right="31"/>
              <w:spacing w:after="0"/>
              <w:rPr>
                <w:sz w:val="20"/>
                <w:szCs w:val="20"/>
                <w:color w:val="auto"/>
              </w:rPr>
            </w:pPr>
            <w:r>
              <w:rPr>
                <w:rFonts w:ascii="Arial" w:cs="Arial" w:eastAsia="Arial" w:hAnsi="Arial"/>
                <w:sz w:val="18"/>
                <w:szCs w:val="18"/>
                <w:b w:val="1"/>
                <w:bCs w:val="1"/>
                <w:color w:val="auto"/>
                <w:w w:val="85"/>
              </w:rPr>
              <w:t>Registered</w:t>
            </w:r>
          </w:p>
        </w:tc>
        <w:tc>
          <w:tcPr>
            <w:tcW w:w="300" w:type="dxa"/>
            <w:vAlign w:val="bottom"/>
          </w:tcPr>
          <w:p>
            <w:pPr>
              <w:spacing w:after="0"/>
              <w:rPr>
                <w:sz w:val="20"/>
                <w:szCs w:val="20"/>
                <w:color w:val="auto"/>
              </w:rPr>
            </w:pPr>
          </w:p>
        </w:tc>
        <w:tc>
          <w:tcPr>
            <w:tcW w:w="1000" w:type="dxa"/>
            <w:vAlign w:val="bottom"/>
          </w:tcPr>
          <w:p>
            <w:pPr>
              <w:jc w:val="center"/>
              <w:ind w:right="111"/>
              <w:spacing w:after="0"/>
              <w:rPr>
                <w:sz w:val="20"/>
                <w:szCs w:val="20"/>
                <w:color w:val="auto"/>
              </w:rPr>
            </w:pPr>
            <w:r>
              <w:rPr>
                <w:rFonts w:ascii="Arial" w:cs="Arial" w:eastAsia="Arial" w:hAnsi="Arial"/>
                <w:sz w:val="18"/>
                <w:szCs w:val="18"/>
                <w:b w:val="1"/>
                <w:bCs w:val="1"/>
                <w:color w:val="auto"/>
                <w:w w:val="83"/>
              </w:rPr>
              <w:t>share</w:t>
            </w:r>
          </w:p>
        </w:tc>
        <w:tc>
          <w:tcPr>
            <w:tcW w:w="340" w:type="dxa"/>
            <w:vAlign w:val="bottom"/>
          </w:tcPr>
          <w:p>
            <w:pPr>
              <w:spacing w:after="0"/>
              <w:rPr>
                <w:sz w:val="20"/>
                <w:szCs w:val="20"/>
                <w:color w:val="auto"/>
              </w:rPr>
            </w:pPr>
          </w:p>
        </w:tc>
        <w:tc>
          <w:tcPr>
            <w:tcW w:w="1400" w:type="dxa"/>
            <w:vAlign w:val="bottom"/>
          </w:tcPr>
          <w:p>
            <w:pPr>
              <w:jc w:val="right"/>
              <w:ind w:right="331"/>
              <w:spacing w:after="0"/>
              <w:rPr>
                <w:sz w:val="20"/>
                <w:szCs w:val="20"/>
                <w:color w:val="auto"/>
              </w:rPr>
            </w:pPr>
            <w:r>
              <w:rPr>
                <w:rFonts w:ascii="Arial" w:cs="Arial" w:eastAsia="Arial" w:hAnsi="Arial"/>
                <w:sz w:val="18"/>
                <w:szCs w:val="18"/>
                <w:b w:val="1"/>
                <w:bCs w:val="1"/>
                <w:color w:val="auto"/>
              </w:rPr>
              <w:t>Price (1)(2)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Fee</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5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Units, each consisting of one share of Common Stock, $0.001 par value and</w:t>
            </w:r>
          </w:p>
        </w:tc>
        <w:tc>
          <w:tcPr>
            <w:tcW w:w="1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one Warrant entitling the holder to receive one-half (1/2) of a share of</w:t>
            </w: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w:t>
            </w:r>
          </w:p>
        </w:tc>
        <w:tc>
          <w:tcPr>
            <w:tcW w:w="1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5,750,000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57,500,000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5,790.25</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w w:val="98"/>
              </w:rPr>
              <w:t>Shares of Common Stock, $0.001 par value, included as part of the Units</w:t>
            </w:r>
          </w:p>
        </w:tc>
        <w:tc>
          <w:tcPr>
            <w:tcW w:w="1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5,750,000</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Warrants included as part of the Units</w:t>
            </w:r>
          </w:p>
        </w:tc>
        <w:tc>
          <w:tcPr>
            <w:tcW w:w="1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5,750,000</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5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Shares of Common Stock, $0.001 par value, underlying the Warrants included</w:t>
            </w:r>
          </w:p>
        </w:tc>
        <w:tc>
          <w:tcPr>
            <w:tcW w:w="1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 part of the Units</w:t>
            </w:r>
          </w:p>
        </w:tc>
        <w:tc>
          <w:tcPr>
            <w:tcW w:w="1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2,875,000</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12.00</w:t>
            </w: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34,500,000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3,474.15</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Representative’s Unit Purchase Option</w:t>
            </w:r>
          </w:p>
        </w:tc>
        <w:tc>
          <w:tcPr>
            <w:tcW w:w="1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100.00</w:t>
            </w: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5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Units underlying the Representative’s Unit Purchase Option</w:t>
            </w:r>
          </w:p>
        </w:tc>
        <w:tc>
          <w:tcPr>
            <w:tcW w:w="1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(“Representative’s Units”)</w:t>
            </w:r>
          </w:p>
        </w:tc>
        <w:tc>
          <w:tcPr>
            <w:tcW w:w="1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500,000</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12.00</w:t>
            </w: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604.20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5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of Common Stock, $0.001 par value, included as part of the</w:t>
            </w:r>
          </w:p>
        </w:tc>
        <w:tc>
          <w:tcPr>
            <w:tcW w:w="1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Representative’s Units</w:t>
            </w:r>
          </w:p>
        </w:tc>
        <w:tc>
          <w:tcPr>
            <w:tcW w:w="1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500,000</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Warrants included as part of the Representative’s Units</w:t>
            </w:r>
          </w:p>
        </w:tc>
        <w:tc>
          <w:tcPr>
            <w:tcW w:w="1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500,000</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5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Shares of Common Stock, 0.001 par value, underlying Warrants included as</w:t>
            </w:r>
          </w:p>
        </w:tc>
        <w:tc>
          <w:tcPr>
            <w:tcW w:w="1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part of Representative’s Units</w:t>
            </w:r>
          </w:p>
        </w:tc>
        <w:tc>
          <w:tcPr>
            <w:tcW w:w="1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250,000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12.00</w:t>
            </w: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302.10(3)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101,000,000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10,170.71</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640" w:hanging="633"/>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457(o) under the Securities Act.</w:t>
      </w:r>
    </w:p>
    <w:p>
      <w:pPr>
        <w:spacing w:after="0" w:line="17" w:lineRule="exact"/>
        <w:rPr>
          <w:rFonts w:ascii="Arial" w:cs="Arial" w:eastAsia="Arial" w:hAnsi="Arial"/>
          <w:sz w:val="18"/>
          <w:szCs w:val="18"/>
          <w:color w:val="auto"/>
        </w:rPr>
      </w:pPr>
    </w:p>
    <w:p>
      <w:pPr>
        <w:ind w:left="640" w:right="260" w:hanging="633"/>
        <w:spacing w:after="0" w:line="247"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Units and shares of Common Stock and Warrants underlying such Units which may be issued on exercise of a 45-day option granted to the Underwriters to cover over-allotments, if any.</w:t>
      </w:r>
    </w:p>
    <w:p>
      <w:pPr>
        <w:ind w:left="640" w:hanging="633"/>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fee pursuant to Rule 457(g).</w:t>
      </w:r>
    </w:p>
    <w:p>
      <w:pPr>
        <w:spacing w:after="0" w:line="20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391160</wp:posOffset>
            </wp:positionV>
            <wp:extent cx="724852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2" w:name="page3"/>
    <w:bookmarkEnd w:id="2"/>
    <w:p>
      <w:pPr>
        <w:ind w:right="20"/>
        <w:spacing w:after="0" w:line="257" w:lineRule="auto"/>
        <w:rPr>
          <w:sz w:val="20"/>
          <w:szCs w:val="20"/>
          <w:color w:val="auto"/>
        </w:rPr>
      </w:pPr>
      <w:r>
        <w:rPr>
          <w:rFonts w:ascii="Arial" w:cs="Arial" w:eastAsia="Arial" w:hAnsi="Arial"/>
          <w:sz w:val="18"/>
          <w:szCs w:val="18"/>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an offer to buy these securities in any state where the offer or sale is not permitted.</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SUBJECT TO COMPLETION DATED OCTOBER 9, 2015</w:t>
      </w:r>
    </w:p>
    <w:p>
      <w:pPr>
        <w:spacing w:after="0" w:line="22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$50,000,000</w:t>
      </w:r>
    </w:p>
    <w:p>
      <w:pPr>
        <w:spacing w:after="0" w:line="1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M I Acquisitions, Inc.</w:t>
      </w:r>
    </w:p>
    <w:p>
      <w:pPr>
        <w:spacing w:after="0" w:line="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5,000,000 Units</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 I Acquisitions, Inc. is a blank check company formed for the purpose of entering into a merger, share exchange, asset acquisition, stock purchase, recapitalization, reorganization or other similar business combination with one or more businesses or entities. Our efforts to identify a target business will not be limited to a particular industry or geographic region, although we intend to focus our efforts on seeking a business combination with a company or companies operating in the technology, media and telecommunications industries.</w:t>
      </w:r>
    </w:p>
    <w:p>
      <w:pPr>
        <w:spacing w:after="0" w:line="19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This is an initial public offering of our securities. Each unit that we are offering has a price of $10.00 and consists of one share of common stock and one warrant. Each warrant entitles the holder thereof to purchase one-half of one share of our common stock. We will not issue fractional shares. As a result, you must exercise warrants in multiples of two warrants, at a price of $12.00 per full share of common stock, subject to adjustment as described in this prospectus, to validly exercise your warrants. The warrants will become exercisable on the later of 30 days after the completion of our initial business combination and 12 months from the closing of this offering, and will expire five years after the completion of our initial business combination or earlier upon redemption or liquidation, as described in this prospectus. We refer to the warrants included in the units as “warrants” or the “public warrants.” If we are unable to consummate a business combination within 18 months from the closing of this offering, or 21 months from the closing of this offering if we have entered into a letter of intent or definitive agreement with a target business for a business combination within 18 months from the closing of this offering and such business combination has not yet been consummated within such 18-month period, we will redeem 100% of the public shares using the funds in the trust account described below. In such event, the public warrants will expire and be worthless. We have also granted Chardan Capital Markets, LLC, the representative of the underwriters, a 45-day option to purchase up to 750,000 units (over and above the 5,000,000 units referred to above) solely to cover over-allotments, if any.</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insiders (and/or their designees) have committed to purchase from us an aggregate of 250,000 units, or “private units,” at $10.00 per unit, (for a total purchase price of $2,500,000). These purchases will take place on a private placement basis simultaneously with the consummation of this offering. Our insiders have also agreed that if the over-allotment option is exercised by the underwriters in full or in part, they or their designee will purchase from us at a price of $10.00 per unit the number of private units (up to a maximum of 22,500 private units) that is necessary to maintain in the trust account described below an amount equal to $10.00 per share of common stock sold to the public in this offering. These additional private units will be purchased in a private placement that will occur simultaneously with the purchase of units resulting from the exercise of the over-allotment option. All of the proceeds we receive from these purchases will be placed in the trust account.</w:t>
      </w:r>
    </w:p>
    <w:p>
      <w:pPr>
        <w:spacing w:after="0" w:line="19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There is presently no public market for our units, shares of common stock or warrants. We have applied to have our units listed on the Nasdaq Capital Market, or Nasdaq, under the symbol “_________”. We cannot guarantee that our securities will be approved for listing on Nasdaq. The common stock and warrants</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comprising the units will begin separate trading on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date of this prospectus unless Chardan Capital Markets, LLC informs us of its decision to allow separate earlier trading, subject to our filing a Report on Form 8-K with the Securities and Exchange Commission containing an audited balance sheet reflecting our receipt of the gross proceeds of this offering and issuing a press release announcing when such separate trading will begin. Once the securities comprising the units begin separate trading as described in this prospectus, the common stock and warrants will be traded on Nasdaq under the symbols “____”and “_____,” respectively. We cannot assure you that our securities will continue to be listed on Nasdaq after this offering.</w:t>
      </w:r>
    </w:p>
    <w:p>
      <w:pPr>
        <w:spacing w:after="0" w:line="18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and therefore will be subject to reduced reporting requirements.</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Investing in our securities involves a high degree of risk. See “Risks Factors” beginning on page 19 for a discussion of information that should be considered in connection with an investment in our securities. Investors will not be entitled to protections normally afforded to investors in Rule 419 blank check offerings.</w:t>
      </w:r>
    </w:p>
    <w:p>
      <w:pPr>
        <w:spacing w:after="0" w:line="181"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700" w:type="dxa"/>
            <w:vAlign w:val="bottom"/>
            <w:gridSpan w:val="3"/>
          </w:tcPr>
          <w:p>
            <w:pPr>
              <w:jc w:val="center"/>
              <w:ind w:right="540"/>
              <w:spacing w:after="0"/>
              <w:rPr>
                <w:sz w:val="20"/>
                <w:szCs w:val="20"/>
                <w:color w:val="auto"/>
              </w:rPr>
            </w:pPr>
            <w:r>
              <w:rPr>
                <w:rFonts w:ascii="Arial" w:cs="Arial" w:eastAsia="Arial" w:hAnsi="Arial"/>
                <w:sz w:val="18"/>
                <w:szCs w:val="18"/>
                <w:color w:val="auto"/>
                <w:w w:val="90"/>
              </w:rPr>
              <w:t>Underwriting Discounts and</w:t>
            </w:r>
          </w:p>
        </w:tc>
        <w:tc>
          <w:tcPr>
            <w:tcW w:w="100" w:type="dxa"/>
            <w:vAlign w:val="bottom"/>
          </w:tcPr>
          <w:p>
            <w:pPr>
              <w:spacing w:after="0"/>
              <w:rPr>
                <w:sz w:val="18"/>
                <w:szCs w:val="18"/>
                <w:color w:val="auto"/>
              </w:rPr>
            </w:pPr>
          </w:p>
        </w:tc>
        <w:tc>
          <w:tcPr>
            <w:tcW w:w="2400" w:type="dxa"/>
            <w:vAlign w:val="bottom"/>
            <w:gridSpan w:val="2"/>
          </w:tcPr>
          <w:p>
            <w:pPr>
              <w:ind w:left="20"/>
              <w:spacing w:after="0"/>
              <w:rPr>
                <w:sz w:val="20"/>
                <w:szCs w:val="20"/>
                <w:color w:val="auto"/>
              </w:rPr>
            </w:pPr>
            <w:r>
              <w:rPr>
                <w:rFonts w:ascii="Arial" w:cs="Arial" w:eastAsia="Arial" w:hAnsi="Arial"/>
                <w:sz w:val="18"/>
                <w:szCs w:val="18"/>
                <w:color w:val="auto"/>
                <w:w w:val="95"/>
              </w:rPr>
              <w:t>Proceeds, Before Expenses, to</w:t>
            </w:r>
          </w:p>
        </w:tc>
      </w:tr>
      <w:tr>
        <w:trPr>
          <w:trHeight w:val="225"/>
        </w:trPr>
        <w:tc>
          <w:tcPr>
            <w:tcW w:w="21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Price to Public</w:t>
            </w:r>
          </w:p>
        </w:tc>
        <w:tc>
          <w:tcPr>
            <w:tcW w:w="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center"/>
              <w:ind w:right="211"/>
              <w:spacing w:after="0"/>
              <w:rPr>
                <w:sz w:val="20"/>
                <w:szCs w:val="20"/>
                <w:color w:val="auto"/>
              </w:rPr>
            </w:pPr>
            <w:r>
              <w:rPr>
                <w:rFonts w:ascii="Arial" w:cs="Arial" w:eastAsia="Arial" w:hAnsi="Arial"/>
                <w:sz w:val="18"/>
                <w:szCs w:val="18"/>
                <w:color w:val="auto"/>
                <w:w w:val="89"/>
              </w:rPr>
              <w:t>Commissions(1)</w:t>
            </w:r>
          </w:p>
        </w:tc>
        <w:tc>
          <w:tcPr>
            <w:tcW w:w="5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ind w:right="1031"/>
              <w:spacing w:after="0"/>
              <w:rPr>
                <w:sz w:val="20"/>
                <w:szCs w:val="20"/>
                <w:color w:val="auto"/>
              </w:rPr>
            </w:pPr>
            <w:r>
              <w:rPr>
                <w:rFonts w:ascii="Arial" w:cs="Arial" w:eastAsia="Arial" w:hAnsi="Arial"/>
                <w:sz w:val="18"/>
                <w:szCs w:val="18"/>
                <w:color w:val="auto"/>
              </w:rPr>
              <w:t>us</w:t>
            </w:r>
          </w:p>
        </w:tc>
        <w:tc>
          <w:tcPr>
            <w:tcW w:w="100" w:type="dxa"/>
            <w:vAlign w:val="bottom"/>
            <w:tcBorders>
              <w:bottom w:val="single" w:sz="8" w:color="CCEEFF"/>
            </w:tcBorders>
          </w:tcPr>
          <w:p>
            <w:pPr>
              <w:spacing w:after="0"/>
              <w:rPr>
                <w:sz w:val="19"/>
                <w:szCs w:val="19"/>
                <w:color w:val="auto"/>
              </w:rPr>
            </w:pPr>
          </w:p>
        </w:tc>
      </w:tr>
      <w:tr>
        <w:trPr>
          <w:trHeight w:val="207"/>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Per Unit</w:t>
            </w: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2"/>
              <w:spacing w:after="0"/>
              <w:rPr>
                <w:sz w:val="20"/>
                <w:szCs w:val="20"/>
                <w:color w:val="auto"/>
              </w:rPr>
            </w:pPr>
            <w:r>
              <w:rPr>
                <w:rFonts w:ascii="Arial" w:cs="Arial" w:eastAsia="Arial" w:hAnsi="Arial"/>
                <w:sz w:val="14"/>
                <w:szCs w:val="14"/>
                <w:color w:val="auto"/>
                <w:w w:val="76"/>
              </w:rPr>
              <w:t>$</w:t>
            </w:r>
          </w:p>
        </w:tc>
        <w:tc>
          <w:tcPr>
            <w:tcW w:w="2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00" w:type="dxa"/>
            <w:vAlign w:val="bottom"/>
            <w:shd w:val="clear" w:color="auto" w:fill="CCEEFF"/>
          </w:tcPr>
          <w:p>
            <w:pPr>
              <w:spacing w:after="0"/>
              <w:rPr>
                <w:sz w:val="18"/>
                <w:szCs w:val="18"/>
                <w:color w:val="auto"/>
              </w:rPr>
            </w:pPr>
          </w:p>
        </w:tc>
      </w:tr>
      <w:tr>
        <w:trPr>
          <w:trHeight w:val="224"/>
        </w:trPr>
        <w:tc>
          <w:tcPr>
            <w:tcW w:w="2120" w:type="dxa"/>
            <w:vAlign w:val="bottom"/>
          </w:tcPr>
          <w:p>
            <w:pPr>
              <w:spacing w:after="0"/>
              <w:rPr>
                <w:sz w:val="20"/>
                <w:szCs w:val="20"/>
                <w:color w:val="auto"/>
              </w:rPr>
            </w:pPr>
            <w:r>
              <w:rPr>
                <w:rFonts w:ascii="Arial" w:cs="Arial" w:eastAsia="Arial" w:hAnsi="Arial"/>
                <w:sz w:val="18"/>
                <w:szCs w:val="18"/>
                <w:color w:val="auto"/>
              </w:rPr>
              <w:t>Total</w:t>
            </w:r>
          </w:p>
        </w:tc>
        <w:tc>
          <w:tcPr>
            <w:tcW w:w="182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ind w:right="440"/>
              <w:spacing w:after="0"/>
              <w:rPr>
                <w:sz w:val="20"/>
                <w:szCs w:val="20"/>
                <w:color w:val="auto"/>
              </w:rPr>
            </w:pPr>
            <w:r>
              <w:rPr>
                <w:rFonts w:ascii="Arial" w:cs="Arial" w:eastAsia="Arial" w:hAnsi="Arial"/>
                <w:sz w:val="18"/>
                <w:szCs w:val="18"/>
                <w:color w:val="auto"/>
              </w:rPr>
              <w:t>50,000,000</w:t>
            </w:r>
          </w:p>
        </w:tc>
        <w:tc>
          <w:tcPr>
            <w:tcW w:w="300" w:type="dxa"/>
            <w:vAlign w:val="bottom"/>
          </w:tcPr>
          <w:p>
            <w:pPr>
              <w:jc w:val="right"/>
              <w:ind w:right="142"/>
              <w:spacing w:after="0"/>
              <w:rPr>
                <w:sz w:val="20"/>
                <w:szCs w:val="20"/>
                <w:color w:val="auto"/>
              </w:rPr>
            </w:pPr>
            <w:r>
              <w:rPr>
                <w:rFonts w:ascii="Arial" w:cs="Arial" w:eastAsia="Arial" w:hAnsi="Arial"/>
                <w:sz w:val="14"/>
                <w:szCs w:val="14"/>
                <w:color w:val="auto"/>
                <w:w w:val="76"/>
              </w:rPr>
              <w:t>$</w:t>
            </w:r>
          </w:p>
        </w:tc>
        <w:tc>
          <w:tcPr>
            <w:tcW w:w="2400" w:type="dxa"/>
            <w:vAlign w:val="bottom"/>
            <w:gridSpan w:val="2"/>
          </w:tcPr>
          <w:p>
            <w:pPr>
              <w:jc w:val="right"/>
              <w:ind w:right="540"/>
              <w:spacing w:after="0"/>
              <w:rPr>
                <w:sz w:val="20"/>
                <w:szCs w:val="20"/>
                <w:color w:val="auto"/>
              </w:rPr>
            </w:pPr>
            <w:r>
              <w:rPr>
                <w:rFonts w:ascii="Arial" w:cs="Arial" w:eastAsia="Arial" w:hAnsi="Arial"/>
                <w:sz w:val="18"/>
                <w:szCs w:val="18"/>
                <w:color w:val="auto"/>
              </w:rPr>
              <w:t>2,500,000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400" w:type="dxa"/>
            <w:vAlign w:val="bottom"/>
            <w:gridSpan w:val="2"/>
          </w:tcPr>
          <w:p>
            <w:pPr>
              <w:jc w:val="right"/>
              <w:ind w:right="100"/>
              <w:spacing w:after="0"/>
              <w:rPr>
                <w:sz w:val="20"/>
                <w:szCs w:val="20"/>
                <w:color w:val="auto"/>
              </w:rPr>
            </w:pPr>
            <w:r>
              <w:rPr>
                <w:rFonts w:ascii="Arial" w:cs="Arial" w:eastAsia="Arial" w:hAnsi="Arial"/>
                <w:sz w:val="18"/>
                <w:szCs w:val="18"/>
                <w:color w:val="auto"/>
              </w:rPr>
              <w:t>47,500,000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146939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9390" cy="298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640" w:hanging="633"/>
        <w:spacing w:after="0" w:line="267"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Please see the section titled “Underwriting” for further information relating to the underwriting arrangements agreed to between us and the underwriters.</w:t>
      </w:r>
    </w:p>
    <w:p>
      <w:pPr>
        <w:spacing w:after="0" w:line="179" w:lineRule="exact"/>
        <w:rPr>
          <w:rFonts w:ascii="Arial" w:cs="Arial" w:eastAsia="Arial" w:hAnsi="Arial"/>
          <w:sz w:val="18"/>
          <w:szCs w:val="18"/>
          <w:color w:val="auto"/>
        </w:rPr>
      </w:pPr>
    </w:p>
    <w:p>
      <w:pPr>
        <w:jc w:val="both"/>
        <w:ind w:left="640" w:hanging="633"/>
        <w:spacing w:after="0" w:line="252"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$1,000,000, or $0.20 per unit, equal to 2.0% of the gross proceeds of this offering (or $1,150,000 if the underwriters’ over-allotment option is exercised in full) payable to the underwriters as deferred underwriting discounts and commissions from the funds to be placed in the trust account described below. Such funds will be released to the underwriters only upon consummation of an initial business combination, as described in this prospectus. If the business combination is not consummated, such deferred discount will be forfeited by the underwriters. The underwriters will not be entitled to any interest accrued on the deferred underwriting discount.</w:t>
      </w:r>
    </w:p>
    <w:p>
      <w:pPr>
        <w:spacing w:after="0" w:line="19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Upon consummation of the offering, $10.00 per unit sold to the public in this offering (whether or not the underwriters’ over-allotment option has been exercised in full or part) will be deposited into a United States-based trust account at Morgan Stanley Bank, N.A., maintained by Continental Stock Transfer &amp; Trust Company, acting as trustee. Such amount includes $1,000,000, or $0.20 per unit, (or $1,150,000 if the underwriters’ over-allotment option is exercised in full) payable to the underwriters as deferred underwriting discounts and commissions. Except as described in this prospectus, these funds will not be released</w:t>
      </w:r>
    </w:p>
    <w:p>
      <w:pPr>
        <w:sectPr>
          <w:pgSz w:w="11900" w:h="16838" w:orient="portrait"/>
          <w:cols w:equalWidth="0" w:num="1">
            <w:col w:w="11420"/>
          </w:cols>
          <w:pgMar w:left="240" w:top="1087" w:right="239" w:bottom="0" w:gutter="0" w:footer="0" w:header="0"/>
        </w:sectPr>
      </w:pPr>
    </w:p>
    <w:bookmarkStart w:id="3" w:name="page4"/>
    <w:bookmarkEnd w:id="3"/>
    <w:p>
      <w:pPr>
        <w:spacing w:after="0" w:line="267" w:lineRule="auto"/>
        <w:rPr>
          <w:sz w:val="20"/>
          <w:szCs w:val="20"/>
          <w:color w:val="auto"/>
        </w:rPr>
      </w:pPr>
      <w:r>
        <w:rPr>
          <w:rFonts w:ascii="Arial" w:cs="Arial" w:eastAsia="Arial" w:hAnsi="Arial"/>
          <w:sz w:val="18"/>
          <w:szCs w:val="18"/>
          <w:color w:val="auto"/>
        </w:rPr>
        <w:t>until the earlier of the completion of our initial business combination and our redemption of the shares of common stock sold in this offering upon our failure to consummate a business combination within the required period.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underwriters are offering the units on a firm commitment basis. Chardan Capital Markets, LLC, acting as the representative of the underwriters, expects to</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180" w:type="dxa"/>
            <w:vAlign w:val="bottom"/>
          </w:tcPr>
          <w:p>
            <w:pPr>
              <w:spacing w:after="0"/>
              <w:rPr>
                <w:sz w:val="20"/>
                <w:szCs w:val="20"/>
                <w:color w:val="auto"/>
              </w:rPr>
            </w:pPr>
            <w:r>
              <w:rPr>
                <w:rFonts w:ascii="Arial" w:cs="Arial" w:eastAsia="Arial" w:hAnsi="Arial"/>
                <w:sz w:val="18"/>
                <w:szCs w:val="18"/>
                <w:color w:val="auto"/>
                <w:w w:val="93"/>
              </w:rPr>
              <w:t>deliver the units to purchasers on or about</w:t>
            </w:r>
          </w:p>
        </w:tc>
        <w:tc>
          <w:tcPr>
            <w:tcW w:w="1380" w:type="dxa"/>
            <w:vAlign w:val="bottom"/>
          </w:tcPr>
          <w:p>
            <w:pPr>
              <w:jc w:val="right"/>
              <w:ind w:right="631"/>
              <w:spacing w:after="0"/>
              <w:rPr>
                <w:sz w:val="20"/>
                <w:szCs w:val="20"/>
                <w:color w:val="auto"/>
              </w:rPr>
            </w:pPr>
            <w:r>
              <w:rPr>
                <w:rFonts w:ascii="Arial" w:cs="Arial" w:eastAsia="Arial" w:hAnsi="Arial"/>
                <w:sz w:val="18"/>
                <w:szCs w:val="18"/>
                <w:color w:val="auto"/>
              </w:rPr>
              <w:t>, 2015.</w:t>
            </w:r>
          </w:p>
        </w:tc>
        <w:tc>
          <w:tcPr>
            <w:tcW w:w="2320" w:type="dxa"/>
            <w:vAlign w:val="bottom"/>
          </w:tcPr>
          <w:p>
            <w:pPr>
              <w:spacing w:after="0"/>
              <w:rPr>
                <w:sz w:val="19"/>
                <w:szCs w:val="19"/>
                <w:color w:val="auto"/>
              </w:rPr>
            </w:pPr>
          </w:p>
        </w:tc>
        <w:tc>
          <w:tcPr>
            <w:tcW w:w="4540" w:type="dxa"/>
            <w:vAlign w:val="bottom"/>
          </w:tcPr>
          <w:p>
            <w:pPr>
              <w:spacing w:after="0"/>
              <w:rPr>
                <w:sz w:val="19"/>
                <w:szCs w:val="19"/>
                <w:color w:val="auto"/>
              </w:rPr>
            </w:pPr>
          </w:p>
        </w:tc>
      </w:tr>
      <w:tr>
        <w:trPr>
          <w:trHeight w:val="405"/>
        </w:trPr>
        <w:tc>
          <w:tcPr>
            <w:tcW w:w="3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Sole Book-Running Manager</w:t>
            </w:r>
          </w:p>
        </w:tc>
        <w:tc>
          <w:tcPr>
            <w:tcW w:w="4540" w:type="dxa"/>
            <w:vAlign w:val="bottom"/>
          </w:tcPr>
          <w:p>
            <w:pPr>
              <w:spacing w:after="0"/>
              <w:rPr>
                <w:sz w:val="24"/>
                <w:szCs w:val="24"/>
                <w:color w:val="auto"/>
              </w:rPr>
            </w:pPr>
          </w:p>
        </w:tc>
      </w:tr>
      <w:tr>
        <w:trPr>
          <w:trHeight w:val="224"/>
        </w:trPr>
        <w:tc>
          <w:tcPr>
            <w:tcW w:w="3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Chardan Capital Markets, LLC</w:t>
            </w:r>
          </w:p>
        </w:tc>
        <w:tc>
          <w:tcPr>
            <w:tcW w:w="4540" w:type="dxa"/>
            <w:vAlign w:val="bottom"/>
          </w:tcPr>
          <w:p>
            <w:pPr>
              <w:spacing w:after="0"/>
              <w:rPr>
                <w:sz w:val="19"/>
                <w:szCs w:val="19"/>
                <w:color w:val="auto"/>
              </w:rPr>
            </w:pPr>
          </w:p>
        </w:tc>
      </w:tr>
      <w:tr>
        <w:trPr>
          <w:trHeight w:val="427"/>
        </w:trPr>
        <w:tc>
          <w:tcPr>
            <w:tcW w:w="3180" w:type="dxa"/>
            <w:vAlign w:val="bottom"/>
          </w:tcPr>
          <w:p>
            <w:pPr>
              <w:spacing w:after="0"/>
              <w:rPr>
                <w:sz w:val="24"/>
                <w:szCs w:val="24"/>
                <w:color w:val="auto"/>
              </w:rPr>
            </w:pPr>
          </w:p>
        </w:tc>
        <w:tc>
          <w:tcPr>
            <w:tcW w:w="3700" w:type="dxa"/>
            <w:vAlign w:val="bottom"/>
            <w:gridSpan w:val="2"/>
          </w:tcPr>
          <w:p>
            <w:pPr>
              <w:jc w:val="center"/>
              <w:ind w:left="1271"/>
              <w:spacing w:after="0"/>
              <w:rPr>
                <w:sz w:val="20"/>
                <w:szCs w:val="20"/>
                <w:color w:val="auto"/>
              </w:rPr>
            </w:pPr>
            <w:r>
              <w:rPr>
                <w:rFonts w:ascii="Arial" w:cs="Arial" w:eastAsia="Arial" w:hAnsi="Arial"/>
                <w:sz w:val="18"/>
                <w:szCs w:val="18"/>
                <w:color w:val="auto"/>
                <w:w w:val="89"/>
              </w:rPr>
              <w:t>__________, 2015</w:t>
            </w:r>
          </w:p>
        </w:tc>
        <w:tc>
          <w:tcPr>
            <w:tcW w:w="4540" w:type="dxa"/>
            <w:vAlign w:val="bottom"/>
          </w:tcPr>
          <w:p>
            <w:pPr>
              <w:spacing w:after="0"/>
              <w:rPr>
                <w:sz w:val="24"/>
                <w:szCs w:val="24"/>
                <w:color w:val="auto"/>
              </w:rPr>
            </w:pPr>
          </w:p>
        </w:tc>
      </w:tr>
      <w:tr>
        <w:trPr>
          <w:trHeight w:val="451"/>
        </w:trPr>
        <w:tc>
          <w:tcPr>
            <w:tcW w:w="3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4540" w:type="dxa"/>
            <w:vAlign w:val="bottom"/>
          </w:tcPr>
          <w:p>
            <w:pPr>
              <w:spacing w:after="0"/>
              <w:rPr>
                <w:sz w:val="24"/>
                <w:szCs w:val="24"/>
                <w:color w:val="auto"/>
              </w:rPr>
            </w:pPr>
          </w:p>
        </w:tc>
      </w:tr>
      <w:tr>
        <w:trPr>
          <w:trHeight w:val="630"/>
        </w:trPr>
        <w:tc>
          <w:tcPr>
            <w:tcW w:w="3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4354195</wp:posOffset>
            </wp:positionH>
            <wp:positionV relativeFrom="paragraph">
              <wp:posOffset>-441960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-441960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4"/>
        </w:trPr>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20" w:type="dxa"/>
            <w:vAlign w:val="bottom"/>
            <w:gridSpan w:val="3"/>
          </w:tcPr>
          <w:p>
            <w:pPr>
              <w:ind w:left="460"/>
              <w:spacing w:after="0"/>
              <w:rPr>
                <w:sz w:val="20"/>
                <w:szCs w:val="20"/>
                <w:color w:val="auto"/>
              </w:rPr>
            </w:pPr>
            <w:r>
              <w:rPr>
                <w:rFonts w:ascii="Arial" w:cs="Arial" w:eastAsia="Arial" w:hAnsi="Arial"/>
                <w:sz w:val="18"/>
                <w:szCs w:val="18"/>
                <w:color w:val="auto"/>
              </w:rPr>
              <w:t>TABLE OF CONTENTS</w:t>
            </w:r>
          </w:p>
        </w:tc>
        <w:tc>
          <w:tcPr>
            <w:tcW w:w="1640" w:type="dxa"/>
            <w:vAlign w:val="bottom"/>
          </w:tcPr>
          <w:p>
            <w:pPr>
              <w:spacing w:after="0"/>
              <w:rPr>
                <w:sz w:val="19"/>
                <w:szCs w:val="19"/>
                <w:color w:val="auto"/>
              </w:rPr>
            </w:pPr>
          </w:p>
        </w:tc>
      </w:tr>
      <w:tr>
        <w:trPr>
          <w:trHeight w:val="416"/>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40" w:type="dxa"/>
            <w:vAlign w:val="bottom"/>
          </w:tcPr>
          <w:p>
            <w:pPr>
              <w:jc w:val="right"/>
              <w:ind w:right="131"/>
              <w:spacing w:after="0"/>
              <w:rPr>
                <w:sz w:val="20"/>
                <w:szCs w:val="20"/>
                <w:color w:val="auto"/>
              </w:rPr>
            </w:pPr>
            <w:r>
              <w:rPr>
                <w:rFonts w:ascii="Arial" w:cs="Arial" w:eastAsia="Arial" w:hAnsi="Arial"/>
                <w:sz w:val="18"/>
                <w:szCs w:val="18"/>
                <w:color w:val="auto"/>
              </w:rPr>
              <w:t>PAGE</w:t>
            </w:r>
          </w:p>
        </w:tc>
      </w:tr>
      <w:tr>
        <w:trPr>
          <w:trHeight w:val="186"/>
        </w:trPr>
        <w:tc>
          <w:tcPr>
            <w:tcW w:w="9780" w:type="dxa"/>
            <w:vAlign w:val="bottom"/>
            <w:gridSpan w:val="21"/>
          </w:tcPr>
          <w:p>
            <w:pPr>
              <w:spacing w:after="0" w:line="186" w:lineRule="exact"/>
              <w:rPr>
                <w:rFonts w:ascii="Arial" w:cs="Arial" w:eastAsia="Arial" w:hAnsi="Arial"/>
                <w:sz w:val="18"/>
                <w:szCs w:val="18"/>
                <w:color w:val="0000EE"/>
              </w:rPr>
            </w:pPr>
            <w:hyperlink w:anchor="page6">
              <w:r>
                <w:rPr>
                  <w:rFonts w:ascii="Arial" w:cs="Arial" w:eastAsia="Arial" w:hAnsi="Arial"/>
                  <w:sz w:val="18"/>
                  <w:szCs w:val="18"/>
                  <w:color w:val="0000EE"/>
                </w:rPr>
                <w:t>PROSPECTUS SUMMARY</w:t>
              </w:r>
            </w:hyperlink>
          </w:p>
        </w:tc>
        <w:tc>
          <w:tcPr>
            <w:tcW w:w="1640" w:type="dxa"/>
            <w:vAlign w:val="bottom"/>
          </w:tcPr>
          <w:p>
            <w:pPr>
              <w:jc w:val="right"/>
              <w:spacing w:after="0" w:line="186" w:lineRule="exact"/>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3"/>
        </w:trPr>
        <w:tc>
          <w:tcPr>
            <w:tcW w:w="9780" w:type="dxa"/>
            <w:vAlign w:val="bottom"/>
            <w:gridSpan w:val="21"/>
          </w:tcPr>
          <w:p>
            <w:pPr>
              <w:spacing w:after="0" w:line="194" w:lineRule="exact"/>
              <w:rPr>
                <w:rFonts w:ascii="Arial" w:cs="Arial" w:eastAsia="Arial" w:hAnsi="Arial"/>
                <w:sz w:val="18"/>
                <w:szCs w:val="18"/>
                <w:color w:val="0000EE"/>
              </w:rPr>
            </w:pPr>
            <w:hyperlink w:anchor="page26">
              <w:r>
                <w:rPr>
                  <w:rFonts w:ascii="Arial" w:cs="Arial" w:eastAsia="Arial" w:hAnsi="Arial"/>
                  <w:sz w:val="18"/>
                  <w:szCs w:val="18"/>
                  <w:color w:val="0000EE"/>
                </w:rPr>
                <w:t>SUMMARY FINANCIAL DATA</w:t>
              </w:r>
            </w:hyperlink>
          </w:p>
        </w:tc>
        <w:tc>
          <w:tcPr>
            <w:tcW w:w="1640" w:type="dxa"/>
            <w:vAlign w:val="bottom"/>
          </w:tcPr>
          <w:p>
            <w:pPr>
              <w:jc w:val="right"/>
              <w:spacing w:after="0" w:line="194" w:lineRule="exact"/>
              <w:rPr>
                <w:sz w:val="20"/>
                <w:szCs w:val="20"/>
                <w:color w:val="auto"/>
              </w:rPr>
            </w:pPr>
            <w:r>
              <w:rPr>
                <w:rFonts w:ascii="Arial" w:cs="Arial" w:eastAsia="Arial" w:hAnsi="Arial"/>
                <w:sz w:val="18"/>
                <w:szCs w:val="18"/>
                <w:color w:val="auto"/>
              </w:rPr>
              <w:t>21</w:t>
            </w:r>
          </w:p>
        </w:tc>
      </w:tr>
      <w:tr>
        <w:trPr>
          <w:trHeight w:val="193"/>
        </w:trPr>
        <w:tc>
          <w:tcPr>
            <w:tcW w:w="1240" w:type="dxa"/>
            <w:vAlign w:val="bottom"/>
            <w:tcBorders>
              <w:top w:val="single" w:sz="8" w:color="0000EE"/>
              <w:bottom w:val="single" w:sz="8" w:color="0000EE"/>
            </w:tcBorders>
            <w:gridSpan w:val="3"/>
          </w:tcPr>
          <w:p>
            <w:pPr>
              <w:spacing w:after="0" w:line="194"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RISK FACTORS</w:t>
              </w:r>
            </w:hyperlink>
          </w:p>
        </w:tc>
        <w:tc>
          <w:tcPr>
            <w:tcW w:w="1180" w:type="dxa"/>
            <w:vAlign w:val="bottom"/>
            <w:tcBorders>
              <w:top w:val="single" w:sz="8" w:color="0000EE"/>
            </w:tcBorders>
            <w:gridSpan w:val="11"/>
          </w:tcPr>
          <w:p>
            <w:pPr>
              <w:spacing w:after="0"/>
              <w:rPr>
                <w:sz w:val="16"/>
                <w:szCs w:val="16"/>
                <w:color w:val="auto"/>
              </w:rPr>
            </w:pPr>
          </w:p>
        </w:tc>
        <w:tc>
          <w:tcPr>
            <w:tcW w:w="7360" w:type="dxa"/>
            <w:vAlign w:val="bottom"/>
            <w:gridSpan w:val="7"/>
          </w:tcPr>
          <w:p>
            <w:pPr>
              <w:spacing w:after="0"/>
              <w:rPr>
                <w:sz w:val="16"/>
                <w:szCs w:val="16"/>
                <w:color w:val="auto"/>
              </w:rPr>
            </w:pPr>
          </w:p>
        </w:tc>
        <w:tc>
          <w:tcPr>
            <w:tcW w:w="1640" w:type="dxa"/>
            <w:vAlign w:val="bottom"/>
          </w:tcPr>
          <w:p>
            <w:pPr>
              <w:jc w:val="right"/>
              <w:spacing w:after="0" w:line="194" w:lineRule="exact"/>
              <w:rPr>
                <w:sz w:val="20"/>
                <w:szCs w:val="20"/>
                <w:color w:val="auto"/>
              </w:rPr>
            </w:pPr>
            <w:r>
              <w:rPr>
                <w:rFonts w:ascii="Arial" w:cs="Arial" w:eastAsia="Arial" w:hAnsi="Arial"/>
                <w:sz w:val="18"/>
                <w:szCs w:val="18"/>
                <w:color w:val="auto"/>
              </w:rPr>
              <w:t>22</w:t>
            </w:r>
          </w:p>
        </w:tc>
      </w:tr>
      <w:tr>
        <w:trPr>
          <w:trHeight w:val="193"/>
        </w:trPr>
        <w:tc>
          <w:tcPr>
            <w:tcW w:w="9780" w:type="dxa"/>
            <w:vAlign w:val="bottom"/>
            <w:gridSpan w:val="21"/>
          </w:tcPr>
          <w:p>
            <w:pPr>
              <w:spacing w:after="0" w:line="194" w:lineRule="exact"/>
              <w:rPr>
                <w:rFonts w:ascii="Arial" w:cs="Arial" w:eastAsia="Arial" w:hAnsi="Arial"/>
                <w:sz w:val="18"/>
                <w:szCs w:val="18"/>
                <w:color w:val="0000EE"/>
              </w:rPr>
            </w:pPr>
            <w:hyperlink w:anchor="page44">
              <w:r>
                <w:rPr>
                  <w:rFonts w:ascii="Arial" w:cs="Arial" w:eastAsia="Arial" w:hAnsi="Arial"/>
                  <w:sz w:val="18"/>
                  <w:szCs w:val="18"/>
                  <w:color w:val="0000EE"/>
                </w:rPr>
                <w:t>CAUTIONARY NOTE REGARDING FORWARD LOOKING STATEMENTS</w:t>
              </w:r>
            </w:hyperlink>
          </w:p>
        </w:tc>
        <w:tc>
          <w:tcPr>
            <w:tcW w:w="1640" w:type="dxa"/>
            <w:vAlign w:val="bottom"/>
          </w:tcPr>
          <w:p>
            <w:pPr>
              <w:jc w:val="right"/>
              <w:spacing w:after="0" w:line="194" w:lineRule="exact"/>
              <w:rPr>
                <w:sz w:val="20"/>
                <w:szCs w:val="20"/>
                <w:color w:val="auto"/>
              </w:rPr>
            </w:pPr>
            <w:r>
              <w:rPr>
                <w:rFonts w:ascii="Arial" w:cs="Arial" w:eastAsia="Arial" w:hAnsi="Arial"/>
                <w:sz w:val="18"/>
                <w:szCs w:val="18"/>
                <w:color w:val="auto"/>
              </w:rPr>
              <w:t>39</w:t>
            </w:r>
          </w:p>
        </w:tc>
      </w:tr>
      <w:tr>
        <w:trPr>
          <w:trHeight w:val="193"/>
        </w:trPr>
        <w:tc>
          <w:tcPr>
            <w:tcW w:w="1580" w:type="dxa"/>
            <w:vAlign w:val="bottom"/>
            <w:tcBorders>
              <w:top w:val="single" w:sz="8" w:color="0000EE"/>
              <w:bottom w:val="single" w:sz="8" w:color="0000EE"/>
            </w:tcBorders>
            <w:gridSpan w:val="9"/>
          </w:tcPr>
          <w:p>
            <w:pPr>
              <w:spacing w:after="0" w:line="194"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USE OF PROCEEDS</w:t>
              </w:r>
            </w:hyperlink>
          </w:p>
        </w:tc>
        <w:tc>
          <w:tcPr>
            <w:tcW w:w="4120" w:type="dxa"/>
            <w:vAlign w:val="bottom"/>
            <w:tcBorders>
              <w:top w:val="single" w:sz="8" w:color="0000EE"/>
            </w:tcBorders>
            <w:gridSpan w:val="10"/>
          </w:tcPr>
          <w:p>
            <w:pPr>
              <w:spacing w:after="0"/>
              <w:rPr>
                <w:sz w:val="16"/>
                <w:szCs w:val="16"/>
                <w:color w:val="auto"/>
              </w:rPr>
            </w:pPr>
          </w:p>
        </w:tc>
        <w:tc>
          <w:tcPr>
            <w:tcW w:w="4080" w:type="dxa"/>
            <w:vAlign w:val="bottom"/>
            <w:gridSpan w:val="2"/>
          </w:tcPr>
          <w:p>
            <w:pPr>
              <w:spacing w:after="0"/>
              <w:rPr>
                <w:sz w:val="16"/>
                <w:szCs w:val="16"/>
                <w:color w:val="auto"/>
              </w:rPr>
            </w:pPr>
          </w:p>
        </w:tc>
        <w:tc>
          <w:tcPr>
            <w:tcW w:w="1640" w:type="dxa"/>
            <w:vAlign w:val="bottom"/>
          </w:tcPr>
          <w:p>
            <w:pPr>
              <w:jc w:val="right"/>
              <w:spacing w:after="0" w:line="194" w:lineRule="exact"/>
              <w:rPr>
                <w:sz w:val="20"/>
                <w:szCs w:val="20"/>
                <w:color w:val="auto"/>
              </w:rPr>
            </w:pPr>
            <w:r>
              <w:rPr>
                <w:rFonts w:ascii="Arial" w:cs="Arial" w:eastAsia="Arial" w:hAnsi="Arial"/>
                <w:sz w:val="18"/>
                <w:szCs w:val="18"/>
                <w:color w:val="auto"/>
              </w:rPr>
              <w:t>40</w:t>
            </w:r>
          </w:p>
        </w:tc>
      </w:tr>
      <w:tr>
        <w:trPr>
          <w:trHeight w:val="193"/>
        </w:trPr>
        <w:tc>
          <w:tcPr>
            <w:tcW w:w="9780" w:type="dxa"/>
            <w:vAlign w:val="bottom"/>
            <w:gridSpan w:val="21"/>
          </w:tcPr>
          <w:p>
            <w:pPr>
              <w:spacing w:after="0" w:line="194" w:lineRule="exact"/>
              <w:rPr>
                <w:rFonts w:ascii="Arial" w:cs="Arial" w:eastAsia="Arial" w:hAnsi="Arial"/>
                <w:sz w:val="18"/>
                <w:szCs w:val="18"/>
                <w:color w:val="0000EE"/>
              </w:rPr>
            </w:pPr>
            <w:hyperlink w:anchor="page48">
              <w:r>
                <w:rPr>
                  <w:rFonts w:ascii="Arial" w:cs="Arial" w:eastAsia="Arial" w:hAnsi="Arial"/>
                  <w:sz w:val="18"/>
                  <w:szCs w:val="18"/>
                  <w:color w:val="0000EE"/>
                </w:rPr>
                <w:t>DIVIDEND POLICY</w:t>
              </w:r>
            </w:hyperlink>
          </w:p>
        </w:tc>
        <w:tc>
          <w:tcPr>
            <w:tcW w:w="1640" w:type="dxa"/>
            <w:vAlign w:val="bottom"/>
          </w:tcPr>
          <w:p>
            <w:pPr>
              <w:jc w:val="right"/>
              <w:spacing w:after="0" w:line="194" w:lineRule="exact"/>
              <w:rPr>
                <w:sz w:val="20"/>
                <w:szCs w:val="20"/>
                <w:color w:val="auto"/>
              </w:rPr>
            </w:pPr>
            <w:r>
              <w:rPr>
                <w:rFonts w:ascii="Arial" w:cs="Arial" w:eastAsia="Arial" w:hAnsi="Arial"/>
                <w:sz w:val="18"/>
                <w:szCs w:val="18"/>
                <w:color w:val="auto"/>
              </w:rPr>
              <w:t>43</w:t>
            </w:r>
          </w:p>
        </w:tc>
      </w:tr>
      <w:tr>
        <w:trPr>
          <w:trHeight w:val="193"/>
        </w:trPr>
        <w:tc>
          <w:tcPr>
            <w:tcW w:w="860" w:type="dxa"/>
            <w:vAlign w:val="bottom"/>
            <w:tcBorders>
              <w:top w:val="single" w:sz="8" w:color="0000EE"/>
              <w:bottom w:val="single" w:sz="8" w:color="0000EE"/>
            </w:tcBorders>
            <w:gridSpan w:val="2"/>
          </w:tcPr>
          <w:p>
            <w:pPr>
              <w:spacing w:after="0" w:line="194" w:lineRule="exact"/>
              <w:rPr>
                <w:rFonts w:ascii="Arial" w:cs="Arial" w:eastAsia="Arial" w:hAnsi="Arial"/>
                <w:sz w:val="18"/>
                <w:szCs w:val="18"/>
                <w:color w:val="0000EE"/>
                <w:w w:val="99"/>
              </w:rPr>
            </w:pPr>
            <w:hyperlink w:anchor="page49">
              <w:r>
                <w:rPr>
                  <w:rFonts w:ascii="Arial" w:cs="Arial" w:eastAsia="Arial" w:hAnsi="Arial"/>
                  <w:sz w:val="18"/>
                  <w:szCs w:val="18"/>
                  <w:color w:val="0000EE"/>
                  <w:w w:val="99"/>
                </w:rPr>
                <w:t>DILUTION</w:t>
              </w:r>
            </w:hyperlink>
          </w:p>
        </w:tc>
        <w:tc>
          <w:tcPr>
            <w:tcW w:w="700" w:type="dxa"/>
            <w:vAlign w:val="bottom"/>
            <w:tcBorders>
              <w:top w:val="single" w:sz="8" w:color="0000EE"/>
            </w:tcBorders>
            <w:gridSpan w:val="6"/>
          </w:tcPr>
          <w:p>
            <w:pPr>
              <w:spacing w:after="0"/>
              <w:rPr>
                <w:sz w:val="16"/>
                <w:szCs w:val="16"/>
                <w:color w:val="auto"/>
              </w:rPr>
            </w:pPr>
          </w:p>
        </w:tc>
        <w:tc>
          <w:tcPr>
            <w:tcW w:w="8220" w:type="dxa"/>
            <w:vAlign w:val="bottom"/>
            <w:gridSpan w:val="13"/>
          </w:tcPr>
          <w:p>
            <w:pPr>
              <w:spacing w:after="0"/>
              <w:rPr>
                <w:sz w:val="16"/>
                <w:szCs w:val="16"/>
                <w:color w:val="auto"/>
              </w:rPr>
            </w:pPr>
          </w:p>
        </w:tc>
        <w:tc>
          <w:tcPr>
            <w:tcW w:w="1640" w:type="dxa"/>
            <w:vAlign w:val="bottom"/>
          </w:tcPr>
          <w:p>
            <w:pPr>
              <w:jc w:val="right"/>
              <w:spacing w:after="0" w:line="194" w:lineRule="exact"/>
              <w:rPr>
                <w:sz w:val="20"/>
                <w:szCs w:val="20"/>
                <w:color w:val="auto"/>
              </w:rPr>
            </w:pPr>
            <w:r>
              <w:rPr>
                <w:rFonts w:ascii="Arial" w:cs="Arial" w:eastAsia="Arial" w:hAnsi="Arial"/>
                <w:sz w:val="18"/>
                <w:szCs w:val="18"/>
                <w:color w:val="auto"/>
              </w:rPr>
              <w:t>44</w:t>
            </w:r>
          </w:p>
        </w:tc>
      </w:tr>
      <w:tr>
        <w:trPr>
          <w:trHeight w:val="193"/>
        </w:trPr>
        <w:tc>
          <w:tcPr>
            <w:tcW w:w="1460" w:type="dxa"/>
            <w:vAlign w:val="bottom"/>
            <w:tcBorders>
              <w:bottom w:val="single" w:sz="8" w:color="0000EE"/>
            </w:tcBorders>
            <w:gridSpan w:val="7"/>
          </w:tcPr>
          <w:p>
            <w:pPr>
              <w:spacing w:after="0" w:line="194" w:lineRule="exact"/>
              <w:rPr>
                <w:rFonts w:ascii="Arial" w:cs="Arial" w:eastAsia="Arial" w:hAnsi="Arial"/>
                <w:sz w:val="18"/>
                <w:szCs w:val="18"/>
                <w:color w:val="0000EE"/>
                <w:w w:val="98"/>
              </w:rPr>
            </w:pPr>
            <w:hyperlink w:anchor="page51">
              <w:r>
                <w:rPr>
                  <w:rFonts w:ascii="Arial" w:cs="Arial" w:eastAsia="Arial" w:hAnsi="Arial"/>
                  <w:sz w:val="18"/>
                  <w:szCs w:val="18"/>
                  <w:color w:val="0000EE"/>
                  <w:w w:val="98"/>
                </w:rPr>
                <w:t>CAPITALIZATION</w:t>
              </w:r>
            </w:hyperlink>
          </w:p>
        </w:tc>
        <w:tc>
          <w:tcPr>
            <w:tcW w:w="8320" w:type="dxa"/>
            <w:vAlign w:val="bottom"/>
            <w:gridSpan w:val="14"/>
          </w:tcPr>
          <w:p>
            <w:pPr>
              <w:spacing w:after="0"/>
              <w:rPr>
                <w:sz w:val="16"/>
                <w:szCs w:val="16"/>
                <w:color w:val="auto"/>
              </w:rPr>
            </w:pPr>
          </w:p>
        </w:tc>
        <w:tc>
          <w:tcPr>
            <w:tcW w:w="1640" w:type="dxa"/>
            <w:vAlign w:val="bottom"/>
          </w:tcPr>
          <w:p>
            <w:pPr>
              <w:jc w:val="right"/>
              <w:spacing w:after="0" w:line="194" w:lineRule="exact"/>
              <w:rPr>
                <w:sz w:val="20"/>
                <w:szCs w:val="20"/>
                <w:color w:val="auto"/>
              </w:rPr>
            </w:pPr>
            <w:r>
              <w:rPr>
                <w:rFonts w:ascii="Arial" w:cs="Arial" w:eastAsia="Arial" w:hAnsi="Arial"/>
                <w:sz w:val="18"/>
                <w:szCs w:val="18"/>
                <w:color w:val="auto"/>
              </w:rPr>
              <w:t>46</w:t>
            </w:r>
          </w:p>
        </w:tc>
      </w:tr>
      <w:tr>
        <w:trPr>
          <w:trHeight w:val="193"/>
        </w:trPr>
        <w:tc>
          <w:tcPr>
            <w:tcW w:w="9780" w:type="dxa"/>
            <w:vAlign w:val="bottom"/>
            <w:gridSpan w:val="21"/>
          </w:tcPr>
          <w:p>
            <w:pPr>
              <w:spacing w:after="0" w:line="194" w:lineRule="exact"/>
              <w:rPr>
                <w:rFonts w:ascii="Arial" w:cs="Arial" w:eastAsia="Arial" w:hAnsi="Arial"/>
                <w:sz w:val="18"/>
                <w:szCs w:val="18"/>
                <w:color w:val="0000EE"/>
              </w:rPr>
            </w:pPr>
            <w:hyperlink w:anchor="page52">
              <w:r>
                <w:rPr>
                  <w:rFonts w:ascii="Arial" w:cs="Arial" w:eastAsia="Arial" w:hAnsi="Arial"/>
                  <w:sz w:val="18"/>
                  <w:szCs w:val="18"/>
                  <w:color w:val="0000EE"/>
                </w:rPr>
                <w:t>MANAGEMENT’S DISCUSSION AND ANALYSIS OF FINANCIAL CONDITION AND RESULTS OF OPERATIONS</w:t>
              </w:r>
            </w:hyperlink>
          </w:p>
        </w:tc>
        <w:tc>
          <w:tcPr>
            <w:tcW w:w="1640" w:type="dxa"/>
            <w:vAlign w:val="bottom"/>
          </w:tcPr>
          <w:p>
            <w:pPr>
              <w:jc w:val="right"/>
              <w:spacing w:after="0" w:line="194" w:lineRule="exact"/>
              <w:rPr>
                <w:sz w:val="20"/>
                <w:szCs w:val="20"/>
                <w:color w:val="auto"/>
              </w:rPr>
            </w:pPr>
            <w:r>
              <w:rPr>
                <w:rFonts w:ascii="Arial" w:cs="Arial" w:eastAsia="Arial" w:hAnsi="Arial"/>
                <w:sz w:val="18"/>
                <w:szCs w:val="18"/>
                <w:color w:val="auto"/>
              </w:rPr>
              <w:t>47</w:t>
            </w:r>
          </w:p>
        </w:tc>
      </w:tr>
      <w:tr>
        <w:trPr>
          <w:trHeight w:val="193"/>
        </w:trPr>
        <w:tc>
          <w:tcPr>
            <w:tcW w:w="1800" w:type="dxa"/>
            <w:vAlign w:val="bottom"/>
            <w:tcBorders>
              <w:top w:val="single" w:sz="8" w:color="0000EE"/>
              <w:bottom w:val="single" w:sz="8" w:color="0000EE"/>
            </w:tcBorders>
            <w:gridSpan w:val="10"/>
          </w:tcPr>
          <w:p>
            <w:pPr>
              <w:spacing w:after="0" w:line="194"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PROPOSED BUSINESS</w:t>
              </w:r>
            </w:hyperlink>
          </w:p>
        </w:tc>
        <w:tc>
          <w:tcPr>
            <w:tcW w:w="7000" w:type="dxa"/>
            <w:vAlign w:val="bottom"/>
            <w:tcBorders>
              <w:top w:val="single" w:sz="8" w:color="0000EE"/>
            </w:tcBorders>
            <w:gridSpan w:val="10"/>
          </w:tcPr>
          <w:p>
            <w:pPr>
              <w:spacing w:after="0"/>
              <w:rPr>
                <w:sz w:val="16"/>
                <w:szCs w:val="16"/>
                <w:color w:val="auto"/>
              </w:rPr>
            </w:pPr>
          </w:p>
        </w:tc>
        <w:tc>
          <w:tcPr>
            <w:tcW w:w="980" w:type="dxa"/>
            <w:vAlign w:val="bottom"/>
          </w:tcPr>
          <w:p>
            <w:pPr>
              <w:spacing w:after="0"/>
              <w:rPr>
                <w:sz w:val="16"/>
                <w:szCs w:val="16"/>
                <w:color w:val="auto"/>
              </w:rPr>
            </w:pPr>
          </w:p>
        </w:tc>
        <w:tc>
          <w:tcPr>
            <w:tcW w:w="1640" w:type="dxa"/>
            <w:vAlign w:val="bottom"/>
          </w:tcPr>
          <w:p>
            <w:pPr>
              <w:jc w:val="right"/>
              <w:spacing w:after="0" w:line="194" w:lineRule="exact"/>
              <w:rPr>
                <w:sz w:val="20"/>
                <w:szCs w:val="20"/>
                <w:color w:val="auto"/>
              </w:rPr>
            </w:pPr>
            <w:r>
              <w:rPr>
                <w:rFonts w:ascii="Arial" w:cs="Arial" w:eastAsia="Arial" w:hAnsi="Arial"/>
                <w:sz w:val="18"/>
                <w:szCs w:val="18"/>
                <w:color w:val="auto"/>
              </w:rPr>
              <w:t>51</w:t>
            </w:r>
          </w:p>
        </w:tc>
      </w:tr>
      <w:tr>
        <w:trPr>
          <w:trHeight w:val="193"/>
        </w:trPr>
        <w:tc>
          <w:tcPr>
            <w:tcW w:w="1300" w:type="dxa"/>
            <w:vAlign w:val="bottom"/>
            <w:tcBorders>
              <w:bottom w:val="single" w:sz="8" w:color="0000EE"/>
            </w:tcBorders>
            <w:gridSpan w:val="4"/>
          </w:tcPr>
          <w:p>
            <w:pPr>
              <w:spacing w:after="0" w:line="194" w:lineRule="exact"/>
              <w:rPr>
                <w:rFonts w:ascii="Arial" w:cs="Arial" w:eastAsia="Arial" w:hAnsi="Arial"/>
                <w:sz w:val="18"/>
                <w:szCs w:val="18"/>
                <w:color w:val="0000EE"/>
                <w:w w:val="99"/>
              </w:rPr>
            </w:pPr>
            <w:hyperlink w:anchor="page71">
              <w:r>
                <w:rPr>
                  <w:rFonts w:ascii="Arial" w:cs="Arial" w:eastAsia="Arial" w:hAnsi="Arial"/>
                  <w:sz w:val="18"/>
                  <w:szCs w:val="18"/>
                  <w:color w:val="0000EE"/>
                  <w:w w:val="99"/>
                </w:rPr>
                <w:t>MANAGEMENT</w:t>
              </w:r>
            </w:hyperlink>
          </w:p>
        </w:tc>
        <w:tc>
          <w:tcPr>
            <w:tcW w:w="8480" w:type="dxa"/>
            <w:vAlign w:val="bottom"/>
            <w:gridSpan w:val="17"/>
          </w:tcPr>
          <w:p>
            <w:pPr>
              <w:spacing w:after="0"/>
              <w:rPr>
                <w:sz w:val="16"/>
                <w:szCs w:val="16"/>
                <w:color w:val="auto"/>
              </w:rPr>
            </w:pPr>
          </w:p>
        </w:tc>
        <w:tc>
          <w:tcPr>
            <w:tcW w:w="1640" w:type="dxa"/>
            <w:vAlign w:val="bottom"/>
          </w:tcPr>
          <w:p>
            <w:pPr>
              <w:jc w:val="right"/>
              <w:spacing w:after="0" w:line="194" w:lineRule="exact"/>
              <w:rPr>
                <w:sz w:val="20"/>
                <w:szCs w:val="20"/>
                <w:color w:val="auto"/>
              </w:rPr>
            </w:pPr>
            <w:r>
              <w:rPr>
                <w:rFonts w:ascii="Arial" w:cs="Arial" w:eastAsia="Arial" w:hAnsi="Arial"/>
                <w:sz w:val="18"/>
                <w:szCs w:val="18"/>
                <w:color w:val="auto"/>
              </w:rPr>
              <w:t>66</w:t>
            </w:r>
          </w:p>
        </w:tc>
      </w:tr>
      <w:tr>
        <w:trPr>
          <w:trHeight w:val="193"/>
        </w:trPr>
        <w:tc>
          <w:tcPr>
            <w:tcW w:w="2360" w:type="dxa"/>
            <w:vAlign w:val="bottom"/>
            <w:tcBorders>
              <w:bottom w:val="single" w:sz="8" w:color="0000EE"/>
            </w:tcBorders>
            <w:gridSpan w:val="13"/>
          </w:tcPr>
          <w:p>
            <w:pPr>
              <w:spacing w:after="0" w:line="194" w:lineRule="exact"/>
              <w:rPr>
                <w:rFonts w:ascii="Arial" w:cs="Arial" w:eastAsia="Arial" w:hAnsi="Arial"/>
                <w:sz w:val="18"/>
                <w:szCs w:val="18"/>
                <w:color w:val="0000EE"/>
                <w:w w:val="93"/>
              </w:rPr>
            </w:pPr>
            <w:hyperlink w:anchor="page77">
              <w:r>
                <w:rPr>
                  <w:rFonts w:ascii="Arial" w:cs="Arial" w:eastAsia="Arial" w:hAnsi="Arial"/>
                  <w:sz w:val="18"/>
                  <w:szCs w:val="18"/>
                  <w:color w:val="0000EE"/>
                  <w:w w:val="93"/>
                </w:rPr>
                <w:t>PRINCIPAL STOCKHOLDERS</w:t>
              </w:r>
            </w:hyperlink>
          </w:p>
        </w:tc>
        <w:tc>
          <w:tcPr>
            <w:tcW w:w="7420" w:type="dxa"/>
            <w:vAlign w:val="bottom"/>
            <w:gridSpan w:val="8"/>
          </w:tcPr>
          <w:p>
            <w:pPr>
              <w:spacing w:after="0"/>
              <w:rPr>
                <w:sz w:val="16"/>
                <w:szCs w:val="16"/>
                <w:color w:val="auto"/>
              </w:rPr>
            </w:pPr>
          </w:p>
        </w:tc>
        <w:tc>
          <w:tcPr>
            <w:tcW w:w="1640" w:type="dxa"/>
            <w:vAlign w:val="bottom"/>
          </w:tcPr>
          <w:p>
            <w:pPr>
              <w:jc w:val="right"/>
              <w:spacing w:after="0" w:line="194" w:lineRule="exact"/>
              <w:rPr>
                <w:sz w:val="20"/>
                <w:szCs w:val="20"/>
                <w:color w:val="auto"/>
              </w:rPr>
            </w:pPr>
            <w:r>
              <w:rPr>
                <w:rFonts w:ascii="Arial" w:cs="Arial" w:eastAsia="Arial" w:hAnsi="Arial"/>
                <w:sz w:val="18"/>
                <w:szCs w:val="18"/>
                <w:color w:val="auto"/>
              </w:rPr>
              <w:t>72</w:t>
            </w:r>
          </w:p>
        </w:tc>
      </w:tr>
      <w:tr>
        <w:trPr>
          <w:trHeight w:val="193"/>
        </w:trPr>
        <w:tc>
          <w:tcPr>
            <w:tcW w:w="9780" w:type="dxa"/>
            <w:vAlign w:val="bottom"/>
            <w:gridSpan w:val="21"/>
          </w:tcPr>
          <w:p>
            <w:pPr>
              <w:spacing w:after="0" w:line="194" w:lineRule="exact"/>
              <w:rPr>
                <w:rFonts w:ascii="Arial" w:cs="Arial" w:eastAsia="Arial" w:hAnsi="Arial"/>
                <w:sz w:val="18"/>
                <w:szCs w:val="18"/>
                <w:color w:val="0000EE"/>
              </w:rPr>
            </w:pPr>
            <w:hyperlink w:anchor="page79">
              <w:r>
                <w:rPr>
                  <w:rFonts w:ascii="Arial" w:cs="Arial" w:eastAsia="Arial" w:hAnsi="Arial"/>
                  <w:sz w:val="18"/>
                  <w:szCs w:val="18"/>
                  <w:color w:val="0000EE"/>
                </w:rPr>
                <w:t>CERTAIN TRANSACTIONS</w:t>
              </w:r>
            </w:hyperlink>
          </w:p>
        </w:tc>
        <w:tc>
          <w:tcPr>
            <w:tcW w:w="1640" w:type="dxa"/>
            <w:vAlign w:val="bottom"/>
          </w:tcPr>
          <w:p>
            <w:pPr>
              <w:jc w:val="right"/>
              <w:spacing w:after="0" w:line="194" w:lineRule="exact"/>
              <w:rPr>
                <w:sz w:val="20"/>
                <w:szCs w:val="20"/>
                <w:color w:val="auto"/>
              </w:rPr>
            </w:pPr>
            <w:r>
              <w:rPr>
                <w:rFonts w:ascii="Arial" w:cs="Arial" w:eastAsia="Arial" w:hAnsi="Arial"/>
                <w:sz w:val="18"/>
                <w:szCs w:val="18"/>
                <w:color w:val="auto"/>
              </w:rPr>
              <w:t>74</w:t>
            </w: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3"/>
        </w:trPr>
        <w:tc>
          <w:tcPr>
            <w:tcW w:w="9780" w:type="dxa"/>
            <w:vAlign w:val="bottom"/>
            <w:gridSpan w:val="21"/>
          </w:tcPr>
          <w:p>
            <w:pPr>
              <w:spacing w:after="0" w:line="194" w:lineRule="exact"/>
              <w:rPr>
                <w:rFonts w:ascii="Arial" w:cs="Arial" w:eastAsia="Arial" w:hAnsi="Arial"/>
                <w:sz w:val="18"/>
                <w:szCs w:val="18"/>
                <w:color w:val="0000EE"/>
              </w:rPr>
            </w:pPr>
            <w:hyperlink w:anchor="page82">
              <w:r>
                <w:rPr>
                  <w:rFonts w:ascii="Arial" w:cs="Arial" w:eastAsia="Arial" w:hAnsi="Arial"/>
                  <w:sz w:val="18"/>
                  <w:szCs w:val="18"/>
                  <w:color w:val="0000EE"/>
                </w:rPr>
                <w:t>DESCRIPTION OF SECURITIES</w:t>
              </w:r>
            </w:hyperlink>
          </w:p>
        </w:tc>
        <w:tc>
          <w:tcPr>
            <w:tcW w:w="1640" w:type="dxa"/>
            <w:vAlign w:val="bottom"/>
          </w:tcPr>
          <w:p>
            <w:pPr>
              <w:jc w:val="right"/>
              <w:spacing w:after="0" w:line="194" w:lineRule="exact"/>
              <w:rPr>
                <w:sz w:val="20"/>
                <w:szCs w:val="20"/>
                <w:color w:val="auto"/>
              </w:rPr>
            </w:pPr>
            <w:r>
              <w:rPr>
                <w:rFonts w:ascii="Arial" w:cs="Arial" w:eastAsia="Arial" w:hAnsi="Arial"/>
                <w:sz w:val="18"/>
                <w:szCs w:val="18"/>
                <w:color w:val="auto"/>
              </w:rPr>
              <w:t>77</w:t>
            </w: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40" w:type="dxa"/>
            <w:vAlign w:val="bottom"/>
            <w:gridSpan w:val="9"/>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3"/>
        </w:trPr>
        <w:tc>
          <w:tcPr>
            <w:tcW w:w="9780" w:type="dxa"/>
            <w:vAlign w:val="bottom"/>
            <w:gridSpan w:val="21"/>
          </w:tcPr>
          <w:p>
            <w:pPr>
              <w:spacing w:after="0" w:line="194" w:lineRule="exact"/>
              <w:rPr>
                <w:rFonts w:ascii="Arial" w:cs="Arial" w:eastAsia="Arial" w:hAnsi="Arial"/>
                <w:sz w:val="18"/>
                <w:szCs w:val="18"/>
                <w:color w:val="0000EE"/>
              </w:rPr>
            </w:pPr>
            <w:hyperlink w:anchor="page87">
              <w:r>
                <w:rPr>
                  <w:rFonts w:ascii="Arial" w:cs="Arial" w:eastAsia="Arial" w:hAnsi="Arial"/>
                  <w:sz w:val="18"/>
                  <w:szCs w:val="18"/>
                  <w:color w:val="0000EE"/>
                </w:rPr>
                <w:t>SHARES ELIGIBLE FOR FUTURE SALE</w:t>
              </w:r>
            </w:hyperlink>
          </w:p>
        </w:tc>
        <w:tc>
          <w:tcPr>
            <w:tcW w:w="1640" w:type="dxa"/>
            <w:vAlign w:val="bottom"/>
          </w:tcPr>
          <w:p>
            <w:pPr>
              <w:jc w:val="right"/>
              <w:spacing w:after="0" w:line="194" w:lineRule="exact"/>
              <w:rPr>
                <w:sz w:val="20"/>
                <w:szCs w:val="20"/>
                <w:color w:val="auto"/>
              </w:rPr>
            </w:pPr>
            <w:r>
              <w:rPr>
                <w:rFonts w:ascii="Arial" w:cs="Arial" w:eastAsia="Arial" w:hAnsi="Arial"/>
                <w:sz w:val="18"/>
                <w:szCs w:val="18"/>
                <w:color w:val="auto"/>
              </w:rPr>
              <w:t>82</w:t>
            </w:r>
          </w:p>
        </w:tc>
      </w:tr>
      <w:tr>
        <w:trPr>
          <w:trHeight w:val="193"/>
        </w:trPr>
        <w:tc>
          <w:tcPr>
            <w:tcW w:w="1380" w:type="dxa"/>
            <w:vAlign w:val="bottom"/>
            <w:tcBorders>
              <w:top w:val="single" w:sz="8" w:color="0000EE"/>
              <w:bottom w:val="single" w:sz="8" w:color="0000EE"/>
            </w:tcBorders>
            <w:gridSpan w:val="5"/>
          </w:tcPr>
          <w:p>
            <w:pPr>
              <w:spacing w:after="0" w:line="194" w:lineRule="exact"/>
              <w:rPr>
                <w:rFonts w:ascii="Arial" w:cs="Arial" w:eastAsia="Arial" w:hAnsi="Arial"/>
                <w:sz w:val="18"/>
                <w:szCs w:val="18"/>
                <w:color w:val="0000EE"/>
                <w:w w:val="95"/>
              </w:rPr>
            </w:pPr>
            <w:hyperlink w:anchor="page88">
              <w:r>
                <w:rPr>
                  <w:rFonts w:ascii="Arial" w:cs="Arial" w:eastAsia="Arial" w:hAnsi="Arial"/>
                  <w:sz w:val="18"/>
                  <w:szCs w:val="18"/>
                  <w:color w:val="0000EE"/>
                  <w:w w:val="95"/>
                </w:rPr>
                <w:t>UNDERWRITING</w:t>
              </w:r>
            </w:hyperlink>
          </w:p>
        </w:tc>
        <w:tc>
          <w:tcPr>
            <w:tcW w:w="1760" w:type="dxa"/>
            <w:vAlign w:val="bottom"/>
            <w:tcBorders>
              <w:top w:val="single" w:sz="8" w:color="0000EE"/>
            </w:tcBorders>
            <w:gridSpan w:val="12"/>
          </w:tcPr>
          <w:p>
            <w:pPr>
              <w:spacing w:after="0"/>
              <w:rPr>
                <w:sz w:val="16"/>
                <w:szCs w:val="16"/>
                <w:color w:val="auto"/>
              </w:rPr>
            </w:pPr>
          </w:p>
        </w:tc>
        <w:tc>
          <w:tcPr>
            <w:tcW w:w="6640" w:type="dxa"/>
            <w:vAlign w:val="bottom"/>
            <w:gridSpan w:val="4"/>
          </w:tcPr>
          <w:p>
            <w:pPr>
              <w:spacing w:after="0"/>
              <w:rPr>
                <w:sz w:val="16"/>
                <w:szCs w:val="16"/>
                <w:color w:val="auto"/>
              </w:rPr>
            </w:pPr>
          </w:p>
        </w:tc>
        <w:tc>
          <w:tcPr>
            <w:tcW w:w="1640" w:type="dxa"/>
            <w:vAlign w:val="bottom"/>
          </w:tcPr>
          <w:p>
            <w:pPr>
              <w:jc w:val="right"/>
              <w:spacing w:after="0" w:line="194" w:lineRule="exact"/>
              <w:rPr>
                <w:sz w:val="20"/>
                <w:szCs w:val="20"/>
                <w:color w:val="auto"/>
              </w:rPr>
            </w:pPr>
            <w:r>
              <w:rPr>
                <w:rFonts w:ascii="Arial" w:cs="Arial" w:eastAsia="Arial" w:hAnsi="Arial"/>
                <w:sz w:val="18"/>
                <w:szCs w:val="18"/>
                <w:color w:val="auto"/>
              </w:rPr>
              <w:t>83</w:t>
            </w:r>
          </w:p>
        </w:tc>
      </w:tr>
      <w:tr>
        <w:trPr>
          <w:trHeight w:val="193"/>
        </w:trPr>
        <w:tc>
          <w:tcPr>
            <w:tcW w:w="9780" w:type="dxa"/>
            <w:vAlign w:val="bottom"/>
            <w:gridSpan w:val="21"/>
          </w:tcPr>
          <w:p>
            <w:pPr>
              <w:spacing w:after="0" w:line="194" w:lineRule="exact"/>
              <w:rPr>
                <w:rFonts w:ascii="Arial" w:cs="Arial" w:eastAsia="Arial" w:hAnsi="Arial"/>
                <w:sz w:val="18"/>
                <w:szCs w:val="18"/>
                <w:color w:val="0000EE"/>
              </w:rPr>
            </w:pPr>
            <w:hyperlink w:anchor="page92">
              <w:r>
                <w:rPr>
                  <w:rFonts w:ascii="Arial" w:cs="Arial" w:eastAsia="Arial" w:hAnsi="Arial"/>
                  <w:sz w:val="18"/>
                  <w:szCs w:val="18"/>
                  <w:color w:val="0000EE"/>
                </w:rPr>
                <w:t>LEGAL MATTERS</w:t>
              </w:r>
            </w:hyperlink>
          </w:p>
        </w:tc>
        <w:tc>
          <w:tcPr>
            <w:tcW w:w="1640" w:type="dxa"/>
            <w:vAlign w:val="bottom"/>
          </w:tcPr>
          <w:p>
            <w:pPr>
              <w:jc w:val="right"/>
              <w:spacing w:after="0" w:line="194" w:lineRule="exact"/>
              <w:rPr>
                <w:sz w:val="20"/>
                <w:szCs w:val="20"/>
                <w:color w:val="auto"/>
              </w:rPr>
            </w:pPr>
            <w:r>
              <w:rPr>
                <w:rFonts w:ascii="Arial" w:cs="Arial" w:eastAsia="Arial" w:hAnsi="Arial"/>
                <w:sz w:val="18"/>
                <w:szCs w:val="18"/>
                <w:color w:val="auto"/>
              </w:rPr>
              <w:t>87</w:t>
            </w:r>
          </w:p>
        </w:tc>
      </w:tr>
      <w:tr>
        <w:trPr>
          <w:trHeight w:val="193"/>
        </w:trPr>
        <w:tc>
          <w:tcPr>
            <w:tcW w:w="1440" w:type="dxa"/>
            <w:vAlign w:val="bottom"/>
            <w:tcBorders>
              <w:top w:val="single" w:sz="8" w:color="0000EE"/>
            </w:tcBorders>
            <w:gridSpan w:val="6"/>
          </w:tcPr>
          <w:p>
            <w:pPr>
              <w:spacing w:after="0" w:line="194" w:lineRule="exact"/>
              <w:rPr>
                <w:rFonts w:ascii="Arial" w:cs="Arial" w:eastAsia="Arial" w:hAnsi="Arial"/>
                <w:sz w:val="18"/>
                <w:szCs w:val="18"/>
                <w:color w:val="0000EE"/>
              </w:rPr>
            </w:pPr>
            <w:hyperlink w:anchor="page92">
              <w:r>
                <w:rPr>
                  <w:rFonts w:ascii="Arial" w:cs="Arial" w:eastAsia="Arial" w:hAnsi="Arial"/>
                  <w:sz w:val="18"/>
                  <w:szCs w:val="18"/>
                  <w:color w:val="0000EE"/>
                </w:rPr>
                <w:t>EXPERTS</w:t>
              </w:r>
            </w:hyperlink>
          </w:p>
        </w:tc>
        <w:tc>
          <w:tcPr>
            <w:tcW w:w="8340" w:type="dxa"/>
            <w:vAlign w:val="bottom"/>
            <w:gridSpan w:val="15"/>
          </w:tcPr>
          <w:p>
            <w:pPr>
              <w:spacing w:after="0"/>
              <w:rPr>
                <w:sz w:val="16"/>
                <w:szCs w:val="16"/>
                <w:color w:val="auto"/>
              </w:rPr>
            </w:pPr>
          </w:p>
        </w:tc>
        <w:tc>
          <w:tcPr>
            <w:tcW w:w="1640" w:type="dxa"/>
            <w:vAlign w:val="bottom"/>
          </w:tcPr>
          <w:p>
            <w:pPr>
              <w:jc w:val="right"/>
              <w:spacing w:after="0" w:line="194" w:lineRule="exact"/>
              <w:rPr>
                <w:sz w:val="20"/>
                <w:szCs w:val="20"/>
                <w:color w:val="auto"/>
              </w:rPr>
            </w:pPr>
            <w:r>
              <w:rPr>
                <w:rFonts w:ascii="Arial" w:cs="Arial" w:eastAsia="Arial" w:hAnsi="Arial"/>
                <w:sz w:val="18"/>
                <w:szCs w:val="18"/>
                <w:color w:val="auto"/>
              </w:rPr>
              <w:t>87</w:t>
            </w:r>
          </w:p>
        </w:tc>
      </w:tr>
      <w:tr>
        <w:trPr>
          <w:trHeight w:val="20"/>
        </w:trPr>
        <w:tc>
          <w:tcPr>
            <w:tcW w:w="760" w:type="dxa"/>
            <w:vAlign w:val="bottom"/>
            <w:shd w:val="clear" w:color="auto" w:fill="0000EE"/>
          </w:tcPr>
          <w:p>
            <w:pPr>
              <w:spacing w:after="0" w:line="20" w:lineRule="exact"/>
              <w:rPr>
                <w:sz w:val="1"/>
                <w:szCs w:val="1"/>
                <w:color w:val="auto"/>
              </w:rPr>
            </w:pPr>
          </w:p>
        </w:tc>
        <w:tc>
          <w:tcPr>
            <w:tcW w:w="2240" w:type="dxa"/>
            <w:vAlign w:val="bottom"/>
            <w:gridSpan w:val="15"/>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3"/>
        </w:trPr>
        <w:tc>
          <w:tcPr>
            <w:tcW w:w="9780" w:type="dxa"/>
            <w:vAlign w:val="bottom"/>
            <w:gridSpan w:val="21"/>
          </w:tcPr>
          <w:p>
            <w:pPr>
              <w:spacing w:after="0" w:line="194" w:lineRule="exact"/>
              <w:rPr>
                <w:rFonts w:ascii="Arial" w:cs="Arial" w:eastAsia="Arial" w:hAnsi="Arial"/>
                <w:sz w:val="18"/>
                <w:szCs w:val="18"/>
                <w:color w:val="0000EE"/>
              </w:rPr>
            </w:pPr>
            <w:hyperlink w:anchor="page92">
              <w:r>
                <w:rPr>
                  <w:rFonts w:ascii="Arial" w:cs="Arial" w:eastAsia="Arial" w:hAnsi="Arial"/>
                  <w:sz w:val="18"/>
                  <w:szCs w:val="18"/>
                  <w:color w:val="0000EE"/>
                </w:rPr>
                <w:t>WHERE YOU CAN FIND ADDITIONAL INFORMATION</w:t>
              </w:r>
            </w:hyperlink>
          </w:p>
        </w:tc>
        <w:tc>
          <w:tcPr>
            <w:tcW w:w="1640" w:type="dxa"/>
            <w:vAlign w:val="bottom"/>
          </w:tcPr>
          <w:p>
            <w:pPr>
              <w:jc w:val="right"/>
              <w:spacing w:after="0" w:line="194" w:lineRule="exact"/>
              <w:rPr>
                <w:sz w:val="20"/>
                <w:szCs w:val="20"/>
                <w:color w:val="auto"/>
              </w:rPr>
            </w:pPr>
            <w:r>
              <w:rPr>
                <w:rFonts w:ascii="Arial" w:cs="Arial" w:eastAsia="Arial" w:hAnsi="Arial"/>
                <w:sz w:val="18"/>
                <w:szCs w:val="18"/>
                <w:color w:val="auto"/>
              </w:rPr>
              <w:t>87</w:t>
            </w:r>
          </w:p>
        </w:tc>
      </w:tr>
      <w:tr>
        <w:trPr>
          <w:trHeight w:val="193"/>
        </w:trPr>
        <w:tc>
          <w:tcPr>
            <w:tcW w:w="4360" w:type="dxa"/>
            <w:vAlign w:val="bottom"/>
            <w:tcBorders>
              <w:top w:val="single" w:sz="8" w:color="0000EE"/>
            </w:tcBorders>
            <w:gridSpan w:val="18"/>
          </w:tcPr>
          <w:p>
            <w:pPr>
              <w:spacing w:after="0" w:line="194" w:lineRule="exact"/>
              <w:rPr>
                <w:rFonts w:ascii="Arial" w:cs="Arial" w:eastAsia="Arial" w:hAnsi="Arial"/>
                <w:sz w:val="18"/>
                <w:szCs w:val="18"/>
                <w:color w:val="0000EE"/>
              </w:rPr>
            </w:pPr>
            <w:hyperlink w:anchor="page93">
              <w:r>
                <w:rPr>
                  <w:rFonts w:ascii="Arial" w:cs="Arial" w:eastAsia="Arial" w:hAnsi="Arial"/>
                  <w:sz w:val="18"/>
                  <w:szCs w:val="18"/>
                  <w:color w:val="0000EE"/>
                </w:rPr>
                <w:t>INDEX TO FINANCIAL STATEMENTS</w:t>
              </w:r>
            </w:hyperlink>
          </w:p>
        </w:tc>
        <w:tc>
          <w:tcPr>
            <w:tcW w:w="5420" w:type="dxa"/>
            <w:vAlign w:val="bottom"/>
            <w:gridSpan w:val="3"/>
          </w:tcPr>
          <w:p>
            <w:pPr>
              <w:spacing w:after="0"/>
              <w:rPr>
                <w:sz w:val="16"/>
                <w:szCs w:val="16"/>
                <w:color w:val="auto"/>
              </w:rPr>
            </w:pPr>
          </w:p>
        </w:tc>
        <w:tc>
          <w:tcPr>
            <w:tcW w:w="1640" w:type="dxa"/>
            <w:vAlign w:val="bottom"/>
          </w:tcPr>
          <w:p>
            <w:pPr>
              <w:jc w:val="right"/>
              <w:spacing w:after="0" w:line="194" w:lineRule="exact"/>
              <w:rPr>
                <w:sz w:val="20"/>
                <w:szCs w:val="20"/>
                <w:color w:val="auto"/>
              </w:rPr>
            </w:pPr>
            <w:r>
              <w:rPr>
                <w:rFonts w:ascii="Arial" w:cs="Arial" w:eastAsia="Arial" w:hAnsi="Arial"/>
                <w:sz w:val="18"/>
                <w:szCs w:val="18"/>
                <w:color w:val="auto"/>
              </w:rPr>
              <w:t>F-1</w:t>
            </w: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5" w:name="page6"/>
    <w:bookmarkEnd w:id="5"/>
    <w:p>
      <w:pPr>
        <w:jc w:val="center"/>
        <w:ind w:right="-4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154305</wp:posOffset>
            </wp:positionH>
            <wp:positionV relativeFrom="page">
              <wp:posOffset>560705</wp:posOffset>
            </wp:positionV>
            <wp:extent cx="7313295" cy="4780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3295" cy="4780280"/>
                    </a:xfrm>
                    <a:prstGeom prst="rect">
                      <a:avLst/>
                    </a:prstGeom>
                    <a:noFill/>
                  </pic:spPr>
                </pic:pic>
              </a:graphicData>
            </a:graphic>
          </wp:anchor>
        </w:drawing>
        <w:t>PROSPECTUS SUMMARY</w:t>
      </w:r>
    </w:p>
    <w:p>
      <w:pPr>
        <w:spacing w:after="0" w:line="226" w:lineRule="exact"/>
        <w:rPr>
          <w:sz w:val="20"/>
          <w:szCs w:val="20"/>
          <w:color w:val="auto"/>
        </w:rPr>
      </w:pPr>
    </w:p>
    <w:p>
      <w:pPr>
        <w:jc w:val="both"/>
        <w:ind w:left="2"/>
        <w:spacing w:after="0" w:line="257" w:lineRule="auto"/>
        <w:rPr>
          <w:sz w:val="20"/>
          <w:szCs w:val="20"/>
          <w:color w:val="auto"/>
        </w:rPr>
      </w:pPr>
      <w:r>
        <w:rPr>
          <w:rFonts w:ascii="Arial" w:cs="Arial" w:eastAsia="Arial" w:hAnsi="Arial"/>
          <w:sz w:val="18"/>
          <w:szCs w:val="18"/>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w:t>
      </w:r>
    </w:p>
    <w:p>
      <w:pPr>
        <w:spacing w:after="0" w:line="188" w:lineRule="exact"/>
        <w:rPr>
          <w:sz w:val="20"/>
          <w:szCs w:val="20"/>
          <w:color w:val="auto"/>
        </w:rPr>
      </w:pPr>
    </w:p>
    <w:p>
      <w:pPr>
        <w:ind w:left="2"/>
        <w:spacing w:after="0"/>
        <w:rPr>
          <w:sz w:val="20"/>
          <w:szCs w:val="20"/>
          <w:color w:val="auto"/>
        </w:rPr>
      </w:pPr>
      <w:r>
        <w:rPr>
          <w:rFonts w:ascii="Arial" w:cs="Arial" w:eastAsia="Arial" w:hAnsi="Arial"/>
          <w:sz w:val="18"/>
          <w:szCs w:val="18"/>
          <w:color w:val="auto"/>
        </w:rPr>
        <w:t>Unless otherwise stated in this prospectus, references to:</w:t>
      </w:r>
    </w:p>
    <w:p>
      <w:pPr>
        <w:spacing w:after="0" w:line="220" w:lineRule="exact"/>
        <w:rPr>
          <w:sz w:val="20"/>
          <w:szCs w:val="20"/>
          <w:color w:val="auto"/>
        </w:rPr>
      </w:pPr>
    </w:p>
    <w:p>
      <w:pPr>
        <w:ind w:left="342" w:hanging="342"/>
        <w:spacing w:after="0"/>
        <w:tabs>
          <w:tab w:leader="none" w:pos="342"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or “our company” refer to M I Acquisitions, Inc.;</w:t>
      </w:r>
    </w:p>
    <w:p>
      <w:pPr>
        <w:spacing w:after="0" w:line="219" w:lineRule="exact"/>
        <w:rPr>
          <w:rFonts w:ascii="Arial" w:cs="Arial" w:eastAsia="Arial" w:hAnsi="Arial"/>
          <w:sz w:val="18"/>
          <w:szCs w:val="18"/>
          <w:color w:val="auto"/>
        </w:rPr>
      </w:pPr>
    </w:p>
    <w:p>
      <w:pPr>
        <w:jc w:val="both"/>
        <w:ind w:left="342" w:hanging="342"/>
        <w:spacing w:after="0" w:line="257" w:lineRule="auto"/>
        <w:tabs>
          <w:tab w:leader="none" w:pos="342"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“insider shares” refer to the 1,437,500 shares of common stock held or controlled by our insiders (as defined below) prior to this offering, which include up to an aggregate of 187,500 shares of common stock subject to forfeiture by our insiders to the extent that the underwriters’ over-allotment option is no exercised in full or in part;</w:t>
      </w:r>
    </w:p>
    <w:p>
      <w:pPr>
        <w:spacing w:after="0" w:line="188" w:lineRule="exact"/>
        <w:rPr>
          <w:rFonts w:ascii="Arial" w:cs="Arial" w:eastAsia="Arial" w:hAnsi="Arial"/>
          <w:sz w:val="18"/>
          <w:szCs w:val="18"/>
          <w:color w:val="auto"/>
        </w:rPr>
      </w:pPr>
    </w:p>
    <w:p>
      <w:pPr>
        <w:jc w:val="both"/>
        <w:ind w:left="342" w:hanging="342"/>
        <w:spacing w:after="0" w:line="257" w:lineRule="auto"/>
        <w:tabs>
          <w:tab w:leader="none" w:pos="342"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“private units” refer to the 250,000 units (or 272,500 units if the over-allotment option is exercised in full) we are selling privately to our insiders (and/o their designees) upon consummation of this offering and references to “private shares” and “private warrants” refers to the shares of common stock and warrants, respectively, included within the private units;</w:t>
      </w:r>
    </w:p>
    <w:p>
      <w:pPr>
        <w:spacing w:after="0" w:line="188" w:lineRule="exact"/>
        <w:rPr>
          <w:rFonts w:ascii="Arial" w:cs="Arial" w:eastAsia="Arial" w:hAnsi="Arial"/>
          <w:sz w:val="18"/>
          <w:szCs w:val="18"/>
          <w:color w:val="auto"/>
        </w:rPr>
      </w:pPr>
    </w:p>
    <w:p>
      <w:pPr>
        <w:ind w:left="342" w:hanging="342"/>
        <w:spacing w:after="0"/>
        <w:tabs>
          <w:tab w:leader="none" w:pos="342"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“management” or our “management team” refer to our officers and directors;</w:t>
      </w:r>
    </w:p>
    <w:p>
      <w:pPr>
        <w:spacing w:after="0" w:line="219" w:lineRule="exact"/>
        <w:rPr>
          <w:rFonts w:ascii="Arial" w:cs="Arial" w:eastAsia="Arial" w:hAnsi="Arial"/>
          <w:sz w:val="18"/>
          <w:szCs w:val="18"/>
          <w:color w:val="auto"/>
        </w:rPr>
      </w:pPr>
    </w:p>
    <w:p>
      <w:pPr>
        <w:jc w:val="both"/>
        <w:ind w:left="342" w:hanging="342"/>
        <w:spacing w:after="0" w:line="304" w:lineRule="auto"/>
        <w:tabs>
          <w:tab w:leader="none" w:pos="342"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“public shares” refer to shares of common stock which are being sold as part of the units in this offering (whether they are purchased in this offering or thereafter in the open market) and references to “public stockholders” refer to the holders of our public shares, including our insiders to the extent our insiders purchase public shares, provided that their status as “public stockholders” shall exist only with respect to such public shares;</w:t>
      </w:r>
    </w:p>
    <w:p>
      <w:pPr>
        <w:spacing w:after="0" w:line="154" w:lineRule="exact"/>
        <w:rPr>
          <w:rFonts w:ascii="Arial" w:cs="Arial" w:eastAsia="Arial" w:hAnsi="Arial"/>
          <w:sz w:val="16"/>
          <w:szCs w:val="16"/>
          <w:color w:val="auto"/>
        </w:rPr>
      </w:pPr>
    </w:p>
    <w:p>
      <w:pPr>
        <w:ind w:left="342" w:hanging="342"/>
        <w:spacing w:after="0"/>
        <w:tabs>
          <w:tab w:leader="none" w:pos="342"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“warrants” or “public warrants” refer to the warrants which are being sold as part of the units in this offering; and</w:t>
      </w:r>
    </w:p>
    <w:p>
      <w:pPr>
        <w:spacing w:after="0" w:line="219" w:lineRule="exact"/>
        <w:rPr>
          <w:rFonts w:ascii="Arial" w:cs="Arial" w:eastAsia="Arial" w:hAnsi="Arial"/>
          <w:sz w:val="18"/>
          <w:szCs w:val="18"/>
          <w:color w:val="auto"/>
        </w:rPr>
      </w:pPr>
    </w:p>
    <w:p>
      <w:pPr>
        <w:ind w:left="342" w:hanging="342"/>
        <w:spacing w:after="0"/>
        <w:tabs>
          <w:tab w:leader="none" w:pos="342"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“insiders” refer to our officers, directors, and any holder of our insider shares.</w:t>
      </w:r>
    </w:p>
    <w:p>
      <w:pPr>
        <w:spacing w:after="0" w:line="220" w:lineRule="exact"/>
        <w:rPr>
          <w:sz w:val="20"/>
          <w:szCs w:val="20"/>
          <w:color w:val="auto"/>
        </w:rPr>
      </w:pPr>
    </w:p>
    <w:p>
      <w:pPr>
        <w:ind w:left="2"/>
        <w:spacing w:after="0"/>
        <w:rPr>
          <w:sz w:val="20"/>
          <w:szCs w:val="20"/>
          <w:color w:val="auto"/>
        </w:rPr>
      </w:pPr>
      <w:r>
        <w:rPr>
          <w:rFonts w:ascii="Arial" w:cs="Arial" w:eastAsia="Arial" w:hAnsi="Arial"/>
          <w:sz w:val="17"/>
          <w:szCs w:val="17"/>
          <w:color w:val="auto"/>
        </w:rPr>
        <w:t>Except as specifically provided otherwise, the information in this prospectus assumes that the underwriters will not exercise their over-allotment option.</w:t>
      </w:r>
    </w:p>
    <w:p>
      <w:pPr>
        <w:spacing w:after="0" w:line="231" w:lineRule="exact"/>
        <w:rPr>
          <w:sz w:val="20"/>
          <w:szCs w:val="20"/>
          <w:color w:val="auto"/>
        </w:rPr>
      </w:pPr>
    </w:p>
    <w:p>
      <w:pPr>
        <w:jc w:val="both"/>
        <w:ind w:left="2"/>
        <w:spacing w:after="0" w:line="254" w:lineRule="auto"/>
        <w:rPr>
          <w:sz w:val="20"/>
          <w:szCs w:val="20"/>
          <w:color w:val="auto"/>
        </w:rPr>
      </w:pPr>
      <w:r>
        <w:rPr>
          <w:rFonts w:ascii="Arial" w:cs="Arial" w:eastAsia="Arial" w:hAnsi="Arial"/>
          <w:sz w:val="18"/>
          <w:szCs w:val="18"/>
          <w:color w:val="auto"/>
        </w:rPr>
        <w:t>We are responsible for the information contained in this prospectus. We have not, and the underwriters have not, authorized anyone to provide you with different information, and we take no responsibility for any other information others may give to you.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pacing w:after="0" w:line="200" w:lineRule="exact"/>
        <w:rPr>
          <w:sz w:val="20"/>
          <w:szCs w:val="20"/>
          <w:color w:val="auto"/>
        </w:rPr>
      </w:pPr>
    </w:p>
    <w:p>
      <w:pPr>
        <w:spacing w:after="0" w:line="337" w:lineRule="exact"/>
        <w:rPr>
          <w:sz w:val="20"/>
          <w:szCs w:val="20"/>
          <w:color w:val="auto"/>
        </w:rPr>
      </w:pPr>
    </w:p>
    <w:p>
      <w:pPr>
        <w:jc w:val="center"/>
        <w:ind w:right="238"/>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3175</wp:posOffset>
            </wp:positionV>
            <wp:extent cx="724852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382"/>
          </w:cols>
          <w:pgMar w:left="378" w:top="1001" w:right="1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154305</wp:posOffset>
            </wp:positionH>
            <wp:positionV relativeFrom="page">
              <wp:posOffset>577850</wp:posOffset>
            </wp:positionV>
            <wp:extent cx="7313295" cy="6269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3295" cy="6269990"/>
                    </a:xfrm>
                    <a:prstGeom prst="rect">
                      <a:avLst/>
                    </a:prstGeom>
                    <a:noFill/>
                  </pic:spPr>
                </pic:pic>
              </a:graphicData>
            </a:graphic>
          </wp:anchor>
        </w:drawing>
        <w:t>General</w:t>
      </w:r>
    </w:p>
    <w:p>
      <w:pPr>
        <w:spacing w:after="0" w:line="22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a blank check company formed under the laws of the State of Delaware on April 23, 2015. We were formed for the purpose of entering into a merger, share exchange, asset acquisition, stock purchase, recapitalization, reorganization or other similar business combination, which we refer to throughout this prospectus as our initial business combination, with one or more businesses or entities, which we refer to throughout this prospectus as a target business. To date, our efforts have been limited to organizational activities as well as activities related to this offering. Our efforts to identify a prospective target business will not be limited to any particular industry or geographic region, although we intend to focus our search on target businesses operating in the technology, media and telecommunications industries. We have not selected any target business for our initial business combination and we have not (nor has anyone on our behalf), directly or indirectly, engaged in any substantive discussions with a target business with respect to a business combination transaction with us.</w:t>
      </w:r>
    </w:p>
    <w:p>
      <w:pPr>
        <w:spacing w:after="0" w:line="16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executive officers and directors have extensive experience in technology, media and telecommunications industries as managers, principals, advisors or directors of companies operating in those industries. They also have extensive experience in identifying, negotiating with and conducting due diligence on companies targeted for acquisition and consummating acquisitions in the technology, media and telecommunications industries. Prior to the consummation of our initial business combination, we intend to leverage the industry experience of our executive officers, including their extensive contacts, relationships and access to acquisition opportunities, by focusing our efforts on identifying a prospective target business or businesses operating in the technology, media and telecommunications industries, although we will not be limited to the technology, media and telecommunications industries and may consider opportunities in other industries. Our management team, however, does not have prior experience in pursuing acquisitions on behalf of blank check companies and past performance by our management team is not a guarantee of success with respect to locating a target business to acquire.</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Subsequent to the consummation of our initial business combination, we believe that the strengths of our management team, particularly their extensive operations experience in the technology, media and telecommunications industries, will be valuable to any business in the technology, media and telecommunications industry with which we consummate our initial business combination, although the specific roles, if any, they may have following ou initial business combination cannot be determined at this time.</w:t>
      </w:r>
    </w:p>
    <w:p>
      <w:pPr>
        <w:spacing w:after="0" w:line="19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will have until 18 months from the closing of this offering (or 21 months from the closing of this offering if we have executed a letter of intent or definitive agreement for an initial business combination within 18 months from the closing of this offering but have not completed the initial business combination within such 18-month period) to consummate our initial business combination. If we are unable to consummate our initial business combination within such time period, we will, as promptly as possible but not more than ten business days thereafter, redeem 100% of our outstanding public shares for a pro rata portion of the funds held in the trust account, including a pro rata portion of any interest earned on the funds held in the trust account and not previously released to us for our working capital requirements or necessary to pay our taxes, and then seek to dissolve and liquidate. However, we may not be able to distribute such amounts as a result of claims of creditors which may take priority over the claims of our public stockholders. In the event of our dissolution and liquidation, the public warrants will expire and will be worthless.</w:t>
      </w:r>
    </w:p>
    <w:p>
      <w:pPr>
        <w:spacing w:after="0" w:line="18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will either (1) seek stockholder approval of our initial business combination at a meeting called for such purpose, at which stockholders may seek to conver their shares, regardless of whether they vote for or against the proposed business combination, into their pro rata share of the aggregate amount then on deposi in the trust account (net of taxes payable), or (2) provide our stockholders with the opportunity to sell their shares to us by means of a tender offer (and thereby avoid the need for a stockholder vote) for an amount equal to their pro rata share of the aggregate amount then on deposit in the trust account (net of taxes payable), in each case subject to the limitations described herein. The decision as to whether we will seek stockholder approval of our proposed business combination or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Any tender offer documents used in connection with a business combination will contain substantially the same financial and other information about the initial business combination as is required under the SEC’s proxy rules.</w:t>
      </w:r>
    </w:p>
    <w:p>
      <w:pPr>
        <w:spacing w:after="0" w:line="184"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The initial per public share redemption or conversion price will be $10.00 per share, regardless of whether the over-allotment option is exercised. However, we may not be able to distribute such amounts as a result of claims of creditors which may take priority over the claims of our public stockholders.</w:t>
      </w:r>
    </w:p>
    <w:p>
      <w:pPr>
        <w:spacing w:after="0" w:line="200" w:lineRule="exact"/>
        <w:rPr>
          <w:sz w:val="20"/>
          <w:szCs w:val="20"/>
          <w:color w:val="auto"/>
        </w:rPr>
      </w:pPr>
    </w:p>
    <w:p>
      <w:pPr>
        <w:spacing w:after="0" w:line="279"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3175</wp:posOffset>
            </wp:positionV>
            <wp:extent cx="724852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380"/>
          </w:cols>
          <w:pgMar w:left="380" w:top="1028" w:right="139" w:bottom="1440" w:gutter="0" w:footer="0" w:header="0"/>
        </w:sectPr>
      </w:pPr>
    </w:p>
    <w:bookmarkStart w:id="7" w:name="page8"/>
    <w:bookmarkEnd w:id="7"/>
    <w:p>
      <w:pPr>
        <w:jc w:val="both"/>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560705</wp:posOffset>
            </wp:positionV>
            <wp:extent cx="7313295" cy="6134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3295" cy="6134735"/>
                    </a:xfrm>
                    <a:prstGeom prst="rect">
                      <a:avLst/>
                    </a:prstGeom>
                    <a:noFill/>
                  </pic:spPr>
                </pic:pic>
              </a:graphicData>
            </a:graphic>
          </wp:anchor>
        </w:drawing>
        <w:t>Pursuant to the rules of the Nasdaq Stock Market, our initial business combination must occur with one or more target businesses having an aggregate fai market value of at least 80% of the value of the trust account (excluding any deferred underwriter’s fees and taxes payable on the income earned on the trus account), which we refer to as the 80% test, at the time of the agreement to enter into the initial business combination. If our board is not able to independently determine the fair market value of the target business or businesses, we will obtain an opinion from an independent investment banking firm with respect to the satisfaction of such criteria. We will also obtain a fairness opinion from an independent investment banking firm before consummating a business combination with an entity affiliated with any of our officers, directors or insiders.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anticipate structuring our initial business combination so that the post-transaction company in which our public stockholders own shares will own or acquire 100% of the equity interests or assets of the target business or businesses. We may, however, structure our initial business combination such that the post transaction company owns less than 100% of such interests or assets of the target business in order to meet certain objectives of the target management team or stockholders or for other reasons, but we will only complete such business combination if the post-transaction company owns 50% or more of the outstanding voting securities of the target or otherwise owns a controlling interest in the target sufficient for it not to be required to register as an investment company under the Investment Company Act of 1940, as amended, or the Investment Company Act. Even if the post-transaction company owns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 business or businesses are owned or acquired by the post-transaction company, the portion of such business or businesses that is owned or acquired is what wil be valued for purposes of the 80% test.</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more fully discussed in “Management — Conflicts of Interest,” if any of our officers or directors becomes aware of a business combination opportunity tha falls within the line of business of any entity to which he or she has pre-existing fiduciary or contractual obligations, he or she may be required to present such business combination opportunity to such entity prior to presenting such business combination opportunity to us. All of our officers, directors and directo nominees currently have certain relevant pre-existing fiduciary duties or contractual obligations.</w:t>
      </w:r>
    </w:p>
    <w:p>
      <w:pPr>
        <w:spacing w:after="0" w:line="19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 until we are no longer an “emerging growth company.”</w:t>
      </w:r>
    </w:p>
    <w:p>
      <w:pPr>
        <w:spacing w:after="0" w:line="17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this offering, (b) in which we have total annual gross revenue of at least $1.0 billion, or (c) in which we are deemed to be a large accelerated filer, which means the market value of our common stock that is held by non-affiliates exceeds $700 million as of the prior June 30th, and (2) the date on which we have issued more than $1.0 billion in non-convertible debt during the prior three-year period. References herein to “emerging growth company” shall have the meaning associated with it in the JOBS Act.</w:t>
      </w:r>
    </w:p>
    <w:p>
      <w:pPr>
        <w:spacing w:after="0" w:line="200" w:lineRule="exact"/>
        <w:rPr>
          <w:sz w:val="20"/>
          <w:szCs w:val="20"/>
          <w:color w:val="auto"/>
        </w:rPr>
      </w:pPr>
    </w:p>
    <w:p>
      <w:pPr>
        <w:spacing w:after="0" w:line="340"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3175</wp:posOffset>
            </wp:positionV>
            <wp:extent cx="724852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380"/>
          </w:cols>
          <w:pgMar w:left="380" w:top="1007" w:right="139" w:bottom="1440" w:gutter="0" w:footer="0" w:header="0"/>
        </w:sectPr>
      </w:pPr>
    </w:p>
    <w:bookmarkStart w:id="8" w:name="page9"/>
    <w:bookmarkEnd w:id="8"/>
    <w:p>
      <w:pPr>
        <w:jc w:val="center"/>
        <w:ind w:right="-4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154305</wp:posOffset>
            </wp:positionH>
            <wp:positionV relativeFrom="page">
              <wp:posOffset>552450</wp:posOffset>
            </wp:positionV>
            <wp:extent cx="7313295" cy="5728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3295" cy="5728335"/>
                    </a:xfrm>
                    <a:prstGeom prst="rect">
                      <a:avLst/>
                    </a:prstGeom>
                    <a:noFill/>
                  </pic:spPr>
                </pic:pic>
              </a:graphicData>
            </a:graphic>
          </wp:anchor>
        </w:drawing>
        <w:t>Private Placements</w:t>
      </w:r>
    </w:p>
    <w:p>
      <w:pPr>
        <w:spacing w:after="0" w:line="226" w:lineRule="exact"/>
        <w:rPr>
          <w:sz w:val="20"/>
          <w:szCs w:val="20"/>
          <w:color w:val="auto"/>
        </w:rPr>
      </w:pPr>
    </w:p>
    <w:p>
      <w:pPr>
        <w:jc w:val="both"/>
        <w:ind w:left="2"/>
        <w:spacing w:after="0" w:line="295" w:lineRule="auto"/>
        <w:rPr>
          <w:sz w:val="20"/>
          <w:szCs w:val="20"/>
          <w:color w:val="auto"/>
        </w:rPr>
      </w:pPr>
      <w:r>
        <w:rPr>
          <w:rFonts w:ascii="Arial" w:cs="Arial" w:eastAsia="Arial" w:hAnsi="Arial"/>
          <w:sz w:val="16"/>
          <w:szCs w:val="16"/>
          <w:color w:val="auto"/>
        </w:rPr>
        <w:t>In April 2015, our insiders purchased an aggregate of 1,437,500 shares of our common stock for an aggregate purchase price of $25,000, or approximately $.02 per share. The 1,437,500 insider shares held or controlled by our insiders include an aggregate of up to 187,500 shares subject to forfeiture to the extent that the underwriters’ over-allotment option is not exercised in full or in part, so that our insiders will collectively own or control 20.0% of our issued and outstanding shares after this offering (excluding the sale of the private units and assuming our insiders do not purchase units in this offering).</w:t>
      </w:r>
    </w:p>
    <w:p>
      <w:pPr>
        <w:spacing w:after="0" w:line="162" w:lineRule="exact"/>
        <w:rPr>
          <w:sz w:val="20"/>
          <w:szCs w:val="20"/>
          <w:color w:val="auto"/>
        </w:rPr>
      </w:pPr>
    </w:p>
    <w:p>
      <w:pPr>
        <w:jc w:val="both"/>
        <w:ind w:left="2"/>
        <w:spacing w:after="0" w:line="265" w:lineRule="auto"/>
        <w:rPr>
          <w:sz w:val="20"/>
          <w:szCs w:val="20"/>
          <w:color w:val="auto"/>
        </w:rPr>
      </w:pPr>
      <w:r>
        <w:rPr>
          <w:rFonts w:ascii="Arial" w:cs="Arial" w:eastAsia="Arial" w:hAnsi="Arial"/>
          <w:sz w:val="17"/>
          <w:szCs w:val="17"/>
          <w:color w:val="auto"/>
        </w:rPr>
        <w:t>The insider shares are identical to the shares of common stock included in the units being sold in this offering. However, our insiders have agreed (A) to vote their insider shares, private shares and any public shares acquired in or after this offering in favor of any proposed business combination, (B) not to propose, or vote in favor of, an amendment to our certificate of incorporation that would affect the substance or timing of our obligation to redeem 100% of our public shares if we do not complete our initial business combination within 18 months from the closing of this offering (or 21 months, as applicable), unless we provide our public stockholders with the opportunity to redeem their shares of common stock upon approval of any such amendment at a per-share price payable in cash, equal to the aggregate amount then on deposit in the trust account, net of taxes payable, divided by the number of then outstanding public shares, (C) not to convert any shares (including the insider shares) into the right to receive cash from the trust account in connection with a stockholder vote to approve our proposed initial business combination (or sell any shares they hold to us in a tender offer in connection with a proposed initial business combination) or a vote to amend the provisions of our certificate of incorporation relating to the substance or timing of our obligation to redeem 100% of ou public shares if we do not complete our initial business combination within 18 months from the closing of this offering (or 21 months, as applicable), and (D that the insider shares shall not be entitled to be redeemed for a pro rata portion of the funds held in the trust account if a business combination is not consummated.</w:t>
      </w:r>
    </w:p>
    <w:p>
      <w:pPr>
        <w:spacing w:after="0" w:line="184" w:lineRule="exact"/>
        <w:rPr>
          <w:sz w:val="20"/>
          <w:szCs w:val="20"/>
          <w:color w:val="auto"/>
        </w:rPr>
      </w:pPr>
    </w:p>
    <w:p>
      <w:pPr>
        <w:jc w:val="both"/>
        <w:ind w:left="2"/>
        <w:spacing w:after="0" w:line="280" w:lineRule="auto"/>
        <w:rPr>
          <w:sz w:val="20"/>
          <w:szCs w:val="20"/>
          <w:color w:val="auto"/>
        </w:rPr>
      </w:pPr>
      <w:r>
        <w:rPr>
          <w:rFonts w:ascii="Arial" w:cs="Arial" w:eastAsia="Arial" w:hAnsi="Arial"/>
          <w:sz w:val="16"/>
          <w:szCs w:val="16"/>
          <w:color w:val="auto"/>
        </w:rPr>
        <w:t>On the date of this prospectus, the insider shares will be placed into an escrow account maintained in New York, New York by Continental Stock Transfer &amp; Trust Company, acting as escrow agent. Subject to certain limited exceptions, 50% of these shares will not be transferred, assigned, sold or released from escrow until the earlier of six months after the date of the consummation of our initial business combination and the date on which the closing price of ou common stock equals or exceeds $12.50 per share (as adjusted for stock splits, stock dividends, reorganizations and recapitalizations) for any 20 trading days within any 30-trading day period commencing after our initial business combination and the remaining 50% of the insider shares will not be transferred assigned, sold or released from escrow until six months after the date of the consummation of our initial business combination, or earlier, in either case, if subsequent to our initial business combination, we complete a liquidation, merger, stock exchange or other similar transaction which results in all of ou stockholders having the right to exchange their shares of common stock for cash, securities or other property. The limited exceptions referred to above include</w:t>
      </w:r>
    </w:p>
    <w:p>
      <w:pPr>
        <w:spacing w:after="0" w:line="1" w:lineRule="exact"/>
        <w:rPr>
          <w:sz w:val="20"/>
          <w:szCs w:val="20"/>
          <w:color w:val="auto"/>
        </w:rPr>
      </w:pPr>
    </w:p>
    <w:p>
      <w:pPr>
        <w:jc w:val="both"/>
        <w:ind w:left="2" w:hanging="2"/>
        <w:spacing w:after="0" w:line="337" w:lineRule="auto"/>
        <w:tabs>
          <w:tab w:leader="none" w:pos="257" w:val="left"/>
        </w:tabs>
        <w:numPr>
          <w:ilvl w:val="0"/>
          <w:numId w:val="4"/>
        </w:numPr>
        <w:rPr>
          <w:rFonts w:ascii="Arial" w:cs="Arial" w:eastAsia="Arial" w:hAnsi="Arial"/>
          <w:sz w:val="14"/>
          <w:szCs w:val="14"/>
          <w:color w:val="auto"/>
        </w:rPr>
      </w:pPr>
      <w:r>
        <w:rPr>
          <w:rFonts w:ascii="Arial" w:cs="Arial" w:eastAsia="Arial" w:hAnsi="Arial"/>
          <w:sz w:val="14"/>
          <w:szCs w:val="14"/>
          <w:color w:val="auto"/>
        </w:rPr>
        <w:t>transfers among the insiders, to our officers, directors, advisors and employees, (2) transfers to an insider’s affiliates or its members upon its liquidation, (3) transfers to relatives and trusts for estate planning purposes, (4) transfers by virtue of the laws of descent and distribution upon death, (5) transfers pursuant to a qualified domestic relations order, (6) private sales made at prices no greater than the price at which the securities were originally purchased or (7) transfers to us for cancellation in connection with the consummation of an initial business combination, in each case (except for clause 7) where the transferee agrees to the terms of the escrow agreement and forfeiture, as the case may be, as well as the other applicable restrictions and agreements of the holders of the insider shares.</w:t>
      </w:r>
    </w:p>
    <w:p>
      <w:pPr>
        <w:spacing w:after="0" w:line="139" w:lineRule="exact"/>
        <w:rPr>
          <w:sz w:val="20"/>
          <w:szCs w:val="20"/>
          <w:color w:val="auto"/>
        </w:rPr>
      </w:pPr>
    </w:p>
    <w:p>
      <w:pPr>
        <w:jc w:val="both"/>
        <w:ind w:left="2"/>
        <w:spacing w:after="0" w:line="267" w:lineRule="auto"/>
        <w:rPr>
          <w:sz w:val="20"/>
          <w:szCs w:val="20"/>
          <w:color w:val="auto"/>
        </w:rPr>
      </w:pPr>
      <w:r>
        <w:rPr>
          <w:rFonts w:ascii="Arial" w:cs="Arial" w:eastAsia="Arial" w:hAnsi="Arial"/>
          <w:sz w:val="17"/>
          <w:szCs w:val="17"/>
          <w:color w:val="auto"/>
        </w:rPr>
        <w:t>In addition, our insiders (and/or their designees) have committed to purchase an aggregate of 250,000 private units at a price of $10.00 per unit ($2,500,000 in the aggregate) in a private placement that will occur simultaneously with the closing of this offering. Our insiders have also agreed that if the over-allotment option is exercised by the underwriters, they will purchase from us at a price of $10.00 per unit the number of private units (up to a maximum of 22,500 private units) that is necessary to maintain in the trust account an amount equal to $10.00 per share of common stock sold to the public in this offering. These additiona private units will be purchased in a private placement that will occur simultaneously with the purchase of units resulting from the exercise of the over-allotmen option. It is anticipated that the private units will be purchased by M SPAC LLC, an entity controlled by our insiders. The proceeds from the private placemen of the private units will be added to the proceeds of this offering and placed in the trust account.</w:t>
      </w:r>
    </w:p>
    <w:p>
      <w:pPr>
        <w:spacing w:after="0" w:line="200" w:lineRule="exact"/>
        <w:rPr>
          <w:sz w:val="20"/>
          <w:szCs w:val="20"/>
          <w:color w:val="auto"/>
        </w:rPr>
      </w:pPr>
    </w:p>
    <w:p>
      <w:pPr>
        <w:spacing w:after="0" w:line="331" w:lineRule="exact"/>
        <w:rPr>
          <w:sz w:val="20"/>
          <w:szCs w:val="20"/>
          <w:color w:val="auto"/>
        </w:rPr>
      </w:pPr>
    </w:p>
    <w:p>
      <w:pPr>
        <w:jc w:val="center"/>
        <w:ind w:right="238"/>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3175</wp:posOffset>
            </wp:positionV>
            <wp:extent cx="724852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382"/>
          </w:cols>
          <w:pgMar w:left="378" w:top="988" w:right="139" w:bottom="1440" w:gutter="0" w:footer="0" w:header="0"/>
        </w:sectPr>
      </w:pPr>
    </w:p>
    <w:bookmarkStart w:id="9" w:name="page10"/>
    <w:bookmarkEnd w:id="9"/>
    <w:p>
      <w:pPr>
        <w:jc w:val="both"/>
        <w:spacing w:after="0" w:line="24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552450</wp:posOffset>
            </wp:positionV>
            <wp:extent cx="7313295" cy="3966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3295" cy="3966845"/>
                    </a:xfrm>
                    <a:prstGeom prst="rect">
                      <a:avLst/>
                    </a:prstGeom>
                    <a:noFill/>
                  </pic:spPr>
                </pic:pic>
              </a:graphicData>
            </a:graphic>
          </wp:anchor>
        </w:drawing>
        <w:t>The private units are identical to the units sold in this offering. However, the holders have agreed (A) to vote their private shares and any public shares acquired in or after this offering in favor of any proposed business combination, (B) not to propose, or vote in favor of, an amendment to our certificate of incorporation that would affect the substance or timing of our obligation to redeem 100% of our public shares if we do not complete our initial business combination within 18 months from the closing of this offering (or 21 months, as applicable), unless we provide our public stockholders with the opportunity to redeem their shares of common stock upon approval of any such amendment at a per-share price, payable in cash, equal to the aggregate amount then on deposit in the trus account, including interest earned on the funds held in the trust account and not previously released to us for our working capital requirements or to pay our franchise and income taxes, divided by the number of then outstanding public shares, (C) not to convert any shares (including the private shares) into the righ to receive cash from the trust account in connection with a stockholder vote to approve our proposed initial business combination (or sell any shares they hold to us in a tender offer in connection with a proposed initial business combination) or a vote to amend the provisions of our certificate of incorporation relating to the substance or timing of our obligation to redeem 100% of our public shares if we do not complete our initial business combination within 18 months from the closing of this offering (or 21 months, as applicable) and (D) that the private shares shall not be entitled to be redeemed for a pro rata portion of the funds held in the trust account if a business combination is not consummated. Additionally, our insiders (and/or their designees) have agreed not to transfer, assign or sel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our initial business combination.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also agreed to sell to Chardan Capital Markets, LLC (and/or its designees), for $100, an option to purchase up to a total of 500,000 units exercisable a $12.00 per unit (or an aggregate exercise price of $6,000,000) commencing on the later of the consummation of a business combination and six months from the date of this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offices are located at 5 Hanover Square, New York, NY 10004 and our telephone number is (347) 491-4240.</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Directed Unit Program</w:t>
      </w:r>
    </w:p>
    <w:p>
      <w:pPr>
        <w:spacing w:after="0" w:line="2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At our request, the underwriters have reserved up to 500,000 units for sale at the initial public offering price through a directed unit program to our officers and directors and their respective affiliates. The number of units available for sale to the public will be reduced by the number of directed units purchased by participants in the program, if any. To the extent the directed units are not purchased pursuant to the directed unit program, the units will be offered by the underwriters to the public on the same basis as all other units. Members of our management team (either directly or through affiliates), currently intend to purchase the entire 500,000 units offered pursuant to the directed unit program.</w:t>
      </w:r>
    </w:p>
    <w:p>
      <w:pPr>
        <w:spacing w:after="0" w:line="200" w:lineRule="exact"/>
        <w:rPr>
          <w:sz w:val="20"/>
          <w:szCs w:val="20"/>
          <w:color w:val="auto"/>
        </w:rPr>
      </w:pPr>
    </w:p>
    <w:p>
      <w:pPr>
        <w:spacing w:after="0" w:line="340"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3175</wp:posOffset>
            </wp:positionV>
            <wp:extent cx="724852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380"/>
          </w:cols>
          <w:pgMar w:left="380" w:top="994" w:right="1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154305</wp:posOffset>
            </wp:positionH>
            <wp:positionV relativeFrom="page">
              <wp:posOffset>560705</wp:posOffset>
            </wp:positionV>
            <wp:extent cx="7313295" cy="60839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3295" cy="6083935"/>
                    </a:xfrm>
                    <a:prstGeom prst="rect">
                      <a:avLst/>
                    </a:prstGeom>
                    <a:noFill/>
                  </pic:spPr>
                </pic:pic>
              </a:graphicData>
            </a:graphic>
          </wp:anchor>
        </w:drawing>
        <w:t>The Offering</w:t>
      </w:r>
    </w:p>
    <w:p>
      <w:pPr>
        <w:spacing w:after="0" w:line="22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making your decision on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 these and the other risks set forth in the section below entitled “Risk Factors” beginning on page 19 of this prospectus.</w:t>
      </w:r>
    </w:p>
    <w:p>
      <w:pPr>
        <w:sectPr>
          <w:pgSz w:w="11900" w:h="16838" w:orient="portrait"/>
          <w:cols w:equalWidth="0" w:num="1">
            <w:col w:w="11380"/>
          </w:cols>
          <w:pgMar w:left="380" w:top="1001" w:right="139" w:bottom="144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Securities offered</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5,000,000 Units, at $10.00 per unit, each unit consisting of one share of common stock and one warrant entitling the holder thereof to purchase one-half of one share of our common stock at a price of $12.00 pe full share, subject to adjustment as described in this prospectus.</w:t>
      </w:r>
    </w:p>
    <w:p>
      <w:pPr>
        <w:spacing w:after="0" w:line="182" w:lineRule="exact"/>
        <w:rPr>
          <w:sz w:val="20"/>
          <w:szCs w:val="20"/>
          <w:color w:val="auto"/>
        </w:rPr>
      </w:pPr>
    </w:p>
    <w:p>
      <w:pPr>
        <w:sectPr>
          <w:pgSz w:w="11900" w:h="16838" w:orient="portrait"/>
          <w:cols w:equalWidth="0" w:num="2">
            <w:col w:w="2900" w:space="720"/>
            <w:col w:w="7760"/>
          </w:cols>
          <w:pgMar w:left="380" w:top="1001" w:right="1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Proposed Nasdaq symbols</w:t>
      </w:r>
    </w:p>
    <w:p>
      <w:pPr>
        <w:spacing w:after="0" w:line="20" w:lineRule="exact"/>
        <w:rPr>
          <w:sz w:val="20"/>
          <w:szCs w:val="20"/>
          <w:color w:val="auto"/>
        </w:rPr>
      </w:pPr>
      <w:r>
        <w:rPr>
          <w:sz w:val="20"/>
          <w:szCs w:val="20"/>
          <w:color w:val="auto"/>
        </w:rPr>
        <w:br w:type="column"/>
      </w:r>
    </w:p>
    <w:p>
      <w:pPr>
        <w:jc w:val="both"/>
        <w:ind w:right="20"/>
        <w:spacing w:after="0" w:line="331" w:lineRule="auto"/>
        <w:rPr>
          <w:sz w:val="20"/>
          <w:szCs w:val="20"/>
          <w:color w:val="auto"/>
        </w:rPr>
      </w:pPr>
      <w:r>
        <w:rPr>
          <w:rFonts w:ascii="Arial" w:cs="Arial" w:eastAsia="Arial" w:hAnsi="Arial"/>
          <w:sz w:val="16"/>
          <w:szCs w:val="16"/>
          <w:color w:val="auto"/>
        </w:rPr>
        <w:t>We anticipate the units, and the shares of common stock and warrants once they begin separate trading, wil be listed on Nasdaq under the symbols “[__________],” “[__________]” and “[__________],” respectively.</w:t>
      </w:r>
    </w:p>
    <w:p>
      <w:pPr>
        <w:spacing w:after="0" w:line="127" w:lineRule="exact"/>
        <w:rPr>
          <w:sz w:val="20"/>
          <w:szCs w:val="20"/>
          <w:color w:val="auto"/>
        </w:rPr>
      </w:pPr>
    </w:p>
    <w:p>
      <w:pPr>
        <w:sectPr>
          <w:pgSz w:w="11900" w:h="16838" w:orient="portrait"/>
          <w:cols w:equalWidth="0" w:num="2">
            <w:col w:w="2900" w:space="720"/>
            <w:col w:w="7760"/>
          </w:cols>
          <w:pgMar w:left="380" w:top="1001" w:right="139" w:bottom="1440" w:gutter="0" w:footer="0" w:header="0"/>
          <w:type w:val="continuous"/>
        </w:sectPr>
      </w:pPr>
    </w:p>
    <w:p>
      <w:pPr>
        <w:spacing w:after="0" w:line="274" w:lineRule="auto"/>
        <w:rPr>
          <w:sz w:val="20"/>
          <w:szCs w:val="20"/>
          <w:color w:val="auto"/>
        </w:rPr>
      </w:pPr>
      <w:r>
        <w:rPr>
          <w:rFonts w:ascii="Arial" w:cs="Arial" w:eastAsia="Arial" w:hAnsi="Arial"/>
          <w:sz w:val="18"/>
          <w:szCs w:val="18"/>
          <w:b w:val="1"/>
          <w:bCs w:val="1"/>
          <w:color w:val="auto"/>
        </w:rPr>
        <w:t>Trading commencement and separate trading of common stock and warrants</w:t>
      </w:r>
    </w:p>
    <w:p>
      <w:pPr>
        <w:spacing w:after="0" w:line="20" w:lineRule="exact"/>
        <w:rPr>
          <w:sz w:val="20"/>
          <w:szCs w:val="20"/>
          <w:color w:val="auto"/>
        </w:rPr>
      </w:pPr>
      <w:r>
        <w:rPr>
          <w:sz w:val="20"/>
          <w:szCs w:val="20"/>
          <w:color w:val="auto"/>
        </w:rPr>
        <w:br w:type="column"/>
      </w:r>
    </w:p>
    <w:p>
      <w:pPr>
        <w:jc w:val="both"/>
        <w:spacing w:after="0" w:line="281" w:lineRule="auto"/>
        <w:rPr>
          <w:sz w:val="20"/>
          <w:szCs w:val="20"/>
          <w:color w:val="auto"/>
        </w:rPr>
      </w:pPr>
      <w:r>
        <w:rPr>
          <w:rFonts w:ascii="Arial" w:cs="Arial" w:eastAsia="Arial" w:hAnsi="Arial"/>
          <w:sz w:val="16"/>
          <w:szCs w:val="16"/>
          <w:color w:val="auto"/>
        </w:rPr>
        <w:t>The units will begin trading on or promptly after the date of this prospectus. Each of the common stock and warrants may trade separately on the 90th day after the date of this prospectus unless Chardan Capita Markets, LLC determines that an earlier date is acceptable (based upon, among other things, its assessmen of the relative strengths of the securities markets and small capitalization companies in general, and the trading pattern of, and demand for, our securities in particular). In no event will Chardan Capital Markets LLC allow separate trading of the common stock and warrants until we file an audited balance shee reflecting our receipt of the gross proceeds at the closing of this offering. Once the shares of common stock and warrants commence separate trading, holders will have the option to continue to hold units or separate their units into the component pieces. Holders will need to have their brokers contact our transfer agent in order to separate the units into shares of common stock and warrants. We will file a Current Report on Form 8-K with the U.S. Securities and Exchange Commission, or the SEC, including an audited balance sheet, promptly following the closing of this offering, which is anticipated to take place three business days from the date the units commence trading. The audited balance sheet will reflect our receipt of the proceeds from the exercise of the over-allotment option if the over-allotment option is exercised on the date of this prospectus. If the over-allotment option is exercised after the date of this prospectus, we will file an amendment to the Form 8-K or a new Form 8-K to provide updated financial information to reflect the exercise of the over-allotment option. We will also include in the Form 8-K, or amendment thereto, or in a subsequent Form 8-K, information indicating if Chardan Capital Markets, LLC has allowed separate trading of the common stock and warrants prior to the 90th day after the date of this prospectus.</w:t>
      </w:r>
    </w:p>
    <w:p>
      <w:pPr>
        <w:spacing w:after="0" w:line="168" w:lineRule="exact"/>
        <w:rPr>
          <w:sz w:val="20"/>
          <w:szCs w:val="20"/>
          <w:color w:val="auto"/>
        </w:rPr>
      </w:pPr>
    </w:p>
    <w:p>
      <w:pPr>
        <w:sectPr>
          <w:pgSz w:w="11900" w:h="16838" w:orient="portrait"/>
          <w:cols w:equalWidth="0" w:num="2">
            <w:col w:w="3460" w:space="160"/>
            <w:col w:w="7760"/>
          </w:cols>
          <w:pgMar w:left="380" w:top="1001" w:right="1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Units:</w:t>
      </w:r>
    </w:p>
    <w:p>
      <w:pPr>
        <w:sectPr>
          <w:pgSz w:w="11900" w:h="16838" w:orient="portrait"/>
          <w:cols w:equalWidth="0" w:num="1">
            <w:col w:w="11380"/>
          </w:cols>
          <w:pgMar w:left="380" w:top="1001" w:right="139" w:bottom="1440" w:gutter="0" w:footer="0" w:header="0"/>
          <w:type w:val="continuous"/>
        </w:sectPr>
      </w:pPr>
    </w:p>
    <w:p>
      <w:pPr>
        <w:spacing w:after="0" w:line="243"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Number outstanding before this offering</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0</w:t>
      </w:r>
    </w:p>
    <w:p>
      <w:pPr>
        <w:spacing w:after="0" w:line="200" w:lineRule="exact"/>
        <w:rPr>
          <w:sz w:val="20"/>
          <w:szCs w:val="20"/>
          <w:color w:val="auto"/>
        </w:rPr>
      </w:pPr>
    </w:p>
    <w:p>
      <w:pPr>
        <w:sectPr>
          <w:pgSz w:w="11900" w:h="16838" w:orient="portrait"/>
          <w:cols w:equalWidth="0" w:num="2">
            <w:col w:w="3380" w:space="240"/>
            <w:col w:w="7760"/>
          </w:cols>
          <w:pgMar w:left="380" w:top="1001" w:right="139" w:bottom="1440" w:gutter="0" w:footer="0" w:header="0"/>
          <w:type w:val="continuous"/>
        </w:sectPr>
      </w:pPr>
    </w:p>
    <w:p>
      <w:pPr>
        <w:spacing w:after="0" w:line="60" w:lineRule="exact"/>
        <w:rPr>
          <w:sz w:val="20"/>
          <w:szCs w:val="20"/>
          <w:color w:val="auto"/>
        </w:rPr>
      </w:pPr>
    </w:p>
    <w:p>
      <w:pPr>
        <w:ind w:left="320"/>
        <w:spacing w:after="0" w:line="274" w:lineRule="auto"/>
        <w:rPr>
          <w:sz w:val="20"/>
          <w:szCs w:val="20"/>
          <w:color w:val="auto"/>
        </w:rPr>
      </w:pPr>
      <w:r>
        <w:rPr>
          <w:rFonts w:ascii="Arial" w:cs="Arial" w:eastAsia="Arial" w:hAnsi="Arial"/>
          <w:sz w:val="18"/>
          <w:szCs w:val="18"/>
          <w:b w:val="1"/>
          <w:bCs w:val="1"/>
          <w:color w:val="auto"/>
        </w:rPr>
        <w:t>Number outstanding after this offering and sale of private units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5,250,000 (1)</w:t>
      </w:r>
    </w:p>
    <w:p>
      <w:pPr>
        <w:spacing w:after="0" w:line="482" w:lineRule="exact"/>
        <w:rPr>
          <w:sz w:val="20"/>
          <w:szCs w:val="20"/>
          <w:color w:val="auto"/>
        </w:rPr>
      </w:pPr>
    </w:p>
    <w:p>
      <w:pPr>
        <w:sectPr>
          <w:pgSz w:w="11900" w:h="16838" w:orient="portrait"/>
          <w:cols w:equalWidth="0" w:num="2">
            <w:col w:w="3280" w:space="340"/>
            <w:col w:w="7760"/>
          </w:cols>
          <w:pgMar w:left="380" w:top="1001" w:right="139" w:bottom="1440" w:gutter="0" w:footer="0" w:header="0"/>
          <w:type w:val="continuous"/>
        </w:sect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(1) Assumes the over-allotment option has not been exercised.</w:t>
      </w:r>
    </w:p>
    <w:p>
      <w:pPr>
        <w:spacing w:after="0" w:line="200" w:lineRule="exact"/>
        <w:rPr>
          <w:sz w:val="20"/>
          <w:szCs w:val="20"/>
          <w:color w:val="auto"/>
        </w:rPr>
      </w:pPr>
    </w:p>
    <w:p>
      <w:pPr>
        <w:spacing w:after="0" w:line="353"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10795</wp:posOffset>
            </wp:positionV>
            <wp:extent cx="724852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380"/>
          </w:cols>
          <w:pgMar w:left="380" w:top="1001" w:right="139" w:bottom="1440" w:gutter="0" w:footer="0" w:header="0"/>
          <w:type w:val="continuous"/>
        </w:sectPr>
      </w:pPr>
    </w:p>
    <w:bookmarkStart w:id="11" w:name="page12"/>
    <w:bookmarkEnd w:id="11"/>
    <w:p>
      <w:pPr>
        <w:ind w:left="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154305</wp:posOffset>
            </wp:positionH>
            <wp:positionV relativeFrom="page">
              <wp:posOffset>560705</wp:posOffset>
            </wp:positionV>
            <wp:extent cx="7313295" cy="4220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3295" cy="4220845"/>
                    </a:xfrm>
                    <a:prstGeom prst="rect">
                      <a:avLst/>
                    </a:prstGeom>
                    <a:noFill/>
                  </pic:spPr>
                </pic:pic>
              </a:graphicData>
            </a:graphic>
          </wp:anchor>
        </w:drawing>
        <w:t>Shares of common stock:</w:t>
      </w:r>
    </w:p>
    <w:p>
      <w:pPr>
        <w:spacing w:after="0" w:line="206" w:lineRule="exact"/>
        <w:rPr>
          <w:sz w:val="20"/>
          <w:szCs w:val="20"/>
          <w:color w:val="auto"/>
        </w:rPr>
      </w:pPr>
    </w:p>
    <w:p>
      <w:pPr>
        <w:ind w:left="322"/>
        <w:spacing w:after="0"/>
        <w:tabs>
          <w:tab w:leader="none" w:pos="3601" w:val="left"/>
        </w:tabs>
        <w:rPr>
          <w:sz w:val="20"/>
          <w:szCs w:val="20"/>
          <w:color w:val="auto"/>
        </w:rPr>
      </w:pPr>
      <w:r>
        <w:rPr>
          <w:rFonts w:ascii="Arial" w:cs="Arial" w:eastAsia="Arial" w:hAnsi="Arial"/>
          <w:sz w:val="18"/>
          <w:szCs w:val="18"/>
          <w:b w:val="1"/>
          <w:bCs w:val="1"/>
          <w:color w:val="auto"/>
        </w:rPr>
        <w:t>Number outstanding before this offering</w:t>
      </w:r>
      <w:r>
        <w:rPr>
          <w:sz w:val="20"/>
          <w:szCs w:val="20"/>
          <w:color w:val="auto"/>
        </w:rPr>
        <w:tab/>
      </w:r>
      <w:r>
        <w:rPr>
          <w:rFonts w:ascii="Arial" w:cs="Arial" w:eastAsia="Arial" w:hAnsi="Arial"/>
          <w:sz w:val="14"/>
          <w:szCs w:val="14"/>
          <w:color w:val="auto"/>
        </w:rPr>
        <w:t>1,437,500 shares (2)</w:t>
      </w:r>
    </w:p>
    <w:p>
      <w:pPr>
        <w:spacing w:after="0" w:line="220" w:lineRule="exact"/>
        <w:rPr>
          <w:sz w:val="20"/>
          <w:szCs w:val="20"/>
          <w:color w:val="auto"/>
        </w:rPr>
      </w:pPr>
    </w:p>
    <w:p>
      <w:pPr>
        <w:ind w:left="322"/>
        <w:spacing w:after="0"/>
        <w:tabs>
          <w:tab w:leader="none" w:pos="3601" w:val="left"/>
        </w:tabs>
        <w:rPr>
          <w:sz w:val="20"/>
          <w:szCs w:val="20"/>
          <w:color w:val="auto"/>
        </w:rPr>
      </w:pPr>
      <w:r>
        <w:rPr>
          <w:rFonts w:ascii="Arial" w:cs="Arial" w:eastAsia="Arial" w:hAnsi="Arial"/>
          <w:sz w:val="18"/>
          <w:szCs w:val="18"/>
          <w:b w:val="1"/>
          <w:bCs w:val="1"/>
          <w:color w:val="auto"/>
        </w:rPr>
        <w:t>Number to be outstanding after this</w:t>
      </w:r>
      <w:r>
        <w:rPr>
          <w:sz w:val="20"/>
          <w:szCs w:val="20"/>
          <w:color w:val="auto"/>
        </w:rPr>
        <w:tab/>
      </w:r>
      <w:r>
        <w:rPr>
          <w:rFonts w:ascii="Arial" w:cs="Arial" w:eastAsia="Arial" w:hAnsi="Arial"/>
          <w:sz w:val="14"/>
          <w:szCs w:val="14"/>
          <w:color w:val="auto"/>
        </w:rPr>
        <w:t>6,500,000 shares (3)</w:t>
      </w:r>
    </w:p>
    <w:p>
      <w:pPr>
        <w:spacing w:after="0" w:line="23" w:lineRule="exact"/>
        <w:rPr>
          <w:sz w:val="20"/>
          <w:szCs w:val="20"/>
          <w:color w:val="auto"/>
        </w:rPr>
      </w:pPr>
    </w:p>
    <w:p>
      <w:pPr>
        <w:ind w:left="322"/>
        <w:spacing w:after="0"/>
        <w:rPr>
          <w:sz w:val="20"/>
          <w:szCs w:val="20"/>
          <w:color w:val="auto"/>
        </w:rPr>
      </w:pPr>
      <w:r>
        <w:rPr>
          <w:rFonts w:ascii="Arial" w:cs="Arial" w:eastAsia="Arial" w:hAnsi="Arial"/>
          <w:sz w:val="18"/>
          <w:szCs w:val="18"/>
          <w:b w:val="1"/>
          <w:bCs w:val="1"/>
          <w:color w:val="auto"/>
        </w:rPr>
        <w:t>offering and sale of private units</w:t>
      </w:r>
    </w:p>
    <w:p>
      <w:pPr>
        <w:spacing w:after="0" w:line="203"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Warrants included as part of units:</w:t>
      </w:r>
    </w:p>
    <w:p>
      <w:pPr>
        <w:spacing w:after="0" w:line="220" w:lineRule="exact"/>
        <w:rPr>
          <w:sz w:val="20"/>
          <w:szCs w:val="20"/>
          <w:color w:val="auto"/>
        </w:rPr>
      </w:pPr>
    </w:p>
    <w:p>
      <w:pPr>
        <w:ind w:left="322"/>
        <w:spacing w:after="0"/>
        <w:tabs>
          <w:tab w:leader="none" w:pos="3601" w:val="left"/>
        </w:tabs>
        <w:rPr>
          <w:sz w:val="20"/>
          <w:szCs w:val="20"/>
          <w:color w:val="auto"/>
        </w:rPr>
      </w:pPr>
      <w:r>
        <w:rPr>
          <w:rFonts w:ascii="Arial" w:cs="Arial" w:eastAsia="Arial" w:hAnsi="Arial"/>
          <w:sz w:val="18"/>
          <w:szCs w:val="18"/>
          <w:b w:val="1"/>
          <w:bCs w:val="1"/>
          <w:color w:val="auto"/>
        </w:rPr>
        <w:t>Number outstanding before this offering</w:t>
      </w:r>
      <w:r>
        <w:rPr>
          <w:sz w:val="20"/>
          <w:szCs w:val="20"/>
          <w:color w:val="auto"/>
        </w:rPr>
        <w:tab/>
      </w:r>
      <w:r>
        <w:rPr>
          <w:rFonts w:ascii="Arial" w:cs="Arial" w:eastAsia="Arial" w:hAnsi="Arial"/>
          <w:sz w:val="14"/>
          <w:szCs w:val="14"/>
          <w:color w:val="auto"/>
        </w:rPr>
        <w:t>0 warrants</w:t>
      </w:r>
    </w:p>
    <w:p>
      <w:pPr>
        <w:spacing w:after="0" w:line="220" w:lineRule="exact"/>
        <w:rPr>
          <w:sz w:val="20"/>
          <w:szCs w:val="20"/>
          <w:color w:val="auto"/>
        </w:rPr>
      </w:pPr>
    </w:p>
    <w:p>
      <w:pPr>
        <w:ind w:left="322"/>
        <w:spacing w:after="0"/>
        <w:tabs>
          <w:tab w:leader="none" w:pos="3601" w:val="left"/>
        </w:tabs>
        <w:rPr>
          <w:sz w:val="20"/>
          <w:szCs w:val="20"/>
          <w:color w:val="auto"/>
        </w:rPr>
      </w:pPr>
      <w:r>
        <w:rPr>
          <w:rFonts w:ascii="Arial" w:cs="Arial" w:eastAsia="Arial" w:hAnsi="Arial"/>
          <w:sz w:val="18"/>
          <w:szCs w:val="18"/>
          <w:b w:val="1"/>
          <w:bCs w:val="1"/>
          <w:color w:val="auto"/>
        </w:rPr>
        <w:t>Number of private warrants to be sold as</w:t>
      </w:r>
      <w:r>
        <w:rPr>
          <w:sz w:val="20"/>
          <w:szCs w:val="20"/>
          <w:color w:val="auto"/>
        </w:rPr>
        <w:tab/>
      </w:r>
      <w:r>
        <w:rPr>
          <w:rFonts w:ascii="Arial" w:cs="Arial" w:eastAsia="Arial" w:hAnsi="Arial"/>
          <w:sz w:val="14"/>
          <w:szCs w:val="14"/>
          <w:color w:val="auto"/>
        </w:rPr>
        <w:t>250,000 warrants</w:t>
      </w:r>
    </w:p>
    <w:p>
      <w:pPr>
        <w:spacing w:after="0" w:line="23" w:lineRule="exact"/>
        <w:rPr>
          <w:sz w:val="20"/>
          <w:szCs w:val="20"/>
          <w:color w:val="auto"/>
        </w:rPr>
      </w:pPr>
    </w:p>
    <w:p>
      <w:pPr>
        <w:ind w:left="322"/>
        <w:spacing w:after="0"/>
        <w:rPr>
          <w:sz w:val="20"/>
          <w:szCs w:val="20"/>
          <w:color w:val="auto"/>
        </w:rPr>
      </w:pPr>
      <w:r>
        <w:rPr>
          <w:rFonts w:ascii="Arial" w:cs="Arial" w:eastAsia="Arial" w:hAnsi="Arial"/>
          <w:sz w:val="18"/>
          <w:szCs w:val="18"/>
          <w:b w:val="1"/>
          <w:bCs w:val="1"/>
          <w:color w:val="auto"/>
        </w:rPr>
        <w:t>part of the private units in a private</w:t>
      </w:r>
    </w:p>
    <w:p>
      <w:pPr>
        <w:spacing w:after="0" w:line="6" w:lineRule="exact"/>
        <w:rPr>
          <w:sz w:val="20"/>
          <w:szCs w:val="20"/>
          <w:color w:val="auto"/>
        </w:rPr>
      </w:pPr>
    </w:p>
    <w:p>
      <w:pPr>
        <w:ind w:left="322"/>
        <w:spacing w:after="0"/>
        <w:rPr>
          <w:sz w:val="20"/>
          <w:szCs w:val="20"/>
          <w:color w:val="auto"/>
        </w:rPr>
      </w:pPr>
      <w:r>
        <w:rPr>
          <w:rFonts w:ascii="Arial" w:cs="Arial" w:eastAsia="Arial" w:hAnsi="Arial"/>
          <w:sz w:val="18"/>
          <w:szCs w:val="18"/>
          <w:b w:val="1"/>
          <w:bCs w:val="1"/>
          <w:color w:val="auto"/>
        </w:rPr>
        <w:t>placement simultaneously with this</w:t>
      </w:r>
    </w:p>
    <w:p>
      <w:pPr>
        <w:spacing w:after="0" w:line="6" w:lineRule="exact"/>
        <w:rPr>
          <w:sz w:val="20"/>
          <w:szCs w:val="20"/>
          <w:color w:val="auto"/>
        </w:rPr>
      </w:pPr>
    </w:p>
    <w:p>
      <w:pPr>
        <w:ind w:left="322"/>
        <w:spacing w:after="0"/>
        <w:rPr>
          <w:sz w:val="20"/>
          <w:szCs w:val="20"/>
          <w:color w:val="auto"/>
        </w:rPr>
      </w:pPr>
      <w:r>
        <w:rPr>
          <w:rFonts w:ascii="Arial" w:cs="Arial" w:eastAsia="Arial" w:hAnsi="Arial"/>
          <w:sz w:val="18"/>
          <w:szCs w:val="18"/>
          <w:b w:val="1"/>
          <w:bCs w:val="1"/>
          <w:color w:val="auto"/>
        </w:rPr>
        <w:t>offering</w:t>
      </w:r>
    </w:p>
    <w:p>
      <w:pPr>
        <w:sectPr>
          <w:pgSz w:w="11900" w:h="16838" w:orient="portrait"/>
          <w:cols w:equalWidth="0" w:num="1">
            <w:col w:w="11382"/>
          </w:cols>
          <w:pgMar w:left="378" w:top="1001" w:right="139" w:bottom="1440" w:gutter="0" w:footer="0" w:header="0"/>
        </w:sectPr>
      </w:pPr>
    </w:p>
    <w:p>
      <w:pPr>
        <w:spacing w:after="0" w:line="203" w:lineRule="exact"/>
        <w:rPr>
          <w:sz w:val="20"/>
          <w:szCs w:val="20"/>
          <w:color w:val="auto"/>
        </w:rPr>
      </w:pPr>
    </w:p>
    <w:p>
      <w:pPr>
        <w:ind w:left="322"/>
        <w:spacing w:after="0" w:line="338" w:lineRule="auto"/>
        <w:rPr>
          <w:sz w:val="20"/>
          <w:szCs w:val="20"/>
          <w:color w:val="auto"/>
        </w:rPr>
      </w:pPr>
      <w:r>
        <w:rPr>
          <w:rFonts w:ascii="Arial" w:cs="Arial" w:eastAsia="Arial" w:hAnsi="Arial"/>
          <w:sz w:val="16"/>
          <w:szCs w:val="16"/>
          <w:b w:val="1"/>
          <w:bCs w:val="1"/>
          <w:color w:val="auto"/>
        </w:rPr>
        <w:t>Number to be outstanding after this offering and sale of private units</w:t>
      </w:r>
    </w:p>
    <w:p>
      <w:pPr>
        <w:spacing w:after="0" w:line="12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Exercisability</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5,250,000 warrants (4)</w:t>
      </w:r>
    </w:p>
    <w:p>
      <w:pPr>
        <w:spacing w:after="0" w:line="200" w:lineRule="exact"/>
        <w:rPr>
          <w:sz w:val="20"/>
          <w:szCs w:val="20"/>
          <w:color w:val="auto"/>
        </w:rPr>
      </w:pPr>
    </w:p>
    <w:p>
      <w:pPr>
        <w:spacing w:after="0" w:line="2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public warrant and private warrant is exercisable to purchase one-half of one share of our common stock. Because the warrants may only be exercised for whole numbers of shares, only an even number of warrants may be exercised at any given time.</w:t>
      </w:r>
    </w:p>
    <w:p>
      <w:pPr>
        <w:spacing w:after="0" w:line="182" w:lineRule="exact"/>
        <w:rPr>
          <w:sz w:val="20"/>
          <w:szCs w:val="20"/>
          <w:color w:val="auto"/>
        </w:rPr>
      </w:pPr>
    </w:p>
    <w:p>
      <w:pPr>
        <w:sectPr>
          <w:pgSz w:w="11900" w:h="16838" w:orient="portrait"/>
          <w:cols w:equalWidth="0" w:num="2">
            <w:col w:w="3042" w:space="580"/>
            <w:col w:w="7760"/>
          </w:cols>
          <w:pgMar w:left="378" w:top="1001" w:right="139" w:bottom="1440" w:gutter="0" w:footer="0" w:header="0"/>
          <w:type w:val="continuous"/>
        </w:sectPr>
      </w:pPr>
    </w:p>
    <w:p>
      <w:pPr>
        <w:ind w:left="2"/>
        <w:spacing w:after="0"/>
        <w:tabs>
          <w:tab w:leader="none" w:pos="3601" w:val="left"/>
        </w:tabs>
        <w:rPr>
          <w:sz w:val="20"/>
          <w:szCs w:val="20"/>
          <w:color w:val="auto"/>
        </w:rPr>
      </w:pPr>
      <w:r>
        <w:rPr>
          <w:rFonts w:ascii="Arial" w:cs="Arial" w:eastAsia="Arial" w:hAnsi="Arial"/>
          <w:sz w:val="18"/>
          <w:szCs w:val="18"/>
          <w:b w:val="1"/>
          <w:bCs w:val="1"/>
          <w:color w:val="auto"/>
        </w:rPr>
        <w:t>Exercise price of public warrants and private</w:t>
      </w:r>
      <w:r>
        <w:rPr>
          <w:sz w:val="20"/>
          <w:szCs w:val="20"/>
          <w:color w:val="auto"/>
        </w:rPr>
        <w:tab/>
      </w:r>
      <w:r>
        <w:rPr>
          <w:rFonts w:ascii="Arial" w:cs="Arial" w:eastAsia="Arial" w:hAnsi="Arial"/>
          <w:sz w:val="14"/>
          <w:szCs w:val="14"/>
          <w:color w:val="auto"/>
        </w:rPr>
        <w:t>$12.00 per whole share, subject to adjustments as described herein.</w:t>
      </w:r>
    </w:p>
    <w:p>
      <w:pPr>
        <w:spacing w:after="0" w:line="23"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warrants</w:t>
      </w:r>
    </w:p>
    <w:p>
      <w:pPr>
        <w:spacing w:after="0" w:line="195" w:lineRule="exact"/>
        <w:rPr>
          <w:sz w:val="20"/>
          <w:szCs w:val="20"/>
          <w:color w:val="auto"/>
        </w:rPr>
      </w:pPr>
    </w:p>
    <w:p>
      <w:pPr>
        <w:ind w:left="2" w:hanging="2"/>
        <w:spacing w:after="0" w:line="253" w:lineRule="auto"/>
        <w:tabs>
          <w:tab w:leader="none" w:pos="35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number includes an aggregate of up to 187,500 insider shares that are subject to forfeiture if the over-allotment option is not exercised by the underwriters in full.</w:t>
      </w:r>
    </w:p>
    <w:p>
      <w:pPr>
        <w:spacing w:after="0" w:line="1" w:lineRule="exact"/>
        <w:rPr>
          <w:rFonts w:ascii="Arial" w:cs="Arial" w:eastAsia="Arial" w:hAnsi="Arial"/>
          <w:sz w:val="18"/>
          <w:szCs w:val="18"/>
          <w:color w:val="auto"/>
        </w:rPr>
      </w:pPr>
    </w:p>
    <w:p>
      <w:pPr>
        <w:ind w:left="282" w:hanging="282"/>
        <w:spacing w:after="0"/>
        <w:tabs>
          <w:tab w:leader="none" w:pos="282"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 and an aggregate of 187,500 insider shares have been forfeited.</w:t>
      </w:r>
    </w:p>
    <w:p>
      <w:pPr>
        <w:spacing w:after="0" w:line="6" w:lineRule="exact"/>
        <w:rPr>
          <w:rFonts w:ascii="Arial" w:cs="Arial" w:eastAsia="Arial" w:hAnsi="Arial"/>
          <w:sz w:val="18"/>
          <w:szCs w:val="18"/>
          <w:color w:val="auto"/>
        </w:rPr>
      </w:pPr>
    </w:p>
    <w:p>
      <w:pPr>
        <w:ind w:left="282" w:hanging="282"/>
        <w:spacing w:after="0"/>
        <w:tabs>
          <w:tab w:leader="none" w:pos="282"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w:t>
      </w:r>
    </w:p>
    <w:p>
      <w:pPr>
        <w:spacing w:after="0" w:line="200" w:lineRule="exact"/>
        <w:rPr>
          <w:sz w:val="20"/>
          <w:szCs w:val="20"/>
          <w:color w:val="auto"/>
        </w:rPr>
      </w:pPr>
    </w:p>
    <w:p>
      <w:pPr>
        <w:spacing w:after="0" w:line="342" w:lineRule="exact"/>
        <w:rPr>
          <w:sz w:val="20"/>
          <w:szCs w:val="20"/>
          <w:color w:val="auto"/>
        </w:rPr>
      </w:pPr>
    </w:p>
    <w:p>
      <w:pPr>
        <w:jc w:val="center"/>
        <w:ind w:right="238"/>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3175</wp:posOffset>
            </wp:positionV>
            <wp:extent cx="724852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382"/>
          </w:cols>
          <w:pgMar w:left="378" w:top="1001" w:right="139" w:bottom="1440" w:gutter="0" w:footer="0" w:header="0"/>
          <w:type w:val="continuous"/>
        </w:sectPr>
      </w:pPr>
    </w:p>
    <w:bookmarkStart w:id="12" w:name="page13"/>
    <w:bookmarkEnd w:id="12"/>
    <w:p>
      <w:pPr>
        <w:spacing w:after="0"/>
        <w:tabs>
          <w:tab w:leader="none" w:pos="36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154305</wp:posOffset>
            </wp:positionH>
            <wp:positionV relativeFrom="page">
              <wp:posOffset>552450</wp:posOffset>
            </wp:positionV>
            <wp:extent cx="7313295" cy="3696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3295" cy="3696335"/>
                    </a:xfrm>
                    <a:prstGeom prst="rect">
                      <a:avLst/>
                    </a:prstGeom>
                    <a:noFill/>
                  </pic:spPr>
                </pic:pic>
              </a:graphicData>
            </a:graphic>
          </wp:anchor>
        </w:drawing>
        <w:t>Exercise Period</w:t>
      </w:r>
      <w:r>
        <w:rPr>
          <w:sz w:val="20"/>
          <w:szCs w:val="20"/>
          <w:color w:val="auto"/>
        </w:rPr>
        <w:tab/>
      </w:r>
      <w:r>
        <w:rPr>
          <w:rFonts w:ascii="Arial" w:cs="Arial" w:eastAsia="Arial" w:hAnsi="Arial"/>
          <w:sz w:val="16"/>
          <w:szCs w:val="16"/>
          <w:color w:val="auto"/>
        </w:rPr>
        <w:t>The warrants will become exercisable on the later of:</w:t>
      </w:r>
    </w:p>
    <w:p>
      <w:pPr>
        <w:spacing w:after="0" w:line="226" w:lineRule="exact"/>
        <w:rPr>
          <w:sz w:val="20"/>
          <w:szCs w:val="20"/>
          <w:color w:val="auto"/>
        </w:rPr>
      </w:pPr>
    </w:p>
    <w:p>
      <w:pPr>
        <w:ind w:left="4340" w:hanging="417"/>
        <w:spacing w:after="0"/>
        <w:tabs>
          <w:tab w:leader="none" w:pos="4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30 days after the completion of our initial business combination, and</w:t>
      </w:r>
    </w:p>
    <w:p>
      <w:pPr>
        <w:spacing w:after="0" w:line="219" w:lineRule="exact"/>
        <w:rPr>
          <w:rFonts w:ascii="Arial" w:cs="Arial" w:eastAsia="Arial" w:hAnsi="Arial"/>
          <w:sz w:val="18"/>
          <w:szCs w:val="18"/>
          <w:color w:val="auto"/>
        </w:rPr>
      </w:pPr>
    </w:p>
    <w:p>
      <w:pPr>
        <w:ind w:left="4340" w:hanging="417"/>
        <w:spacing w:after="0"/>
        <w:tabs>
          <w:tab w:leader="none" w:pos="4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12 months from the closing of this offering;</w:t>
      </w:r>
    </w:p>
    <w:p>
      <w:pPr>
        <w:spacing w:after="0" w:line="220" w:lineRule="exact"/>
        <w:rPr>
          <w:sz w:val="20"/>
          <w:szCs w:val="20"/>
          <w:color w:val="auto"/>
        </w:rPr>
      </w:pPr>
    </w:p>
    <w:p>
      <w:pPr>
        <w:jc w:val="both"/>
        <w:ind w:left="3620"/>
        <w:spacing w:after="0" w:line="273" w:lineRule="auto"/>
        <w:rPr>
          <w:sz w:val="20"/>
          <w:szCs w:val="20"/>
          <w:color w:val="auto"/>
        </w:rPr>
      </w:pPr>
      <w:r>
        <w:rPr>
          <w:rFonts w:ascii="Arial" w:cs="Arial" w:eastAsia="Arial" w:hAnsi="Arial"/>
          <w:sz w:val="17"/>
          <w:szCs w:val="17"/>
          <w:color w:val="auto"/>
        </w:rPr>
        <w:t>provided in each case that we have an effective registration statement under the Securities Act covering the shares of common stock issuable upon exercise of the warrants and a current prospectus relating to them is available (or we permit holders to exercise their public warrants or private warrants on a cashless basis under the circumstances specified in the warrant agreement).</w:t>
      </w:r>
    </w:p>
    <w:p>
      <w:pPr>
        <w:spacing w:after="0" w:line="177" w:lineRule="exact"/>
        <w:rPr>
          <w:sz w:val="20"/>
          <w:szCs w:val="20"/>
          <w:color w:val="auto"/>
        </w:rPr>
      </w:pPr>
    </w:p>
    <w:p>
      <w:pPr>
        <w:jc w:val="both"/>
        <w:ind w:left="3620"/>
        <w:spacing w:after="0" w:line="329" w:lineRule="auto"/>
        <w:rPr>
          <w:sz w:val="20"/>
          <w:szCs w:val="20"/>
          <w:color w:val="auto"/>
        </w:rPr>
      </w:pPr>
      <w:r>
        <w:rPr>
          <w:rFonts w:ascii="Arial" w:cs="Arial" w:eastAsia="Arial" w:hAnsi="Arial"/>
          <w:sz w:val="14"/>
          <w:szCs w:val="14"/>
          <w:color w:val="auto"/>
        </w:rPr>
        <w:t>We have agreed to use our best efforts to file and have an effective registration statement covering the shares of common stock issuable upon exercise of the warrants, to maintain a current prospectus relating to those shares of common stock until the warrants expire or are redeemed, and to register the shares of common stock that are issuable upon exercise of the public warrants and private warrants under state blue sky laws, to the extent an exemption is not available. Notwithstanding the foregoing, if a registration statement covering the shares of common stock issuable upon exercise of the public warrants and private warrants has not been declared effective by the 90th business day following the closing of our initial business combination and during any period when we shall have failed to maintain an effective registration statement, public warrant and private warrant holders may, until such time as there is an effective registration statement, exercise the public warrants and private warrants on a cashless basis pursuant to the exemption provided by Section 3(a)</w:t>
      </w:r>
    </w:p>
    <w:p>
      <w:pPr>
        <w:spacing w:after="0" w:line="158"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(9) of the Securities Act.</w:t>
      </w:r>
    </w:p>
    <w:p>
      <w:pPr>
        <w:spacing w:after="0" w:line="209" w:lineRule="exact"/>
        <w:rPr>
          <w:sz w:val="20"/>
          <w:szCs w:val="20"/>
          <w:color w:val="auto"/>
        </w:rPr>
      </w:pPr>
    </w:p>
    <w:p>
      <w:pPr>
        <w:jc w:val="both"/>
        <w:ind w:left="3620"/>
        <w:spacing w:after="0" w:line="267" w:lineRule="auto"/>
        <w:rPr>
          <w:sz w:val="20"/>
          <w:szCs w:val="20"/>
          <w:color w:val="auto"/>
        </w:rPr>
      </w:pPr>
      <w:r>
        <w:rPr>
          <w:rFonts w:ascii="Arial" w:cs="Arial" w:eastAsia="Arial" w:hAnsi="Arial"/>
          <w:sz w:val="18"/>
          <w:szCs w:val="18"/>
          <w:color w:val="auto"/>
        </w:rPr>
        <w:t>The public and private warrants will expire five years after the completion of our initial business combination, at 5:00 p.m., New York City time, or earlier upon redemption or liquidation.</w:t>
      </w:r>
    </w:p>
    <w:p>
      <w:pPr>
        <w:spacing w:after="0" w:line="200" w:lineRule="exact"/>
        <w:rPr>
          <w:sz w:val="20"/>
          <w:szCs w:val="20"/>
          <w:color w:val="auto"/>
        </w:rPr>
      </w:pPr>
    </w:p>
    <w:p>
      <w:pPr>
        <w:spacing w:after="0" w:line="353"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3175</wp:posOffset>
            </wp:positionV>
            <wp:extent cx="724852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380"/>
          </w:cols>
          <w:pgMar w:left="380" w:top="1201" w:right="139" w:bottom="1440" w:gutter="0" w:footer="0" w:header="0"/>
        </w:sectPr>
      </w:pPr>
    </w:p>
    <w:bookmarkStart w:id="13" w:name="page14"/>
    <w:bookmarkEnd w:id="13"/>
    <w:p>
      <w:pPr>
        <w:spacing w:after="0"/>
        <w:tabs>
          <w:tab w:leader="none" w:pos="36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154305</wp:posOffset>
            </wp:positionH>
            <wp:positionV relativeFrom="page">
              <wp:posOffset>577850</wp:posOffset>
            </wp:positionV>
            <wp:extent cx="7313295" cy="51866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3295" cy="5186680"/>
                    </a:xfrm>
                    <a:prstGeom prst="rect">
                      <a:avLst/>
                    </a:prstGeom>
                    <a:noFill/>
                  </pic:spPr>
                </pic:pic>
              </a:graphicData>
            </a:graphic>
          </wp:anchor>
        </w:drawing>
        <w:t>Redemption of warrants</w:t>
      </w:r>
      <w:r>
        <w:rPr>
          <w:sz w:val="20"/>
          <w:szCs w:val="20"/>
          <w:color w:val="auto"/>
        </w:rPr>
        <w:tab/>
      </w:r>
      <w:r>
        <w:rPr>
          <w:rFonts w:ascii="Arial" w:cs="Arial" w:eastAsia="Arial" w:hAnsi="Arial"/>
          <w:sz w:val="14"/>
          <w:szCs w:val="14"/>
          <w:color w:val="auto"/>
        </w:rPr>
        <w:t>Once the warrants become exercisable, we may redeem the outstanding warrants:</w:t>
      </w:r>
    </w:p>
    <w:p>
      <w:pPr>
        <w:spacing w:after="0" w:line="226" w:lineRule="exact"/>
        <w:rPr>
          <w:sz w:val="20"/>
          <w:szCs w:val="20"/>
          <w:color w:val="auto"/>
        </w:rPr>
      </w:pPr>
    </w:p>
    <w:p>
      <w:pPr>
        <w:ind w:left="4340" w:hanging="417"/>
        <w:spacing w:after="0"/>
        <w:tabs>
          <w:tab w:leader="none" w:pos="4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whole or in part</w:t>
      </w:r>
    </w:p>
    <w:p>
      <w:pPr>
        <w:spacing w:after="0" w:line="219" w:lineRule="exact"/>
        <w:rPr>
          <w:rFonts w:ascii="Arial" w:cs="Arial" w:eastAsia="Arial" w:hAnsi="Arial"/>
          <w:sz w:val="18"/>
          <w:szCs w:val="18"/>
          <w:color w:val="auto"/>
        </w:rPr>
      </w:pPr>
    </w:p>
    <w:p>
      <w:pPr>
        <w:ind w:left="4340" w:hanging="417"/>
        <w:spacing w:after="0"/>
        <w:tabs>
          <w:tab w:leader="none" w:pos="4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19" w:lineRule="exact"/>
        <w:rPr>
          <w:rFonts w:ascii="Arial" w:cs="Arial" w:eastAsia="Arial" w:hAnsi="Arial"/>
          <w:sz w:val="18"/>
          <w:szCs w:val="18"/>
          <w:color w:val="auto"/>
        </w:rPr>
      </w:pPr>
    </w:p>
    <w:p>
      <w:pPr>
        <w:ind w:left="4340" w:hanging="417"/>
        <w:spacing w:after="0" w:line="267" w:lineRule="auto"/>
        <w:tabs>
          <w:tab w:leader="none" w:pos="4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which we refer to as the 30-day redemption period; and</w:t>
      </w:r>
    </w:p>
    <w:p>
      <w:pPr>
        <w:spacing w:after="0" w:line="179" w:lineRule="exact"/>
        <w:rPr>
          <w:rFonts w:ascii="Arial" w:cs="Arial" w:eastAsia="Arial" w:hAnsi="Arial"/>
          <w:sz w:val="18"/>
          <w:szCs w:val="18"/>
          <w:color w:val="auto"/>
        </w:rPr>
      </w:pPr>
    </w:p>
    <w:p>
      <w:pPr>
        <w:jc w:val="both"/>
        <w:ind w:left="4340" w:hanging="417"/>
        <w:spacing w:after="0" w:line="257" w:lineRule="auto"/>
        <w:tabs>
          <w:tab w:leader="none" w:pos="4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and only if, the last sale price of our common stock equals or exceeds $16.00 per share for any 20 trading days within a 30-trading day period ending on the third trading day prior to the date on which we send the notice of redemption to the warrant holders.</w:t>
      </w:r>
    </w:p>
    <w:p>
      <w:pPr>
        <w:spacing w:after="0" w:line="188" w:lineRule="exact"/>
        <w:rPr>
          <w:sz w:val="20"/>
          <w:szCs w:val="20"/>
          <w:color w:val="auto"/>
        </w:rPr>
      </w:pPr>
    </w:p>
    <w:p>
      <w:pPr>
        <w:jc w:val="both"/>
        <w:ind w:left="3620"/>
        <w:spacing w:after="0" w:line="250" w:lineRule="auto"/>
        <w:rPr>
          <w:sz w:val="20"/>
          <w:szCs w:val="20"/>
          <w:color w:val="auto"/>
        </w:rPr>
      </w:pPr>
      <w:r>
        <w:rPr>
          <w:rFonts w:ascii="Arial" w:cs="Arial" w:eastAsia="Arial" w:hAnsi="Arial"/>
          <w:sz w:val="18"/>
          <w:szCs w:val="18"/>
          <w:color w:val="auto"/>
        </w:rPr>
        <w:t>We will not redeem the warrants unless an effective registration statement under the Securities Act covering the shares of common stock issuable upon exercise of the warrants is effective and a current prospectus relating to those shares of common stock is available throughout the 30-day redemption period, except if the warrants may be exercised on a cashless basis and such cashless exercise is exempt from registration under the Securities Act. If and when the warrants become redeemable by us, we may exercise our redemption right even if we are unable to register or qualify the underlying securities for sale under all applicable state securities laws.</w:t>
      </w:r>
    </w:p>
    <w:p>
      <w:pPr>
        <w:spacing w:after="0" w:line="198" w:lineRule="exact"/>
        <w:rPr>
          <w:sz w:val="20"/>
          <w:szCs w:val="20"/>
          <w:color w:val="auto"/>
        </w:rPr>
      </w:pPr>
    </w:p>
    <w:p>
      <w:pPr>
        <w:jc w:val="both"/>
        <w:ind w:left="3620"/>
        <w:spacing w:after="0" w:line="283" w:lineRule="auto"/>
        <w:rPr>
          <w:sz w:val="20"/>
          <w:szCs w:val="20"/>
          <w:color w:val="auto"/>
        </w:rPr>
      </w:pPr>
      <w:r>
        <w:rPr>
          <w:rFonts w:ascii="Arial" w:cs="Arial" w:eastAsia="Arial" w:hAnsi="Arial"/>
          <w:sz w:val="16"/>
          <w:szCs w:val="16"/>
          <w:color w:val="auto"/>
        </w:rPr>
        <w:t>If we call the warrants for redemption as described above, our management will have the option to require al holders that wish to exercise warrants to do so on a “cashless basis.” In determining whether to require al holders to exercise their warrants on a “cashless basis,” our management will consider, among other factors, our cash position, the number of warrants that are outstanding and the dilutive effect on our stockholders of issuing the maximum number of shares of common stock issuable upon the exercise of our warrants.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shall mean the average reported closing price of the common stock for the 10 trading days ending on the third trading day prior to the date on which the notice of redemption is sent to the holders of warrants. Please see the section entitled “Description of Securities — Warrants — Public Stockholders’ Warrants” for additional information.</w:t>
      </w:r>
    </w:p>
    <w:p>
      <w:pPr>
        <w:spacing w:after="0" w:line="170" w:lineRule="exact"/>
        <w:rPr>
          <w:sz w:val="20"/>
          <w:szCs w:val="20"/>
          <w:color w:val="auto"/>
        </w:rPr>
      </w:pPr>
    </w:p>
    <w:p>
      <w:pPr>
        <w:jc w:val="both"/>
        <w:ind w:left="3620"/>
        <w:spacing w:after="0" w:line="267" w:lineRule="auto"/>
        <w:rPr>
          <w:sz w:val="20"/>
          <w:szCs w:val="20"/>
          <w:color w:val="auto"/>
        </w:rPr>
      </w:pPr>
      <w:r>
        <w:rPr>
          <w:rFonts w:ascii="Arial" w:cs="Arial" w:eastAsia="Arial" w:hAnsi="Arial"/>
          <w:sz w:val="18"/>
          <w:szCs w:val="18"/>
          <w:color w:val="auto"/>
        </w:rPr>
        <w:t>None of the private warrants will be redeemable by us so long as they are held by the initial purchasers of the private warrants or any of their permitted transferees.</w:t>
      </w:r>
    </w:p>
    <w:p>
      <w:pPr>
        <w:spacing w:after="0" w:line="200" w:lineRule="exact"/>
        <w:rPr>
          <w:sz w:val="20"/>
          <w:szCs w:val="20"/>
          <w:color w:val="auto"/>
        </w:rPr>
      </w:pPr>
    </w:p>
    <w:p>
      <w:pPr>
        <w:spacing w:after="0" w:line="353"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3175</wp:posOffset>
            </wp:positionV>
            <wp:extent cx="724852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380"/>
          </w:cols>
          <w:pgMar w:left="380" w:top="1241" w:right="139" w:bottom="1440" w:gutter="0" w:footer="0" w:header="0"/>
        </w:sectPr>
      </w:pPr>
    </w:p>
    <w:bookmarkStart w:id="14" w:name="page15"/>
    <w:bookmarkEnd w:id="14"/>
    <w:p>
      <w:pPr>
        <w:spacing w:after="0" w:line="274" w:lineRule="auto"/>
        <w:rPr>
          <w:sz w:val="20"/>
          <w:szCs w:val="20"/>
          <w:color w:val="auto"/>
        </w:rPr>
      </w:pPr>
      <w:r>
        <w:rPr>
          <w:rFonts w:ascii="Arial" w:cs="Arial" w:eastAsia="Arial" w:hAnsi="Arial"/>
          <w:sz w:val="18"/>
          <w:szCs w:val="18"/>
          <w:b w:val="1"/>
          <w:bCs w:val="1"/>
          <w:color w:val="auto"/>
        </w:rPr>
        <w:t>Offering proceeds to be held in the trust account</w:t>
      </w:r>
    </w:p>
    <w:p>
      <w:pPr>
        <w:spacing w:after="0" w:line="20" w:lineRule="exact"/>
        <w:rPr>
          <w:sz w:val="20"/>
          <w:szCs w:val="20"/>
          <w:color w:val="auto"/>
        </w:rPr>
      </w:pPr>
      <w:r>
        <w:rPr>
          <w:sz w:val="20"/>
          <w:szCs w:val="20"/>
          <w:color w:val="auto"/>
        </w:rPr>
        <w:br w:type="column"/>
      </w:r>
    </w:p>
    <w:p>
      <w:pPr>
        <w:jc w:val="both"/>
        <w:spacing w:after="0" w:line="267" w:lineRule="auto"/>
        <w:rPr>
          <w:sz w:val="20"/>
          <w:szCs w:val="20"/>
          <w:color w:val="auto"/>
        </w:rPr>
      </w:pPr>
      <w:r>
        <w:rPr>
          <w:rFonts w:ascii="Arial" w:cs="Arial" w:eastAsia="Arial" w:hAnsi="Arial"/>
          <w:sz w:val="17"/>
          <w:szCs w:val="17"/>
          <w:color w:val="auto"/>
        </w:rPr>
        <w:t>$50,000,000 (or $57,500,000 if the over-allotment option is exercised in full) of the net proceeds of this offering and the proceeds we will receive from the sale of the private units, or $10.00 per unit sold to the public in this offering, will be placed in a trust account in the United States at Morgan Stanley Bank, N.A. maintained by Continental Stock Transfer &amp; Trust Company, acting as trustee pursuant to an agreement to be signed on the date of this prospectus. These proceeds include $1,000,000 (or $1,150,000 if the underwriters’ over-allotment option is exercised in full) in deferred underwriting commissions which will be paid to the underwriters upon the closing of a business combination. The remainder of the net proceeds of this offering will not be held in the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-2385060</wp:posOffset>
            </wp:positionH>
            <wp:positionV relativeFrom="paragraph">
              <wp:posOffset>-1318260</wp:posOffset>
            </wp:positionV>
            <wp:extent cx="7313295" cy="49155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3295" cy="4915535"/>
                    </a:xfrm>
                    <a:prstGeom prst="rect">
                      <a:avLst/>
                    </a:prstGeom>
                    <a:noFill/>
                  </pic:spPr>
                </pic:pic>
              </a:graphicData>
            </a:graphic>
          </wp:anchor>
        </w:drawing>
      </w:r>
    </w:p>
    <w:p>
      <w:pPr>
        <w:spacing w:after="0" w:line="16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Except as set forth below, the proceeds held in the trust account will not be released until the earlier of: (1 the completion of our initial business combination within the required time period and (2) our redemption of 100% of the outstanding public shares if we have not completed a business combination in the required time period. Therefore, unless and until our initial business combination is consummated, the proceeds held in the trust account will not be available for our use for any expenses related to this offering or expenses which we may incur related to the investigation and selection of a target business and the negotiation of an agreement in connection with our initial business combination.</w:t>
      </w:r>
    </w:p>
    <w:p>
      <w:pPr>
        <w:spacing w:after="0" w:line="16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Notwithstanding the foregoing, there can be released to us from the trust account (1) any interest earned on the funds in the trust account that we need to pay our income or other tax obligations and (2) any remaining interest earned on the funds in the trust account that we need for our working capital requirements. With these exceptions, expenses incurred by us may be paid prior to a business combination only from the ne proceeds of this offering not held in the trust account of approximately $525,000; provided, however, that in order to meet our working capital needs following the consummation of this offering, if the funds not held in the trust account and interest earned on the funds held in the trust account available to us are insufficient, ou insiders, officers and directors or their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$200,000 of the notes may be converted upon consummation of our business combination into additional private units at a price of $10.00 per unit. Our stockholders have approved the issuance of the private units upon conversion of such notes, to the exten the holder wishes to so convert such notes at the time of the consummation of our initial business combination. If we do not complete a business combination, any other outstanding loans from our insiders, officers and directors or their affiliates, will be repaid only from amounts remaining outside our trus account, if any.</w:t>
      </w:r>
    </w:p>
    <w:p>
      <w:pPr>
        <w:spacing w:after="0" w:line="200" w:lineRule="exact"/>
        <w:rPr>
          <w:sz w:val="20"/>
          <w:szCs w:val="20"/>
          <w:color w:val="auto"/>
        </w:rPr>
      </w:pPr>
    </w:p>
    <w:p>
      <w:pPr>
        <w:sectPr>
          <w:pgSz w:w="11900" w:h="16838" w:orient="portrait"/>
          <w:cols w:equalWidth="0" w:num="2">
            <w:col w:w="3040" w:space="580"/>
            <w:col w:w="7760"/>
          </w:cols>
          <w:pgMar w:left="380" w:top="1241" w:right="139" w:bottom="1440" w:gutter="0" w:footer="0" w:header="0"/>
        </w:sectPr>
      </w:pPr>
    </w:p>
    <w:p>
      <w:pPr>
        <w:spacing w:after="0" w:line="352"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17780</wp:posOffset>
            </wp:positionV>
            <wp:extent cx="724852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380"/>
          </w:cols>
          <w:pgMar w:left="380" w:top="1241" w:right="139" w:bottom="1440" w:gutter="0" w:footer="0" w:header="0"/>
          <w:type w:val="continuous"/>
        </w:sectPr>
      </w:pPr>
    </w:p>
    <w:bookmarkStart w:id="15" w:name="page16"/>
    <w:bookmarkEnd w:id="15"/>
    <w:tbl>
      <w:tblPr>
        <w:tblLayout w:type="fixed"/>
        <w:tblInd w:w="10" w:type="dxa"/>
        <w:tblCellMar>
          <w:top w:w="0" w:type="dxa"/>
          <w:left w:w="0" w:type="dxa"/>
          <w:bottom w:w="0" w:type="dxa"/>
          <w:right w:w="0" w:type="dxa"/>
        </w:tblCellMar>
      </w:tblPr>
      <w:tr>
        <w:trPr>
          <w:trHeight w:val="551"/>
        </w:trPr>
        <w:tc>
          <w:tcPr>
            <w:tcW w:w="2500" w:type="dxa"/>
            <w:vAlign w:val="bottom"/>
            <w:tcBorders>
              <w:top w:val="single" w:sz="8" w:color="auto"/>
              <w:left w:val="single" w:sz="8" w:color="auto"/>
            </w:tcBorders>
          </w:tcPr>
          <w:p>
            <w:pPr>
              <w:ind w:left="140"/>
              <w:spacing w:after="0"/>
              <w:rPr>
                <w:sz w:val="20"/>
                <w:szCs w:val="20"/>
                <w:color w:val="auto"/>
              </w:rPr>
            </w:pPr>
            <w:r>
              <w:rPr>
                <w:rFonts w:ascii="Arial" w:cs="Arial" w:eastAsia="Arial" w:hAnsi="Arial"/>
                <w:sz w:val="18"/>
                <w:szCs w:val="18"/>
                <w:b w:val="1"/>
                <w:bCs w:val="1"/>
                <w:color w:val="auto"/>
              </w:rPr>
              <w:t>Insider Shares</w:t>
            </w:r>
          </w:p>
        </w:tc>
        <w:tc>
          <w:tcPr>
            <w:tcW w:w="9020" w:type="dxa"/>
            <w:vAlign w:val="bottom"/>
            <w:tcBorders>
              <w:top w:val="single" w:sz="8" w:color="auto"/>
            </w:tcBorders>
            <w:gridSpan w:val="3"/>
          </w:tcPr>
          <w:p>
            <w:pPr>
              <w:ind w:left="1260"/>
              <w:spacing w:after="0"/>
              <w:rPr>
                <w:sz w:val="20"/>
                <w:szCs w:val="20"/>
                <w:color w:val="auto"/>
              </w:rPr>
            </w:pPr>
            <w:r>
              <w:rPr>
                <w:rFonts w:ascii="Arial" w:cs="Arial" w:eastAsia="Arial" w:hAnsi="Arial"/>
                <w:sz w:val="18"/>
                <w:szCs w:val="18"/>
                <w:color w:val="auto"/>
                <w:w w:val="88"/>
              </w:rPr>
              <w:t>In April 2015, our insiders purchased an aggregate of 1,437,500 shares of our common stock for an aggregate</w:t>
            </w:r>
          </w:p>
        </w:tc>
      </w:tr>
      <w:tr>
        <w:trPr>
          <w:trHeight w:val="213"/>
        </w:trPr>
        <w:tc>
          <w:tcPr>
            <w:tcW w:w="2500" w:type="dxa"/>
            <w:vAlign w:val="bottom"/>
            <w:tcBorders>
              <w:left w:val="single" w:sz="8" w:color="auto"/>
            </w:tcBorders>
          </w:tcPr>
          <w:p>
            <w:pPr>
              <w:spacing w:after="0"/>
              <w:rPr>
                <w:sz w:val="18"/>
                <w:szCs w:val="18"/>
                <w:color w:val="auto"/>
              </w:rPr>
            </w:pPr>
          </w:p>
        </w:tc>
        <w:tc>
          <w:tcPr>
            <w:tcW w:w="9020" w:type="dxa"/>
            <w:vAlign w:val="bottom"/>
            <w:gridSpan w:val="3"/>
          </w:tcPr>
          <w:p>
            <w:pPr>
              <w:ind w:left="1260"/>
              <w:spacing w:after="0"/>
              <w:rPr>
                <w:sz w:val="20"/>
                <w:szCs w:val="20"/>
                <w:color w:val="auto"/>
              </w:rPr>
            </w:pPr>
            <w:r>
              <w:rPr>
                <w:rFonts w:ascii="Arial" w:cs="Arial" w:eastAsia="Arial" w:hAnsi="Arial"/>
                <w:sz w:val="18"/>
                <w:szCs w:val="18"/>
                <w:color w:val="auto"/>
                <w:w w:val="90"/>
              </w:rPr>
              <w:t>purchase price of $25,000, or approximately $.02 per share. The 1,437,500 insider shares held or controlled</w:t>
            </w:r>
          </w:p>
        </w:tc>
      </w:tr>
      <w:tr>
        <w:trPr>
          <w:trHeight w:val="213"/>
        </w:trPr>
        <w:tc>
          <w:tcPr>
            <w:tcW w:w="2500" w:type="dxa"/>
            <w:vAlign w:val="bottom"/>
            <w:tcBorders>
              <w:left w:val="single" w:sz="8" w:color="auto"/>
            </w:tcBorders>
          </w:tcPr>
          <w:p>
            <w:pPr>
              <w:spacing w:after="0"/>
              <w:rPr>
                <w:sz w:val="18"/>
                <w:szCs w:val="18"/>
                <w:color w:val="auto"/>
              </w:rPr>
            </w:pPr>
          </w:p>
        </w:tc>
        <w:tc>
          <w:tcPr>
            <w:tcW w:w="9020" w:type="dxa"/>
            <w:vAlign w:val="bottom"/>
            <w:gridSpan w:val="3"/>
          </w:tcPr>
          <w:p>
            <w:pPr>
              <w:ind w:left="1260"/>
              <w:spacing w:after="0"/>
              <w:rPr>
                <w:sz w:val="20"/>
                <w:szCs w:val="20"/>
                <w:color w:val="auto"/>
              </w:rPr>
            </w:pPr>
            <w:r>
              <w:rPr>
                <w:rFonts w:ascii="Arial" w:cs="Arial" w:eastAsia="Arial" w:hAnsi="Arial"/>
                <w:sz w:val="18"/>
                <w:szCs w:val="18"/>
                <w:color w:val="auto"/>
                <w:w w:val="95"/>
              </w:rPr>
              <w:t>by our insiders include an aggregate of up to 187,500 shares subject to forfeiture to the extent that the</w:t>
            </w:r>
          </w:p>
        </w:tc>
      </w:tr>
      <w:tr>
        <w:trPr>
          <w:trHeight w:val="213"/>
        </w:trPr>
        <w:tc>
          <w:tcPr>
            <w:tcW w:w="2500" w:type="dxa"/>
            <w:vAlign w:val="bottom"/>
            <w:tcBorders>
              <w:left w:val="single" w:sz="8" w:color="auto"/>
            </w:tcBorders>
          </w:tcPr>
          <w:p>
            <w:pPr>
              <w:spacing w:after="0"/>
              <w:rPr>
                <w:sz w:val="18"/>
                <w:szCs w:val="18"/>
                <w:color w:val="auto"/>
              </w:rPr>
            </w:pPr>
          </w:p>
        </w:tc>
        <w:tc>
          <w:tcPr>
            <w:tcW w:w="9020" w:type="dxa"/>
            <w:vAlign w:val="bottom"/>
            <w:gridSpan w:val="3"/>
          </w:tcPr>
          <w:p>
            <w:pPr>
              <w:ind w:left="1260"/>
              <w:spacing w:after="0"/>
              <w:rPr>
                <w:sz w:val="20"/>
                <w:szCs w:val="20"/>
                <w:color w:val="auto"/>
              </w:rPr>
            </w:pPr>
            <w:r>
              <w:rPr>
                <w:rFonts w:ascii="Arial" w:cs="Arial" w:eastAsia="Arial" w:hAnsi="Arial"/>
                <w:sz w:val="18"/>
                <w:szCs w:val="18"/>
                <w:color w:val="auto"/>
                <w:w w:val="95"/>
              </w:rPr>
              <w:t>underwriters’ over-allotment option is not exercised in full or in part, so that our insiders will collectively</w:t>
            </w:r>
          </w:p>
        </w:tc>
      </w:tr>
      <w:tr>
        <w:trPr>
          <w:trHeight w:val="213"/>
        </w:trPr>
        <w:tc>
          <w:tcPr>
            <w:tcW w:w="2500" w:type="dxa"/>
            <w:vAlign w:val="bottom"/>
            <w:tcBorders>
              <w:left w:val="single" w:sz="8" w:color="auto"/>
            </w:tcBorders>
          </w:tcPr>
          <w:p>
            <w:pPr>
              <w:spacing w:after="0"/>
              <w:rPr>
                <w:sz w:val="18"/>
                <w:szCs w:val="18"/>
                <w:color w:val="auto"/>
              </w:rPr>
            </w:pPr>
          </w:p>
        </w:tc>
        <w:tc>
          <w:tcPr>
            <w:tcW w:w="9020" w:type="dxa"/>
            <w:vAlign w:val="bottom"/>
            <w:gridSpan w:val="3"/>
          </w:tcPr>
          <w:p>
            <w:pPr>
              <w:ind w:left="1260"/>
              <w:spacing w:after="0"/>
              <w:rPr>
                <w:sz w:val="20"/>
                <w:szCs w:val="20"/>
                <w:color w:val="auto"/>
              </w:rPr>
            </w:pPr>
            <w:r>
              <w:rPr>
                <w:rFonts w:ascii="Arial" w:cs="Arial" w:eastAsia="Arial" w:hAnsi="Arial"/>
                <w:sz w:val="18"/>
                <w:szCs w:val="18"/>
                <w:color w:val="auto"/>
                <w:w w:val="95"/>
              </w:rPr>
              <w:t>own or control 20.0% of our issued and outstanding shares after this offering (excluding the sale of the</w:t>
            </w:r>
          </w:p>
        </w:tc>
      </w:tr>
      <w:tr>
        <w:trPr>
          <w:trHeight w:val="213"/>
        </w:trPr>
        <w:tc>
          <w:tcPr>
            <w:tcW w:w="2500" w:type="dxa"/>
            <w:vAlign w:val="bottom"/>
            <w:tcBorders>
              <w:left w:val="single" w:sz="8" w:color="auto"/>
            </w:tcBorders>
          </w:tcPr>
          <w:p>
            <w:pPr>
              <w:spacing w:after="0"/>
              <w:rPr>
                <w:sz w:val="18"/>
                <w:szCs w:val="18"/>
                <w:color w:val="auto"/>
              </w:rPr>
            </w:pPr>
          </w:p>
        </w:tc>
        <w:tc>
          <w:tcPr>
            <w:tcW w:w="9020" w:type="dxa"/>
            <w:vAlign w:val="bottom"/>
            <w:gridSpan w:val="3"/>
          </w:tcPr>
          <w:p>
            <w:pPr>
              <w:ind w:left="1260"/>
              <w:spacing w:after="0"/>
              <w:rPr>
                <w:sz w:val="20"/>
                <w:szCs w:val="20"/>
                <w:color w:val="auto"/>
              </w:rPr>
            </w:pPr>
            <w:r>
              <w:rPr>
                <w:rFonts w:ascii="Arial" w:cs="Arial" w:eastAsia="Arial" w:hAnsi="Arial"/>
                <w:sz w:val="18"/>
                <w:szCs w:val="18"/>
                <w:color w:val="auto"/>
                <w:w w:val="93"/>
              </w:rPr>
              <w:t>private units and assuming our insiders do not purchase units in this offering). The purchase price of the</w:t>
            </w:r>
          </w:p>
        </w:tc>
      </w:tr>
      <w:tr>
        <w:trPr>
          <w:trHeight w:val="213"/>
        </w:trPr>
        <w:tc>
          <w:tcPr>
            <w:tcW w:w="2500" w:type="dxa"/>
            <w:vAlign w:val="bottom"/>
            <w:tcBorders>
              <w:left w:val="single" w:sz="8" w:color="auto"/>
            </w:tcBorders>
          </w:tcPr>
          <w:p>
            <w:pPr>
              <w:spacing w:after="0"/>
              <w:rPr>
                <w:sz w:val="18"/>
                <w:szCs w:val="18"/>
                <w:color w:val="auto"/>
              </w:rPr>
            </w:pPr>
          </w:p>
        </w:tc>
        <w:tc>
          <w:tcPr>
            <w:tcW w:w="9020" w:type="dxa"/>
            <w:vAlign w:val="bottom"/>
            <w:gridSpan w:val="3"/>
          </w:tcPr>
          <w:p>
            <w:pPr>
              <w:ind w:left="1260"/>
              <w:spacing w:after="0"/>
              <w:rPr>
                <w:sz w:val="20"/>
                <w:szCs w:val="20"/>
                <w:color w:val="auto"/>
              </w:rPr>
            </w:pPr>
            <w:r>
              <w:rPr>
                <w:rFonts w:ascii="Arial" w:cs="Arial" w:eastAsia="Arial" w:hAnsi="Arial"/>
                <w:sz w:val="18"/>
                <w:szCs w:val="18"/>
                <w:color w:val="auto"/>
                <w:w w:val="90"/>
              </w:rPr>
              <w:t>insider shares was determined by dividing the amount of cash contributed to the company by the number of</w:t>
            </w:r>
          </w:p>
        </w:tc>
      </w:tr>
      <w:tr>
        <w:trPr>
          <w:trHeight w:val="213"/>
        </w:trPr>
        <w:tc>
          <w:tcPr>
            <w:tcW w:w="2500" w:type="dxa"/>
            <w:vAlign w:val="bottom"/>
            <w:tcBorders>
              <w:left w:val="single" w:sz="8" w:color="auto"/>
            </w:tcBorders>
          </w:tcPr>
          <w:p>
            <w:pPr>
              <w:spacing w:after="0"/>
              <w:rPr>
                <w:sz w:val="18"/>
                <w:szCs w:val="18"/>
                <w:color w:val="auto"/>
              </w:rPr>
            </w:pPr>
          </w:p>
        </w:tc>
        <w:tc>
          <w:tcPr>
            <w:tcW w:w="9020" w:type="dxa"/>
            <w:vAlign w:val="bottom"/>
            <w:gridSpan w:val="3"/>
          </w:tcPr>
          <w:p>
            <w:pPr>
              <w:ind w:left="1260"/>
              <w:spacing w:after="0"/>
              <w:rPr>
                <w:sz w:val="20"/>
                <w:szCs w:val="20"/>
                <w:color w:val="auto"/>
              </w:rPr>
            </w:pPr>
            <w:r>
              <w:rPr>
                <w:rFonts w:ascii="Arial" w:cs="Arial" w:eastAsia="Arial" w:hAnsi="Arial"/>
                <w:sz w:val="18"/>
                <w:szCs w:val="18"/>
                <w:color w:val="auto"/>
                <w:w w:val="91"/>
              </w:rPr>
              <w:t>insider shares issued. If we increase or decrease the size of the offering pursuant to Rule 462(b) under the</w:t>
            </w:r>
          </w:p>
        </w:tc>
      </w:tr>
      <w:tr>
        <w:trPr>
          <w:trHeight w:val="213"/>
        </w:trPr>
        <w:tc>
          <w:tcPr>
            <w:tcW w:w="2500" w:type="dxa"/>
            <w:vAlign w:val="bottom"/>
            <w:tcBorders>
              <w:left w:val="single" w:sz="8" w:color="auto"/>
            </w:tcBorders>
          </w:tcPr>
          <w:p>
            <w:pPr>
              <w:spacing w:after="0"/>
              <w:rPr>
                <w:sz w:val="18"/>
                <w:szCs w:val="18"/>
                <w:color w:val="auto"/>
              </w:rPr>
            </w:pPr>
          </w:p>
        </w:tc>
        <w:tc>
          <w:tcPr>
            <w:tcW w:w="9020" w:type="dxa"/>
            <w:vAlign w:val="bottom"/>
            <w:gridSpan w:val="3"/>
          </w:tcPr>
          <w:p>
            <w:pPr>
              <w:ind w:left="1260"/>
              <w:spacing w:after="0"/>
              <w:rPr>
                <w:sz w:val="20"/>
                <w:szCs w:val="20"/>
                <w:color w:val="auto"/>
              </w:rPr>
            </w:pPr>
            <w:r>
              <w:rPr>
                <w:rFonts w:ascii="Arial" w:cs="Arial" w:eastAsia="Arial" w:hAnsi="Arial"/>
                <w:sz w:val="18"/>
                <w:szCs w:val="18"/>
                <w:color w:val="auto"/>
              </w:rPr>
              <w:t>Securities Act, we will effect a stock dividend or share contribution back to capital, as applicable,</w:t>
            </w:r>
          </w:p>
        </w:tc>
      </w:tr>
      <w:tr>
        <w:trPr>
          <w:trHeight w:val="213"/>
        </w:trPr>
        <w:tc>
          <w:tcPr>
            <w:tcW w:w="2500" w:type="dxa"/>
            <w:vAlign w:val="bottom"/>
            <w:tcBorders>
              <w:left w:val="single" w:sz="8" w:color="auto"/>
            </w:tcBorders>
          </w:tcPr>
          <w:p>
            <w:pPr>
              <w:spacing w:after="0"/>
              <w:rPr>
                <w:sz w:val="18"/>
                <w:szCs w:val="18"/>
                <w:color w:val="auto"/>
              </w:rPr>
            </w:pPr>
          </w:p>
        </w:tc>
        <w:tc>
          <w:tcPr>
            <w:tcW w:w="9020" w:type="dxa"/>
            <w:vAlign w:val="bottom"/>
            <w:gridSpan w:val="3"/>
          </w:tcPr>
          <w:p>
            <w:pPr>
              <w:ind w:left="1260"/>
              <w:spacing w:after="0"/>
              <w:rPr>
                <w:sz w:val="20"/>
                <w:szCs w:val="20"/>
                <w:color w:val="auto"/>
              </w:rPr>
            </w:pPr>
            <w:r>
              <w:rPr>
                <w:rFonts w:ascii="Arial" w:cs="Arial" w:eastAsia="Arial" w:hAnsi="Arial"/>
                <w:sz w:val="18"/>
                <w:szCs w:val="18"/>
                <w:color w:val="auto"/>
                <w:w w:val="93"/>
              </w:rPr>
              <w:t>immediately prior to the consummation of the offering in such amount as to maintain the ownership of ou</w:t>
            </w:r>
          </w:p>
        </w:tc>
      </w:tr>
      <w:tr>
        <w:trPr>
          <w:trHeight w:val="213"/>
        </w:trPr>
        <w:tc>
          <w:tcPr>
            <w:tcW w:w="2500" w:type="dxa"/>
            <w:vAlign w:val="bottom"/>
            <w:tcBorders>
              <w:left w:val="single" w:sz="8" w:color="auto"/>
            </w:tcBorders>
          </w:tcPr>
          <w:p>
            <w:pPr>
              <w:spacing w:after="0"/>
              <w:rPr>
                <w:sz w:val="18"/>
                <w:szCs w:val="18"/>
                <w:color w:val="auto"/>
              </w:rPr>
            </w:pPr>
          </w:p>
        </w:tc>
        <w:tc>
          <w:tcPr>
            <w:tcW w:w="9020" w:type="dxa"/>
            <w:vAlign w:val="bottom"/>
            <w:gridSpan w:val="3"/>
          </w:tcPr>
          <w:p>
            <w:pPr>
              <w:ind w:left="1260"/>
              <w:spacing w:after="0"/>
              <w:rPr>
                <w:sz w:val="20"/>
                <w:szCs w:val="20"/>
                <w:color w:val="auto"/>
              </w:rPr>
            </w:pPr>
            <w:r>
              <w:rPr>
                <w:rFonts w:ascii="Arial" w:cs="Arial" w:eastAsia="Arial" w:hAnsi="Arial"/>
                <w:sz w:val="18"/>
                <w:szCs w:val="18"/>
                <w:color w:val="auto"/>
                <w:w w:val="96"/>
              </w:rPr>
              <w:t>stockholders prior to this offering at 25% of the number of shares sold in this offering. Our insiders wil</w:t>
            </w:r>
          </w:p>
        </w:tc>
      </w:tr>
      <w:tr>
        <w:trPr>
          <w:trHeight w:val="213"/>
        </w:trPr>
        <w:tc>
          <w:tcPr>
            <w:tcW w:w="2500" w:type="dxa"/>
            <w:vAlign w:val="bottom"/>
            <w:tcBorders>
              <w:left w:val="single" w:sz="8" w:color="auto"/>
            </w:tcBorders>
          </w:tcPr>
          <w:p>
            <w:pPr>
              <w:spacing w:after="0"/>
              <w:rPr>
                <w:sz w:val="18"/>
                <w:szCs w:val="18"/>
                <w:color w:val="auto"/>
              </w:rPr>
            </w:pPr>
          </w:p>
        </w:tc>
        <w:tc>
          <w:tcPr>
            <w:tcW w:w="9020" w:type="dxa"/>
            <w:vAlign w:val="bottom"/>
            <w:gridSpan w:val="3"/>
          </w:tcPr>
          <w:p>
            <w:pPr>
              <w:ind w:left="1260"/>
              <w:spacing w:after="0"/>
              <w:rPr>
                <w:sz w:val="20"/>
                <w:szCs w:val="20"/>
                <w:color w:val="auto"/>
              </w:rPr>
            </w:pPr>
            <w:r>
              <w:rPr>
                <w:rFonts w:ascii="Arial" w:cs="Arial" w:eastAsia="Arial" w:hAnsi="Arial"/>
                <w:sz w:val="18"/>
                <w:szCs w:val="18"/>
                <w:color w:val="auto"/>
                <w:w w:val="93"/>
              </w:rPr>
              <w:t>collectively beneficially own approximately 23.1% of our issued and outstanding shares after this offering</w:t>
            </w:r>
          </w:p>
        </w:tc>
      </w:tr>
      <w:tr>
        <w:trPr>
          <w:trHeight w:val="213"/>
        </w:trPr>
        <w:tc>
          <w:tcPr>
            <w:tcW w:w="2500" w:type="dxa"/>
            <w:vAlign w:val="bottom"/>
            <w:tcBorders>
              <w:left w:val="single" w:sz="8" w:color="auto"/>
            </w:tcBorders>
          </w:tcPr>
          <w:p>
            <w:pPr>
              <w:spacing w:after="0"/>
              <w:rPr>
                <w:sz w:val="18"/>
                <w:szCs w:val="18"/>
                <w:color w:val="auto"/>
              </w:rPr>
            </w:pPr>
          </w:p>
        </w:tc>
        <w:tc>
          <w:tcPr>
            <w:tcW w:w="9020" w:type="dxa"/>
            <w:vAlign w:val="bottom"/>
            <w:gridSpan w:val="3"/>
          </w:tcPr>
          <w:p>
            <w:pPr>
              <w:ind w:left="1260"/>
              <w:spacing w:after="0"/>
              <w:rPr>
                <w:sz w:val="20"/>
                <w:szCs w:val="20"/>
                <w:color w:val="auto"/>
              </w:rPr>
            </w:pPr>
            <w:r>
              <w:rPr>
                <w:rFonts w:ascii="Arial" w:cs="Arial" w:eastAsia="Arial" w:hAnsi="Arial"/>
                <w:sz w:val="18"/>
                <w:szCs w:val="18"/>
                <w:color w:val="auto"/>
                <w:w w:val="90"/>
              </w:rPr>
              <w:t>(assuming they do not purchase any public units in this offering and the underwriters do not exercise all or a</w:t>
            </w:r>
          </w:p>
        </w:tc>
      </w:tr>
      <w:tr>
        <w:trPr>
          <w:trHeight w:val="213"/>
        </w:trPr>
        <w:tc>
          <w:tcPr>
            <w:tcW w:w="2500" w:type="dxa"/>
            <w:vAlign w:val="bottom"/>
            <w:tcBorders>
              <w:left w:val="single" w:sz="8" w:color="auto"/>
            </w:tcBorders>
          </w:tcPr>
          <w:p>
            <w:pPr>
              <w:spacing w:after="0"/>
              <w:rPr>
                <w:sz w:val="18"/>
                <w:szCs w:val="18"/>
                <w:color w:val="auto"/>
              </w:rPr>
            </w:pPr>
          </w:p>
        </w:tc>
        <w:tc>
          <w:tcPr>
            <w:tcW w:w="9020" w:type="dxa"/>
            <w:vAlign w:val="bottom"/>
            <w:gridSpan w:val="3"/>
          </w:tcPr>
          <w:p>
            <w:pPr>
              <w:ind w:left="1260"/>
              <w:spacing w:after="0"/>
              <w:rPr>
                <w:sz w:val="20"/>
                <w:szCs w:val="20"/>
                <w:color w:val="auto"/>
              </w:rPr>
            </w:pPr>
            <w:r>
              <w:rPr>
                <w:rFonts w:ascii="Arial" w:cs="Arial" w:eastAsia="Arial" w:hAnsi="Arial"/>
                <w:sz w:val="18"/>
                <w:szCs w:val="18"/>
                <w:color w:val="auto"/>
                <w:w w:val="97"/>
              </w:rPr>
              <w:t>portion of the over-allotment option). Up to 187,500 insider shares will be subject to forfeiture by our</w:t>
            </w:r>
          </w:p>
        </w:tc>
      </w:tr>
      <w:tr>
        <w:trPr>
          <w:trHeight w:val="213"/>
        </w:trPr>
        <w:tc>
          <w:tcPr>
            <w:tcW w:w="2500" w:type="dxa"/>
            <w:vAlign w:val="bottom"/>
            <w:tcBorders>
              <w:left w:val="single" w:sz="8" w:color="auto"/>
            </w:tcBorders>
          </w:tcPr>
          <w:p>
            <w:pPr>
              <w:spacing w:after="0"/>
              <w:rPr>
                <w:sz w:val="18"/>
                <w:szCs w:val="18"/>
                <w:color w:val="auto"/>
              </w:rPr>
            </w:pPr>
          </w:p>
        </w:tc>
        <w:tc>
          <w:tcPr>
            <w:tcW w:w="9020" w:type="dxa"/>
            <w:vAlign w:val="bottom"/>
            <w:gridSpan w:val="3"/>
          </w:tcPr>
          <w:p>
            <w:pPr>
              <w:ind w:left="1260"/>
              <w:spacing w:after="0"/>
              <w:rPr>
                <w:sz w:val="20"/>
                <w:szCs w:val="20"/>
                <w:color w:val="auto"/>
              </w:rPr>
            </w:pPr>
            <w:r>
              <w:rPr>
                <w:rFonts w:ascii="Arial" w:cs="Arial" w:eastAsia="Arial" w:hAnsi="Arial"/>
                <w:sz w:val="18"/>
                <w:szCs w:val="18"/>
                <w:color w:val="auto"/>
                <w:w w:val="95"/>
              </w:rPr>
              <w:t>insiders and their designees (and/or their permitted transferees) depending on the extent to which the</w:t>
            </w:r>
          </w:p>
        </w:tc>
      </w:tr>
      <w:tr>
        <w:trPr>
          <w:trHeight w:val="224"/>
        </w:trPr>
        <w:tc>
          <w:tcPr>
            <w:tcW w:w="2500" w:type="dxa"/>
            <w:vAlign w:val="bottom"/>
            <w:tcBorders>
              <w:left w:val="single" w:sz="8" w:color="auto"/>
            </w:tcBorders>
          </w:tcPr>
          <w:p>
            <w:pPr>
              <w:spacing w:after="0"/>
              <w:rPr>
                <w:sz w:val="19"/>
                <w:szCs w:val="19"/>
                <w:color w:val="auto"/>
              </w:rPr>
            </w:pPr>
          </w:p>
        </w:tc>
        <w:tc>
          <w:tcPr>
            <w:tcW w:w="9020" w:type="dxa"/>
            <w:vAlign w:val="bottom"/>
            <w:gridSpan w:val="3"/>
          </w:tcPr>
          <w:p>
            <w:pPr>
              <w:ind w:left="1260"/>
              <w:spacing w:after="0"/>
              <w:rPr>
                <w:sz w:val="20"/>
                <w:szCs w:val="20"/>
                <w:color w:val="auto"/>
              </w:rPr>
            </w:pPr>
            <w:r>
              <w:rPr>
                <w:rFonts w:ascii="Arial" w:cs="Arial" w:eastAsia="Arial" w:hAnsi="Arial"/>
                <w:sz w:val="18"/>
                <w:szCs w:val="18"/>
                <w:color w:val="auto"/>
              </w:rPr>
              <w:t>underwriters’ over-allotment option is exercised.</w:t>
            </w:r>
          </w:p>
        </w:tc>
      </w:tr>
      <w:tr>
        <w:trPr>
          <w:trHeight w:val="416"/>
        </w:trPr>
        <w:tc>
          <w:tcPr>
            <w:tcW w:w="2500" w:type="dxa"/>
            <w:vAlign w:val="bottom"/>
            <w:tcBorders>
              <w:left w:val="single" w:sz="8" w:color="auto"/>
            </w:tcBorders>
          </w:tcPr>
          <w:p>
            <w:pPr>
              <w:spacing w:after="0"/>
              <w:rPr>
                <w:sz w:val="24"/>
                <w:szCs w:val="24"/>
                <w:color w:val="auto"/>
              </w:rPr>
            </w:pPr>
          </w:p>
        </w:tc>
        <w:tc>
          <w:tcPr>
            <w:tcW w:w="9020" w:type="dxa"/>
            <w:vAlign w:val="bottom"/>
            <w:gridSpan w:val="3"/>
          </w:tcPr>
          <w:p>
            <w:pPr>
              <w:ind w:left="1260"/>
              <w:spacing w:after="0"/>
              <w:rPr>
                <w:sz w:val="20"/>
                <w:szCs w:val="20"/>
                <w:color w:val="auto"/>
              </w:rPr>
            </w:pPr>
            <w:r>
              <w:rPr>
                <w:rFonts w:ascii="Arial" w:cs="Arial" w:eastAsia="Arial" w:hAnsi="Arial"/>
                <w:sz w:val="18"/>
                <w:szCs w:val="18"/>
                <w:color w:val="auto"/>
                <w:w w:val="96"/>
              </w:rPr>
              <w:t>The insider shares are identical to the shares of common stock included in the units being sold in this</w:t>
            </w:r>
          </w:p>
        </w:tc>
      </w:tr>
      <w:tr>
        <w:trPr>
          <w:trHeight w:val="224"/>
        </w:trPr>
        <w:tc>
          <w:tcPr>
            <w:tcW w:w="2500" w:type="dxa"/>
            <w:vAlign w:val="bottom"/>
            <w:tcBorders>
              <w:left w:val="single" w:sz="8" w:color="auto"/>
            </w:tcBorders>
          </w:tcPr>
          <w:p>
            <w:pPr>
              <w:spacing w:after="0"/>
              <w:rPr>
                <w:sz w:val="19"/>
                <w:szCs w:val="19"/>
                <w:color w:val="auto"/>
              </w:rPr>
            </w:pPr>
          </w:p>
        </w:tc>
        <w:tc>
          <w:tcPr>
            <w:tcW w:w="9020" w:type="dxa"/>
            <w:vAlign w:val="bottom"/>
            <w:gridSpan w:val="3"/>
          </w:tcPr>
          <w:p>
            <w:pPr>
              <w:ind w:left="1260"/>
              <w:spacing w:after="0"/>
              <w:rPr>
                <w:sz w:val="20"/>
                <w:szCs w:val="20"/>
                <w:color w:val="auto"/>
              </w:rPr>
            </w:pPr>
            <w:r>
              <w:rPr>
                <w:rFonts w:ascii="Arial" w:cs="Arial" w:eastAsia="Arial" w:hAnsi="Arial"/>
                <w:sz w:val="18"/>
                <w:szCs w:val="18"/>
                <w:color w:val="auto"/>
              </w:rPr>
              <w:t>offering, except that:</w:t>
            </w:r>
          </w:p>
        </w:tc>
      </w:tr>
      <w:tr>
        <w:trPr>
          <w:trHeight w:val="427"/>
        </w:trPr>
        <w:tc>
          <w:tcPr>
            <w:tcW w:w="2500" w:type="dxa"/>
            <w:vAlign w:val="bottom"/>
            <w:tcBorders>
              <w:left w:val="single" w:sz="8" w:color="auto"/>
            </w:tcBorders>
          </w:tcPr>
          <w:p>
            <w:pPr>
              <w:spacing w:after="0"/>
              <w:rPr>
                <w:sz w:val="24"/>
                <w:szCs w:val="24"/>
                <w:color w:val="auto"/>
              </w:rPr>
            </w:pPr>
          </w:p>
        </w:tc>
        <w:tc>
          <w:tcPr>
            <w:tcW w:w="1840" w:type="dxa"/>
            <w:vAlign w:val="bottom"/>
          </w:tcPr>
          <w:p>
            <w:pPr>
              <w:ind w:left="1600"/>
              <w:spacing w:after="0"/>
              <w:rPr>
                <w:sz w:val="20"/>
                <w:szCs w:val="20"/>
                <w:color w:val="auto"/>
              </w:rPr>
            </w:pPr>
            <w:r>
              <w:rPr>
                <w:rFonts w:ascii="Arial" w:cs="Arial" w:eastAsia="Arial" w:hAnsi="Arial"/>
                <w:sz w:val="18"/>
                <w:szCs w:val="18"/>
                <w:color w:val="auto"/>
              </w:rPr>
              <w:t>·</w:t>
            </w:r>
          </w:p>
        </w:tc>
        <w:tc>
          <w:tcPr>
            <w:tcW w:w="7180" w:type="dxa"/>
            <w:vAlign w:val="bottom"/>
            <w:gridSpan w:val="2"/>
          </w:tcPr>
          <w:p>
            <w:pPr>
              <w:ind w:left="220"/>
              <w:spacing w:after="0"/>
              <w:rPr>
                <w:sz w:val="20"/>
                <w:szCs w:val="20"/>
                <w:color w:val="auto"/>
              </w:rPr>
            </w:pPr>
            <w:r>
              <w:rPr>
                <w:rFonts w:ascii="Arial" w:cs="Arial" w:eastAsia="Arial" w:hAnsi="Arial"/>
                <w:sz w:val="18"/>
                <w:szCs w:val="18"/>
                <w:color w:val="auto"/>
                <w:w w:val="87"/>
              </w:rPr>
              <w:t>the insider shares are subject to certain transfer restrictions, as described in more detail below, and</w:t>
            </w:r>
          </w:p>
        </w:tc>
      </w:tr>
      <w:tr>
        <w:trPr>
          <w:trHeight w:val="416"/>
        </w:trPr>
        <w:tc>
          <w:tcPr>
            <w:tcW w:w="2500" w:type="dxa"/>
            <w:vAlign w:val="bottom"/>
            <w:tcBorders>
              <w:left w:val="single" w:sz="8" w:color="auto"/>
            </w:tcBorders>
          </w:tcPr>
          <w:p>
            <w:pPr>
              <w:spacing w:after="0"/>
              <w:rPr>
                <w:sz w:val="24"/>
                <w:szCs w:val="24"/>
                <w:color w:val="auto"/>
              </w:rPr>
            </w:pPr>
          </w:p>
        </w:tc>
        <w:tc>
          <w:tcPr>
            <w:tcW w:w="1840" w:type="dxa"/>
            <w:vAlign w:val="bottom"/>
          </w:tcPr>
          <w:p>
            <w:pPr>
              <w:ind w:left="1600"/>
              <w:spacing w:after="0"/>
              <w:rPr>
                <w:sz w:val="20"/>
                <w:szCs w:val="20"/>
                <w:color w:val="auto"/>
              </w:rPr>
            </w:pPr>
            <w:r>
              <w:rPr>
                <w:rFonts w:ascii="Arial" w:cs="Arial" w:eastAsia="Arial" w:hAnsi="Arial"/>
                <w:sz w:val="18"/>
                <w:szCs w:val="18"/>
                <w:color w:val="auto"/>
              </w:rPr>
              <w:t>·</w:t>
            </w:r>
          </w:p>
        </w:tc>
        <w:tc>
          <w:tcPr>
            <w:tcW w:w="7180" w:type="dxa"/>
            <w:vAlign w:val="bottom"/>
            <w:gridSpan w:val="2"/>
          </w:tcPr>
          <w:p>
            <w:pPr>
              <w:ind w:left="220"/>
              <w:spacing w:after="0"/>
              <w:rPr>
                <w:sz w:val="20"/>
                <w:szCs w:val="20"/>
                <w:color w:val="auto"/>
              </w:rPr>
            </w:pPr>
            <w:r>
              <w:rPr>
                <w:rFonts w:ascii="Arial" w:cs="Arial" w:eastAsia="Arial" w:hAnsi="Arial"/>
                <w:sz w:val="18"/>
                <w:szCs w:val="18"/>
                <w:color w:val="auto"/>
                <w:w w:val="89"/>
              </w:rPr>
              <w:t>our insiders, officers and directors have entered into letter agreements with us, pursuant to which</w:t>
            </w:r>
          </w:p>
        </w:tc>
      </w:tr>
      <w:tr>
        <w:trPr>
          <w:trHeight w:val="213"/>
        </w:trPr>
        <w:tc>
          <w:tcPr>
            <w:tcW w:w="2500" w:type="dxa"/>
            <w:vAlign w:val="bottom"/>
            <w:tcBorders>
              <w:left w:val="single" w:sz="8" w:color="auto"/>
            </w:tcBorders>
          </w:tcPr>
          <w:p>
            <w:pPr>
              <w:spacing w:after="0"/>
              <w:rPr>
                <w:sz w:val="18"/>
                <w:szCs w:val="18"/>
                <w:color w:val="auto"/>
              </w:rPr>
            </w:pPr>
          </w:p>
        </w:tc>
        <w:tc>
          <w:tcPr>
            <w:tcW w:w="1840" w:type="dxa"/>
            <w:vAlign w:val="bottom"/>
          </w:tcPr>
          <w:p>
            <w:pPr>
              <w:spacing w:after="0"/>
              <w:rPr>
                <w:sz w:val="18"/>
                <w:szCs w:val="18"/>
                <w:color w:val="auto"/>
              </w:rPr>
            </w:pPr>
          </w:p>
        </w:tc>
        <w:tc>
          <w:tcPr>
            <w:tcW w:w="7180" w:type="dxa"/>
            <w:vAlign w:val="bottom"/>
            <w:gridSpan w:val="2"/>
          </w:tcPr>
          <w:p>
            <w:pPr>
              <w:ind w:left="220"/>
              <w:spacing w:after="0"/>
              <w:rPr>
                <w:sz w:val="20"/>
                <w:szCs w:val="20"/>
                <w:color w:val="auto"/>
              </w:rPr>
            </w:pPr>
            <w:r>
              <w:rPr>
                <w:rFonts w:ascii="Arial" w:cs="Arial" w:eastAsia="Arial" w:hAnsi="Arial"/>
                <w:sz w:val="18"/>
                <w:szCs w:val="18"/>
                <w:color w:val="auto"/>
                <w:w w:val="91"/>
              </w:rPr>
              <w:t>they have agreed (i) to waive their conversion rights with respect to their insider shares and any</w:t>
            </w:r>
          </w:p>
        </w:tc>
      </w:tr>
      <w:tr>
        <w:trPr>
          <w:trHeight w:val="213"/>
        </w:trPr>
        <w:tc>
          <w:tcPr>
            <w:tcW w:w="2500" w:type="dxa"/>
            <w:vAlign w:val="bottom"/>
            <w:tcBorders>
              <w:left w:val="single" w:sz="8" w:color="auto"/>
            </w:tcBorders>
          </w:tcPr>
          <w:p>
            <w:pPr>
              <w:spacing w:after="0"/>
              <w:rPr>
                <w:sz w:val="18"/>
                <w:szCs w:val="18"/>
                <w:color w:val="auto"/>
              </w:rPr>
            </w:pPr>
          </w:p>
        </w:tc>
        <w:tc>
          <w:tcPr>
            <w:tcW w:w="1840" w:type="dxa"/>
            <w:vAlign w:val="bottom"/>
          </w:tcPr>
          <w:p>
            <w:pPr>
              <w:spacing w:after="0"/>
              <w:rPr>
                <w:sz w:val="18"/>
                <w:szCs w:val="18"/>
                <w:color w:val="auto"/>
              </w:rPr>
            </w:pPr>
          </w:p>
        </w:tc>
        <w:tc>
          <w:tcPr>
            <w:tcW w:w="7180" w:type="dxa"/>
            <w:vAlign w:val="bottom"/>
            <w:gridSpan w:val="2"/>
          </w:tcPr>
          <w:p>
            <w:pPr>
              <w:ind w:left="220"/>
              <w:spacing w:after="0"/>
              <w:rPr>
                <w:sz w:val="20"/>
                <w:szCs w:val="20"/>
                <w:color w:val="auto"/>
              </w:rPr>
            </w:pPr>
            <w:r>
              <w:rPr>
                <w:rFonts w:ascii="Arial" w:cs="Arial" w:eastAsia="Arial" w:hAnsi="Arial"/>
                <w:sz w:val="18"/>
                <w:szCs w:val="18"/>
                <w:color w:val="auto"/>
                <w:w w:val="90"/>
              </w:rPr>
              <w:t>public shares they purchase in connection with the completion of our initial business combination</w:t>
            </w:r>
          </w:p>
        </w:tc>
      </w:tr>
      <w:tr>
        <w:trPr>
          <w:trHeight w:val="213"/>
        </w:trPr>
        <w:tc>
          <w:tcPr>
            <w:tcW w:w="2500" w:type="dxa"/>
            <w:vAlign w:val="bottom"/>
            <w:tcBorders>
              <w:left w:val="single" w:sz="8" w:color="auto"/>
            </w:tcBorders>
          </w:tcPr>
          <w:p>
            <w:pPr>
              <w:spacing w:after="0"/>
              <w:rPr>
                <w:sz w:val="18"/>
                <w:szCs w:val="18"/>
                <w:color w:val="auto"/>
              </w:rPr>
            </w:pPr>
          </w:p>
        </w:tc>
        <w:tc>
          <w:tcPr>
            <w:tcW w:w="1840" w:type="dxa"/>
            <w:vAlign w:val="bottom"/>
          </w:tcPr>
          <w:p>
            <w:pPr>
              <w:spacing w:after="0"/>
              <w:rPr>
                <w:sz w:val="18"/>
                <w:szCs w:val="18"/>
                <w:color w:val="auto"/>
              </w:rPr>
            </w:pPr>
          </w:p>
        </w:tc>
        <w:tc>
          <w:tcPr>
            <w:tcW w:w="7180" w:type="dxa"/>
            <w:vAlign w:val="bottom"/>
            <w:gridSpan w:val="2"/>
          </w:tcPr>
          <w:p>
            <w:pPr>
              <w:ind w:left="220"/>
              <w:spacing w:after="0"/>
              <w:rPr>
                <w:sz w:val="20"/>
                <w:szCs w:val="20"/>
                <w:color w:val="auto"/>
              </w:rPr>
            </w:pPr>
            <w:r>
              <w:rPr>
                <w:rFonts w:ascii="Arial" w:cs="Arial" w:eastAsia="Arial" w:hAnsi="Arial"/>
                <w:sz w:val="18"/>
                <w:szCs w:val="18"/>
                <w:color w:val="auto"/>
                <w:w w:val="91"/>
              </w:rPr>
              <w:t>and (ii) to waive their redemption rights with respect to their insider shares if we fail to complete</w:t>
            </w:r>
          </w:p>
        </w:tc>
      </w:tr>
      <w:tr>
        <w:trPr>
          <w:trHeight w:val="213"/>
        </w:trPr>
        <w:tc>
          <w:tcPr>
            <w:tcW w:w="2500" w:type="dxa"/>
            <w:vAlign w:val="bottom"/>
            <w:tcBorders>
              <w:left w:val="single" w:sz="8" w:color="auto"/>
            </w:tcBorders>
          </w:tcPr>
          <w:p>
            <w:pPr>
              <w:spacing w:after="0"/>
              <w:rPr>
                <w:sz w:val="18"/>
                <w:szCs w:val="18"/>
                <w:color w:val="auto"/>
              </w:rPr>
            </w:pPr>
          </w:p>
        </w:tc>
        <w:tc>
          <w:tcPr>
            <w:tcW w:w="1840" w:type="dxa"/>
            <w:vAlign w:val="bottom"/>
          </w:tcPr>
          <w:p>
            <w:pPr>
              <w:spacing w:after="0"/>
              <w:rPr>
                <w:sz w:val="18"/>
                <w:szCs w:val="18"/>
                <w:color w:val="auto"/>
              </w:rPr>
            </w:pPr>
          </w:p>
        </w:tc>
        <w:tc>
          <w:tcPr>
            <w:tcW w:w="7180" w:type="dxa"/>
            <w:vAlign w:val="bottom"/>
            <w:gridSpan w:val="2"/>
          </w:tcPr>
          <w:p>
            <w:pPr>
              <w:ind w:left="220"/>
              <w:spacing w:after="0"/>
              <w:rPr>
                <w:sz w:val="20"/>
                <w:szCs w:val="20"/>
                <w:color w:val="auto"/>
              </w:rPr>
            </w:pPr>
            <w:r>
              <w:rPr>
                <w:rFonts w:ascii="Arial" w:cs="Arial" w:eastAsia="Arial" w:hAnsi="Arial"/>
                <w:sz w:val="18"/>
                <w:szCs w:val="18"/>
                <w:color w:val="auto"/>
                <w:w w:val="91"/>
              </w:rPr>
              <w:t>our initial business combination within 18 months (or 21 months, as applicable) from the closing</w:t>
            </w:r>
          </w:p>
        </w:tc>
      </w:tr>
      <w:tr>
        <w:trPr>
          <w:trHeight w:val="213"/>
        </w:trPr>
        <w:tc>
          <w:tcPr>
            <w:tcW w:w="2500" w:type="dxa"/>
            <w:vAlign w:val="bottom"/>
            <w:tcBorders>
              <w:left w:val="single" w:sz="8" w:color="auto"/>
            </w:tcBorders>
          </w:tcPr>
          <w:p>
            <w:pPr>
              <w:spacing w:after="0"/>
              <w:rPr>
                <w:sz w:val="18"/>
                <w:szCs w:val="18"/>
                <w:color w:val="auto"/>
              </w:rPr>
            </w:pPr>
          </w:p>
        </w:tc>
        <w:tc>
          <w:tcPr>
            <w:tcW w:w="1840" w:type="dxa"/>
            <w:vAlign w:val="bottom"/>
          </w:tcPr>
          <w:p>
            <w:pPr>
              <w:spacing w:after="0"/>
              <w:rPr>
                <w:sz w:val="18"/>
                <w:szCs w:val="18"/>
                <w:color w:val="auto"/>
              </w:rPr>
            </w:pPr>
          </w:p>
        </w:tc>
        <w:tc>
          <w:tcPr>
            <w:tcW w:w="7180" w:type="dxa"/>
            <w:vAlign w:val="bottom"/>
            <w:gridSpan w:val="2"/>
          </w:tcPr>
          <w:p>
            <w:pPr>
              <w:ind w:left="220"/>
              <w:spacing w:after="0"/>
              <w:rPr>
                <w:sz w:val="20"/>
                <w:szCs w:val="20"/>
                <w:color w:val="auto"/>
              </w:rPr>
            </w:pPr>
            <w:r>
              <w:rPr>
                <w:rFonts w:ascii="Arial" w:cs="Arial" w:eastAsia="Arial" w:hAnsi="Arial"/>
                <w:sz w:val="18"/>
                <w:szCs w:val="18"/>
                <w:color w:val="auto"/>
                <w:w w:val="96"/>
              </w:rPr>
              <w:t>of this offering (although they will be entitled to redemption rights with respect to any public</w:t>
            </w:r>
          </w:p>
        </w:tc>
      </w:tr>
      <w:tr>
        <w:trPr>
          <w:trHeight w:val="213"/>
        </w:trPr>
        <w:tc>
          <w:tcPr>
            <w:tcW w:w="2500" w:type="dxa"/>
            <w:vAlign w:val="bottom"/>
            <w:tcBorders>
              <w:left w:val="single" w:sz="8" w:color="auto"/>
            </w:tcBorders>
          </w:tcPr>
          <w:p>
            <w:pPr>
              <w:spacing w:after="0"/>
              <w:rPr>
                <w:sz w:val="18"/>
                <w:szCs w:val="18"/>
                <w:color w:val="auto"/>
              </w:rPr>
            </w:pPr>
          </w:p>
        </w:tc>
        <w:tc>
          <w:tcPr>
            <w:tcW w:w="1840" w:type="dxa"/>
            <w:vAlign w:val="bottom"/>
          </w:tcPr>
          <w:p>
            <w:pPr>
              <w:spacing w:after="0"/>
              <w:rPr>
                <w:sz w:val="18"/>
                <w:szCs w:val="18"/>
                <w:color w:val="auto"/>
              </w:rPr>
            </w:pPr>
          </w:p>
        </w:tc>
        <w:tc>
          <w:tcPr>
            <w:tcW w:w="7180" w:type="dxa"/>
            <w:vAlign w:val="bottom"/>
            <w:gridSpan w:val="2"/>
          </w:tcPr>
          <w:p>
            <w:pPr>
              <w:ind w:left="220"/>
              <w:spacing w:after="0"/>
              <w:rPr>
                <w:sz w:val="20"/>
                <w:szCs w:val="20"/>
                <w:color w:val="auto"/>
              </w:rPr>
            </w:pPr>
            <w:r>
              <w:rPr>
                <w:rFonts w:ascii="Arial" w:cs="Arial" w:eastAsia="Arial" w:hAnsi="Arial"/>
                <w:sz w:val="18"/>
                <w:szCs w:val="18"/>
                <w:color w:val="auto"/>
                <w:w w:val="96"/>
              </w:rPr>
              <w:t>shares they hold if we fail to complete our business combination within the prescribed time</w:t>
            </w:r>
          </w:p>
        </w:tc>
      </w:tr>
      <w:tr>
        <w:trPr>
          <w:trHeight w:val="224"/>
        </w:trPr>
        <w:tc>
          <w:tcPr>
            <w:tcW w:w="2500" w:type="dxa"/>
            <w:vAlign w:val="bottom"/>
            <w:tcBorders>
              <w:left w:val="single" w:sz="8" w:color="auto"/>
            </w:tcBorders>
          </w:tcPr>
          <w:p>
            <w:pPr>
              <w:spacing w:after="0"/>
              <w:rPr>
                <w:sz w:val="19"/>
                <w:szCs w:val="19"/>
                <w:color w:val="auto"/>
              </w:rPr>
            </w:pPr>
          </w:p>
        </w:tc>
        <w:tc>
          <w:tcPr>
            <w:tcW w:w="1840" w:type="dxa"/>
            <w:vAlign w:val="bottom"/>
          </w:tcPr>
          <w:p>
            <w:pPr>
              <w:spacing w:after="0"/>
              <w:rPr>
                <w:sz w:val="19"/>
                <w:szCs w:val="19"/>
                <w:color w:val="auto"/>
              </w:rPr>
            </w:pPr>
          </w:p>
        </w:tc>
        <w:tc>
          <w:tcPr>
            <w:tcW w:w="7180" w:type="dxa"/>
            <w:vAlign w:val="bottom"/>
            <w:gridSpan w:val="2"/>
          </w:tcPr>
          <w:p>
            <w:pPr>
              <w:ind w:left="220"/>
              <w:spacing w:after="0"/>
              <w:rPr>
                <w:sz w:val="20"/>
                <w:szCs w:val="20"/>
                <w:color w:val="auto"/>
              </w:rPr>
            </w:pPr>
            <w:r>
              <w:rPr>
                <w:rFonts w:ascii="Arial" w:cs="Arial" w:eastAsia="Arial" w:hAnsi="Arial"/>
                <w:sz w:val="18"/>
                <w:szCs w:val="18"/>
                <w:color w:val="auto"/>
              </w:rPr>
              <w:t>frame).</w:t>
            </w:r>
          </w:p>
        </w:tc>
      </w:tr>
      <w:tr>
        <w:trPr>
          <w:trHeight w:val="416"/>
        </w:trPr>
        <w:tc>
          <w:tcPr>
            <w:tcW w:w="2500" w:type="dxa"/>
            <w:vAlign w:val="bottom"/>
            <w:tcBorders>
              <w:left w:val="single" w:sz="8" w:color="auto"/>
            </w:tcBorders>
          </w:tcPr>
          <w:p>
            <w:pPr>
              <w:spacing w:after="0"/>
              <w:rPr>
                <w:sz w:val="24"/>
                <w:szCs w:val="24"/>
                <w:color w:val="auto"/>
              </w:rPr>
            </w:pPr>
          </w:p>
        </w:tc>
        <w:tc>
          <w:tcPr>
            <w:tcW w:w="1840" w:type="dxa"/>
            <w:vAlign w:val="bottom"/>
          </w:tcPr>
          <w:p>
            <w:pPr>
              <w:ind w:left="1600"/>
              <w:spacing w:after="0"/>
              <w:rPr>
                <w:sz w:val="20"/>
                <w:szCs w:val="20"/>
                <w:color w:val="auto"/>
              </w:rPr>
            </w:pPr>
            <w:r>
              <w:rPr>
                <w:rFonts w:ascii="Arial" w:cs="Arial" w:eastAsia="Arial" w:hAnsi="Arial"/>
                <w:sz w:val="18"/>
                <w:szCs w:val="18"/>
                <w:color w:val="auto"/>
              </w:rPr>
              <w:t>·</w:t>
            </w:r>
          </w:p>
        </w:tc>
        <w:tc>
          <w:tcPr>
            <w:tcW w:w="7180" w:type="dxa"/>
            <w:vAlign w:val="bottom"/>
            <w:gridSpan w:val="2"/>
          </w:tcPr>
          <w:p>
            <w:pPr>
              <w:ind w:left="220"/>
              <w:spacing w:after="0"/>
              <w:rPr>
                <w:sz w:val="20"/>
                <w:szCs w:val="20"/>
                <w:color w:val="auto"/>
              </w:rPr>
            </w:pPr>
            <w:r>
              <w:rPr>
                <w:rFonts w:ascii="Arial" w:cs="Arial" w:eastAsia="Arial" w:hAnsi="Arial"/>
                <w:sz w:val="18"/>
                <w:szCs w:val="18"/>
                <w:color w:val="auto"/>
                <w:w w:val="93"/>
              </w:rPr>
              <w:t>If we submit our initial business combination to our public stockholders for a vote, our insiders</w:t>
            </w:r>
          </w:p>
        </w:tc>
      </w:tr>
      <w:tr>
        <w:trPr>
          <w:trHeight w:val="213"/>
        </w:trPr>
        <w:tc>
          <w:tcPr>
            <w:tcW w:w="2500" w:type="dxa"/>
            <w:vAlign w:val="bottom"/>
            <w:tcBorders>
              <w:left w:val="single" w:sz="8" w:color="auto"/>
            </w:tcBorders>
          </w:tcPr>
          <w:p>
            <w:pPr>
              <w:spacing w:after="0"/>
              <w:rPr>
                <w:sz w:val="18"/>
                <w:szCs w:val="18"/>
                <w:color w:val="auto"/>
              </w:rPr>
            </w:pPr>
          </w:p>
        </w:tc>
        <w:tc>
          <w:tcPr>
            <w:tcW w:w="1840" w:type="dxa"/>
            <w:vAlign w:val="bottom"/>
          </w:tcPr>
          <w:p>
            <w:pPr>
              <w:spacing w:after="0"/>
              <w:rPr>
                <w:sz w:val="18"/>
                <w:szCs w:val="18"/>
                <w:color w:val="auto"/>
              </w:rPr>
            </w:pPr>
          </w:p>
        </w:tc>
        <w:tc>
          <w:tcPr>
            <w:tcW w:w="7180" w:type="dxa"/>
            <w:vAlign w:val="bottom"/>
            <w:gridSpan w:val="2"/>
          </w:tcPr>
          <w:p>
            <w:pPr>
              <w:ind w:left="220"/>
              <w:spacing w:after="0"/>
              <w:rPr>
                <w:sz w:val="20"/>
                <w:szCs w:val="20"/>
                <w:color w:val="auto"/>
              </w:rPr>
            </w:pPr>
            <w:r>
              <w:rPr>
                <w:rFonts w:ascii="Arial" w:cs="Arial" w:eastAsia="Arial" w:hAnsi="Arial"/>
                <w:sz w:val="18"/>
                <w:szCs w:val="18"/>
                <w:color w:val="auto"/>
                <w:w w:val="88"/>
              </w:rPr>
              <w:t>have agreed to vote their insider shares, private shares and any public shares purchased during or</w:t>
            </w:r>
          </w:p>
        </w:tc>
      </w:tr>
      <w:tr>
        <w:trPr>
          <w:trHeight w:val="224"/>
        </w:trPr>
        <w:tc>
          <w:tcPr>
            <w:tcW w:w="2500" w:type="dxa"/>
            <w:vAlign w:val="bottom"/>
            <w:tcBorders>
              <w:left w:val="single" w:sz="8" w:color="auto"/>
            </w:tcBorders>
          </w:tcPr>
          <w:p>
            <w:pPr>
              <w:spacing w:after="0"/>
              <w:rPr>
                <w:sz w:val="19"/>
                <w:szCs w:val="19"/>
                <w:color w:val="auto"/>
              </w:rPr>
            </w:pPr>
          </w:p>
        </w:tc>
        <w:tc>
          <w:tcPr>
            <w:tcW w:w="1840" w:type="dxa"/>
            <w:vAlign w:val="bottom"/>
          </w:tcPr>
          <w:p>
            <w:pPr>
              <w:spacing w:after="0"/>
              <w:rPr>
                <w:sz w:val="19"/>
                <w:szCs w:val="19"/>
                <w:color w:val="auto"/>
              </w:rPr>
            </w:pPr>
          </w:p>
        </w:tc>
        <w:tc>
          <w:tcPr>
            <w:tcW w:w="7180" w:type="dxa"/>
            <w:vAlign w:val="bottom"/>
            <w:gridSpan w:val="2"/>
          </w:tcPr>
          <w:p>
            <w:pPr>
              <w:ind w:left="220"/>
              <w:spacing w:after="0"/>
              <w:rPr>
                <w:sz w:val="20"/>
                <w:szCs w:val="20"/>
                <w:color w:val="auto"/>
              </w:rPr>
            </w:pPr>
            <w:r>
              <w:rPr>
                <w:rFonts w:ascii="Arial" w:cs="Arial" w:eastAsia="Arial" w:hAnsi="Arial"/>
                <w:sz w:val="18"/>
                <w:szCs w:val="18"/>
                <w:color w:val="auto"/>
              </w:rPr>
              <w:t>after this offering in favor of our initial business combination.</w:t>
            </w:r>
          </w:p>
        </w:tc>
      </w:tr>
      <w:tr>
        <w:trPr>
          <w:trHeight w:val="118"/>
        </w:trPr>
        <w:tc>
          <w:tcPr>
            <w:tcW w:w="2500" w:type="dxa"/>
            <w:vAlign w:val="bottom"/>
            <w:tcBorders>
              <w:left w:val="single" w:sz="8" w:color="auto"/>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70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r>
        <w:trPr>
          <w:trHeight w:val="670"/>
        </w:trPr>
        <w:tc>
          <w:tcPr>
            <w:tcW w:w="25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r>
    </w:tbl>
    <w:p>
      <w:pPr>
        <w:sectPr>
          <w:pgSz w:w="11900" w:h="16838" w:orient="portrait"/>
          <w:cols w:equalWidth="0" w:num="1">
            <w:col w:w="11520"/>
          </w:cols>
          <w:pgMar w:left="240" w:top="890" w:right="139" w:bottom="1440" w:gutter="0" w:footer="0" w:header="0"/>
        </w:sectPr>
      </w:pPr>
    </w:p>
    <w:bookmarkStart w:id="16" w:name="page17"/>
    <w:bookmarkEnd w:id="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551"/>
        </w:trPr>
        <w:tc>
          <w:tcPr>
            <w:tcW w:w="3380" w:type="dxa"/>
            <w:vAlign w:val="bottom"/>
            <w:tcBorders>
              <w:top w:val="single" w:sz="8" w:color="auto"/>
              <w:left w:val="single" w:sz="8" w:color="auto"/>
            </w:tcBorders>
          </w:tcPr>
          <w:p>
            <w:pPr>
              <w:ind w:left="140"/>
              <w:spacing w:after="0"/>
              <w:rPr>
                <w:sz w:val="20"/>
                <w:szCs w:val="20"/>
                <w:color w:val="auto"/>
              </w:rPr>
            </w:pPr>
            <w:r>
              <w:rPr>
                <w:rFonts w:ascii="Arial" w:cs="Arial" w:eastAsia="Arial" w:hAnsi="Arial"/>
                <w:sz w:val="18"/>
                <w:szCs w:val="18"/>
                <w:b w:val="1"/>
                <w:bCs w:val="1"/>
                <w:color w:val="auto"/>
                <w:w w:val="97"/>
              </w:rPr>
              <w:t>Transfer restrictions on insider shares</w:t>
            </w:r>
          </w:p>
        </w:tc>
        <w:tc>
          <w:tcPr>
            <w:tcW w:w="8140" w:type="dxa"/>
            <w:vAlign w:val="bottom"/>
            <w:tcBorders>
              <w:top w:val="single" w:sz="8" w:color="auto"/>
            </w:tcBorders>
            <w:gridSpan w:val="3"/>
          </w:tcPr>
          <w:p>
            <w:pPr>
              <w:ind w:left="380"/>
              <w:spacing w:after="0"/>
              <w:rPr>
                <w:sz w:val="20"/>
                <w:szCs w:val="20"/>
                <w:color w:val="auto"/>
              </w:rPr>
            </w:pPr>
            <w:r>
              <w:rPr>
                <w:rFonts w:ascii="Arial" w:cs="Arial" w:eastAsia="Arial" w:hAnsi="Arial"/>
                <w:sz w:val="18"/>
                <w:szCs w:val="18"/>
                <w:color w:val="auto"/>
                <w:w w:val="90"/>
              </w:rPr>
              <w:t>Our insiders have agreed not to transfer, assign or sell any of the insider shares (except to certain permitted</w:t>
            </w:r>
          </w:p>
        </w:tc>
      </w:tr>
      <w:tr>
        <w:trPr>
          <w:trHeight w:val="213"/>
        </w:trPr>
        <w:tc>
          <w:tcPr>
            <w:tcW w:w="3380" w:type="dxa"/>
            <w:vAlign w:val="bottom"/>
            <w:tcBorders>
              <w:left w:val="single" w:sz="8" w:color="auto"/>
            </w:tcBorders>
          </w:tcPr>
          <w:p>
            <w:pPr>
              <w:spacing w:after="0"/>
              <w:rPr>
                <w:sz w:val="18"/>
                <w:szCs w:val="18"/>
                <w:color w:val="auto"/>
              </w:rPr>
            </w:pPr>
          </w:p>
        </w:tc>
        <w:tc>
          <w:tcPr>
            <w:tcW w:w="8140" w:type="dxa"/>
            <w:vAlign w:val="bottom"/>
            <w:gridSpan w:val="3"/>
          </w:tcPr>
          <w:p>
            <w:pPr>
              <w:ind w:left="380"/>
              <w:spacing w:after="0"/>
              <w:rPr>
                <w:sz w:val="20"/>
                <w:szCs w:val="20"/>
                <w:color w:val="auto"/>
              </w:rPr>
            </w:pPr>
            <w:r>
              <w:rPr>
                <w:rFonts w:ascii="Arial" w:cs="Arial" w:eastAsia="Arial" w:hAnsi="Arial"/>
                <w:sz w:val="18"/>
                <w:szCs w:val="18"/>
                <w:color w:val="auto"/>
                <w:w w:val="93"/>
              </w:rPr>
              <w:t>transferees) until, with respect to 50% of the insider shares, the earlier of six months after the date of the</w:t>
            </w:r>
          </w:p>
        </w:tc>
      </w:tr>
      <w:tr>
        <w:trPr>
          <w:trHeight w:val="213"/>
        </w:trPr>
        <w:tc>
          <w:tcPr>
            <w:tcW w:w="3380" w:type="dxa"/>
            <w:vAlign w:val="bottom"/>
            <w:tcBorders>
              <w:left w:val="single" w:sz="8" w:color="auto"/>
            </w:tcBorders>
          </w:tcPr>
          <w:p>
            <w:pPr>
              <w:spacing w:after="0"/>
              <w:rPr>
                <w:sz w:val="18"/>
                <w:szCs w:val="18"/>
                <w:color w:val="auto"/>
              </w:rPr>
            </w:pPr>
          </w:p>
        </w:tc>
        <w:tc>
          <w:tcPr>
            <w:tcW w:w="8140" w:type="dxa"/>
            <w:vAlign w:val="bottom"/>
            <w:gridSpan w:val="3"/>
          </w:tcPr>
          <w:p>
            <w:pPr>
              <w:ind w:left="380"/>
              <w:spacing w:after="0"/>
              <w:rPr>
                <w:sz w:val="20"/>
                <w:szCs w:val="20"/>
                <w:color w:val="auto"/>
              </w:rPr>
            </w:pPr>
            <w:r>
              <w:rPr>
                <w:rFonts w:ascii="Arial" w:cs="Arial" w:eastAsia="Arial" w:hAnsi="Arial"/>
                <w:sz w:val="18"/>
                <w:szCs w:val="18"/>
                <w:color w:val="auto"/>
                <w:w w:val="92"/>
              </w:rPr>
              <w:t>consummation of our initial business combination and the date on which the closing price of our common</w:t>
            </w:r>
          </w:p>
        </w:tc>
      </w:tr>
      <w:tr>
        <w:trPr>
          <w:trHeight w:val="213"/>
        </w:trPr>
        <w:tc>
          <w:tcPr>
            <w:tcW w:w="3380" w:type="dxa"/>
            <w:vAlign w:val="bottom"/>
            <w:tcBorders>
              <w:left w:val="single" w:sz="8" w:color="auto"/>
            </w:tcBorders>
          </w:tcPr>
          <w:p>
            <w:pPr>
              <w:spacing w:after="0"/>
              <w:rPr>
                <w:sz w:val="18"/>
                <w:szCs w:val="18"/>
                <w:color w:val="auto"/>
              </w:rPr>
            </w:pPr>
          </w:p>
        </w:tc>
        <w:tc>
          <w:tcPr>
            <w:tcW w:w="8140" w:type="dxa"/>
            <w:vAlign w:val="bottom"/>
            <w:gridSpan w:val="3"/>
          </w:tcPr>
          <w:p>
            <w:pPr>
              <w:ind w:left="380"/>
              <w:spacing w:after="0"/>
              <w:rPr>
                <w:sz w:val="20"/>
                <w:szCs w:val="20"/>
                <w:color w:val="auto"/>
              </w:rPr>
            </w:pPr>
            <w:r>
              <w:rPr>
                <w:rFonts w:ascii="Arial" w:cs="Arial" w:eastAsia="Arial" w:hAnsi="Arial"/>
                <w:sz w:val="18"/>
                <w:szCs w:val="18"/>
                <w:color w:val="auto"/>
                <w:w w:val="89"/>
              </w:rPr>
              <w:t>stock equals or exceeds $12.50 per share for any 20 trading days within a 30-trading day period following the</w:t>
            </w:r>
          </w:p>
        </w:tc>
      </w:tr>
      <w:tr>
        <w:trPr>
          <w:trHeight w:val="213"/>
        </w:trPr>
        <w:tc>
          <w:tcPr>
            <w:tcW w:w="3380" w:type="dxa"/>
            <w:vAlign w:val="bottom"/>
            <w:tcBorders>
              <w:left w:val="single" w:sz="8" w:color="auto"/>
            </w:tcBorders>
          </w:tcPr>
          <w:p>
            <w:pPr>
              <w:spacing w:after="0"/>
              <w:rPr>
                <w:sz w:val="18"/>
                <w:szCs w:val="18"/>
                <w:color w:val="auto"/>
              </w:rPr>
            </w:pPr>
          </w:p>
        </w:tc>
        <w:tc>
          <w:tcPr>
            <w:tcW w:w="8140" w:type="dxa"/>
            <w:vAlign w:val="bottom"/>
            <w:gridSpan w:val="3"/>
          </w:tcPr>
          <w:p>
            <w:pPr>
              <w:ind w:left="380"/>
              <w:spacing w:after="0"/>
              <w:rPr>
                <w:sz w:val="20"/>
                <w:szCs w:val="20"/>
                <w:color w:val="auto"/>
              </w:rPr>
            </w:pPr>
            <w:r>
              <w:rPr>
                <w:rFonts w:ascii="Arial" w:cs="Arial" w:eastAsia="Arial" w:hAnsi="Arial"/>
                <w:sz w:val="18"/>
                <w:szCs w:val="18"/>
                <w:color w:val="auto"/>
                <w:w w:val="95"/>
              </w:rPr>
              <w:t>consummation of our initial business combination and, with respect to the remaining 50% of the inside</w:t>
            </w:r>
          </w:p>
        </w:tc>
      </w:tr>
      <w:tr>
        <w:trPr>
          <w:trHeight w:val="213"/>
        </w:trPr>
        <w:tc>
          <w:tcPr>
            <w:tcW w:w="3380" w:type="dxa"/>
            <w:vAlign w:val="bottom"/>
            <w:tcBorders>
              <w:left w:val="single" w:sz="8" w:color="auto"/>
            </w:tcBorders>
          </w:tcPr>
          <w:p>
            <w:pPr>
              <w:spacing w:after="0"/>
              <w:rPr>
                <w:sz w:val="18"/>
                <w:szCs w:val="18"/>
                <w:color w:val="auto"/>
              </w:rPr>
            </w:pPr>
          </w:p>
        </w:tc>
        <w:tc>
          <w:tcPr>
            <w:tcW w:w="8140" w:type="dxa"/>
            <w:vAlign w:val="bottom"/>
            <w:gridSpan w:val="3"/>
          </w:tcPr>
          <w:p>
            <w:pPr>
              <w:ind w:left="380"/>
              <w:spacing w:after="0"/>
              <w:rPr>
                <w:sz w:val="20"/>
                <w:szCs w:val="20"/>
                <w:color w:val="auto"/>
              </w:rPr>
            </w:pPr>
            <w:r>
              <w:rPr>
                <w:rFonts w:ascii="Arial" w:cs="Arial" w:eastAsia="Arial" w:hAnsi="Arial"/>
                <w:sz w:val="18"/>
                <w:szCs w:val="18"/>
                <w:color w:val="auto"/>
                <w:w w:val="90"/>
              </w:rPr>
              <w:t>shares, six months after the date of the consummation of our initial business combination, or earlier in each</w:t>
            </w:r>
          </w:p>
        </w:tc>
      </w:tr>
      <w:tr>
        <w:trPr>
          <w:trHeight w:val="213"/>
        </w:trPr>
        <w:tc>
          <w:tcPr>
            <w:tcW w:w="3380" w:type="dxa"/>
            <w:vAlign w:val="bottom"/>
            <w:tcBorders>
              <w:left w:val="single" w:sz="8" w:color="auto"/>
            </w:tcBorders>
          </w:tcPr>
          <w:p>
            <w:pPr>
              <w:spacing w:after="0"/>
              <w:rPr>
                <w:sz w:val="18"/>
                <w:szCs w:val="18"/>
                <w:color w:val="auto"/>
              </w:rPr>
            </w:pPr>
          </w:p>
        </w:tc>
        <w:tc>
          <w:tcPr>
            <w:tcW w:w="8140" w:type="dxa"/>
            <w:vAlign w:val="bottom"/>
            <w:gridSpan w:val="3"/>
          </w:tcPr>
          <w:p>
            <w:pPr>
              <w:ind w:left="380"/>
              <w:spacing w:after="0"/>
              <w:rPr>
                <w:sz w:val="20"/>
                <w:szCs w:val="20"/>
                <w:color w:val="auto"/>
              </w:rPr>
            </w:pPr>
            <w:r>
              <w:rPr>
                <w:rFonts w:ascii="Arial" w:cs="Arial" w:eastAsia="Arial" w:hAnsi="Arial"/>
                <w:sz w:val="18"/>
                <w:szCs w:val="18"/>
                <w:color w:val="auto"/>
                <w:w w:val="89"/>
              </w:rPr>
              <w:t>case if, subsequent to our initial business combination, we complete a liquidation, merger, stock exchange or</w:t>
            </w:r>
          </w:p>
        </w:tc>
      </w:tr>
      <w:tr>
        <w:trPr>
          <w:trHeight w:val="213"/>
        </w:trPr>
        <w:tc>
          <w:tcPr>
            <w:tcW w:w="3380" w:type="dxa"/>
            <w:vAlign w:val="bottom"/>
            <w:tcBorders>
              <w:left w:val="single" w:sz="8" w:color="auto"/>
            </w:tcBorders>
          </w:tcPr>
          <w:p>
            <w:pPr>
              <w:spacing w:after="0"/>
              <w:rPr>
                <w:sz w:val="18"/>
                <w:szCs w:val="18"/>
                <w:color w:val="auto"/>
              </w:rPr>
            </w:pPr>
          </w:p>
        </w:tc>
        <w:tc>
          <w:tcPr>
            <w:tcW w:w="8140" w:type="dxa"/>
            <w:vAlign w:val="bottom"/>
            <w:gridSpan w:val="3"/>
          </w:tcPr>
          <w:p>
            <w:pPr>
              <w:ind w:left="380"/>
              <w:spacing w:after="0"/>
              <w:rPr>
                <w:sz w:val="20"/>
                <w:szCs w:val="20"/>
                <w:color w:val="auto"/>
              </w:rPr>
            </w:pPr>
            <w:r>
              <w:rPr>
                <w:rFonts w:ascii="Arial" w:cs="Arial" w:eastAsia="Arial" w:hAnsi="Arial"/>
                <w:sz w:val="18"/>
                <w:szCs w:val="18"/>
                <w:color w:val="auto"/>
                <w:w w:val="91"/>
              </w:rPr>
              <w:t>other similar transaction which results in all of our stockholders having the right to exchange their shares of</w:t>
            </w:r>
          </w:p>
        </w:tc>
      </w:tr>
      <w:tr>
        <w:trPr>
          <w:trHeight w:val="213"/>
        </w:trPr>
        <w:tc>
          <w:tcPr>
            <w:tcW w:w="3380" w:type="dxa"/>
            <w:vAlign w:val="bottom"/>
            <w:tcBorders>
              <w:left w:val="single" w:sz="8" w:color="auto"/>
            </w:tcBorders>
          </w:tcPr>
          <w:p>
            <w:pPr>
              <w:spacing w:after="0"/>
              <w:rPr>
                <w:sz w:val="18"/>
                <w:szCs w:val="18"/>
                <w:color w:val="auto"/>
              </w:rPr>
            </w:pPr>
          </w:p>
        </w:tc>
        <w:tc>
          <w:tcPr>
            <w:tcW w:w="8140" w:type="dxa"/>
            <w:vAlign w:val="bottom"/>
            <w:gridSpan w:val="3"/>
          </w:tcPr>
          <w:p>
            <w:pPr>
              <w:ind w:left="380"/>
              <w:spacing w:after="0"/>
              <w:rPr>
                <w:sz w:val="20"/>
                <w:szCs w:val="20"/>
                <w:color w:val="auto"/>
              </w:rPr>
            </w:pPr>
            <w:r>
              <w:rPr>
                <w:rFonts w:ascii="Arial" w:cs="Arial" w:eastAsia="Arial" w:hAnsi="Arial"/>
                <w:sz w:val="18"/>
                <w:szCs w:val="18"/>
                <w:color w:val="auto"/>
                <w:w w:val="98"/>
              </w:rPr>
              <w:t>common stock for cash, securities or other property.   The insider shares will be held in escrow with</w:t>
            </w:r>
          </w:p>
        </w:tc>
      </w:tr>
      <w:tr>
        <w:trPr>
          <w:trHeight w:val="213"/>
        </w:trPr>
        <w:tc>
          <w:tcPr>
            <w:tcW w:w="3380" w:type="dxa"/>
            <w:vAlign w:val="bottom"/>
            <w:tcBorders>
              <w:left w:val="single" w:sz="8" w:color="auto"/>
            </w:tcBorders>
          </w:tcPr>
          <w:p>
            <w:pPr>
              <w:spacing w:after="0"/>
              <w:rPr>
                <w:sz w:val="18"/>
                <w:szCs w:val="18"/>
                <w:color w:val="auto"/>
              </w:rPr>
            </w:pPr>
          </w:p>
        </w:tc>
        <w:tc>
          <w:tcPr>
            <w:tcW w:w="8140" w:type="dxa"/>
            <w:vAlign w:val="bottom"/>
            <w:gridSpan w:val="3"/>
          </w:tcPr>
          <w:p>
            <w:pPr>
              <w:ind w:left="380"/>
              <w:spacing w:after="0"/>
              <w:rPr>
                <w:sz w:val="20"/>
                <w:szCs w:val="20"/>
                <w:color w:val="auto"/>
              </w:rPr>
            </w:pPr>
            <w:r>
              <w:rPr>
                <w:rFonts w:ascii="Arial" w:cs="Arial" w:eastAsia="Arial" w:hAnsi="Arial"/>
                <w:sz w:val="18"/>
                <w:szCs w:val="18"/>
                <w:color w:val="auto"/>
                <w:w w:val="95"/>
              </w:rPr>
              <w:t>Continental Stock Transfer &amp; Trust Company during the period in which they are subject to the transfe</w:t>
            </w:r>
          </w:p>
        </w:tc>
      </w:tr>
      <w:tr>
        <w:trPr>
          <w:trHeight w:val="224"/>
        </w:trPr>
        <w:tc>
          <w:tcPr>
            <w:tcW w:w="3380" w:type="dxa"/>
            <w:vAlign w:val="bottom"/>
            <w:tcBorders>
              <w:left w:val="single" w:sz="8" w:color="auto"/>
            </w:tcBorders>
          </w:tcPr>
          <w:p>
            <w:pPr>
              <w:spacing w:after="0"/>
              <w:rPr>
                <w:sz w:val="19"/>
                <w:szCs w:val="19"/>
                <w:color w:val="auto"/>
              </w:rPr>
            </w:pPr>
          </w:p>
        </w:tc>
        <w:tc>
          <w:tcPr>
            <w:tcW w:w="8140" w:type="dxa"/>
            <w:vAlign w:val="bottom"/>
            <w:gridSpan w:val="3"/>
          </w:tcPr>
          <w:p>
            <w:pPr>
              <w:ind w:left="380"/>
              <w:spacing w:after="0"/>
              <w:rPr>
                <w:sz w:val="20"/>
                <w:szCs w:val="20"/>
                <w:color w:val="auto"/>
              </w:rPr>
            </w:pPr>
            <w:r>
              <w:rPr>
                <w:rFonts w:ascii="Arial" w:cs="Arial" w:eastAsia="Arial" w:hAnsi="Arial"/>
                <w:sz w:val="18"/>
                <w:szCs w:val="18"/>
                <w:color w:val="auto"/>
              </w:rPr>
              <w:t>restrictions described above.</w:t>
            </w:r>
          </w:p>
        </w:tc>
      </w:tr>
      <w:tr>
        <w:trPr>
          <w:trHeight w:val="416"/>
        </w:trPr>
        <w:tc>
          <w:tcPr>
            <w:tcW w:w="3380" w:type="dxa"/>
            <w:vAlign w:val="bottom"/>
            <w:tcBorders>
              <w:left w:val="single" w:sz="8" w:color="auto"/>
            </w:tcBorders>
          </w:tcPr>
          <w:p>
            <w:pPr>
              <w:ind w:left="140"/>
              <w:spacing w:after="0"/>
              <w:rPr>
                <w:sz w:val="20"/>
                <w:szCs w:val="20"/>
                <w:color w:val="auto"/>
              </w:rPr>
            </w:pPr>
            <w:r>
              <w:rPr>
                <w:rFonts w:ascii="Arial" w:cs="Arial" w:eastAsia="Arial" w:hAnsi="Arial"/>
                <w:sz w:val="18"/>
                <w:szCs w:val="18"/>
                <w:b w:val="1"/>
                <w:bCs w:val="1"/>
                <w:color w:val="auto"/>
              </w:rPr>
              <w:t>Private units</w:t>
            </w:r>
          </w:p>
        </w:tc>
        <w:tc>
          <w:tcPr>
            <w:tcW w:w="8140" w:type="dxa"/>
            <w:vAlign w:val="bottom"/>
            <w:gridSpan w:val="3"/>
          </w:tcPr>
          <w:p>
            <w:pPr>
              <w:ind w:left="380"/>
              <w:spacing w:after="0"/>
              <w:rPr>
                <w:sz w:val="20"/>
                <w:szCs w:val="20"/>
                <w:color w:val="auto"/>
              </w:rPr>
            </w:pPr>
            <w:r>
              <w:rPr>
                <w:rFonts w:ascii="Arial" w:cs="Arial" w:eastAsia="Arial" w:hAnsi="Arial"/>
                <w:sz w:val="18"/>
                <w:szCs w:val="18"/>
                <w:color w:val="auto"/>
                <w:w w:val="94"/>
              </w:rPr>
              <w:t>Our insiders (and/or their designees) have committed, pursuant to a written agreement, to purchase an</w:t>
            </w:r>
          </w:p>
        </w:tc>
      </w:tr>
      <w:tr>
        <w:trPr>
          <w:trHeight w:val="213"/>
        </w:trPr>
        <w:tc>
          <w:tcPr>
            <w:tcW w:w="3380" w:type="dxa"/>
            <w:vAlign w:val="bottom"/>
            <w:tcBorders>
              <w:left w:val="single" w:sz="8" w:color="auto"/>
            </w:tcBorders>
          </w:tcPr>
          <w:p>
            <w:pPr>
              <w:spacing w:after="0"/>
              <w:rPr>
                <w:sz w:val="18"/>
                <w:szCs w:val="18"/>
                <w:color w:val="auto"/>
              </w:rPr>
            </w:pPr>
          </w:p>
        </w:tc>
        <w:tc>
          <w:tcPr>
            <w:tcW w:w="8140" w:type="dxa"/>
            <w:vAlign w:val="bottom"/>
            <w:gridSpan w:val="3"/>
          </w:tcPr>
          <w:p>
            <w:pPr>
              <w:ind w:left="380"/>
              <w:spacing w:after="0"/>
              <w:rPr>
                <w:sz w:val="20"/>
                <w:szCs w:val="20"/>
                <w:color w:val="auto"/>
              </w:rPr>
            </w:pPr>
            <w:r>
              <w:rPr>
                <w:rFonts w:ascii="Arial" w:cs="Arial" w:eastAsia="Arial" w:hAnsi="Arial"/>
                <w:sz w:val="18"/>
                <w:szCs w:val="18"/>
                <w:color w:val="auto"/>
                <w:w w:val="92"/>
              </w:rPr>
              <w:t>aggregate of 250,000 private units (or 272,500 if the over-allotment option is exercised in full) at a price of</w:t>
            </w:r>
          </w:p>
        </w:tc>
      </w:tr>
      <w:tr>
        <w:trPr>
          <w:trHeight w:val="213"/>
        </w:trPr>
        <w:tc>
          <w:tcPr>
            <w:tcW w:w="3380" w:type="dxa"/>
            <w:vAlign w:val="bottom"/>
            <w:tcBorders>
              <w:left w:val="single" w:sz="8" w:color="auto"/>
            </w:tcBorders>
          </w:tcPr>
          <w:p>
            <w:pPr>
              <w:spacing w:after="0"/>
              <w:rPr>
                <w:sz w:val="18"/>
                <w:szCs w:val="18"/>
                <w:color w:val="auto"/>
              </w:rPr>
            </w:pPr>
          </w:p>
        </w:tc>
        <w:tc>
          <w:tcPr>
            <w:tcW w:w="8140" w:type="dxa"/>
            <w:vAlign w:val="bottom"/>
            <w:gridSpan w:val="3"/>
          </w:tcPr>
          <w:p>
            <w:pPr>
              <w:ind w:left="380"/>
              <w:spacing w:after="0"/>
              <w:rPr>
                <w:sz w:val="20"/>
                <w:szCs w:val="20"/>
                <w:color w:val="auto"/>
              </w:rPr>
            </w:pPr>
            <w:r>
              <w:rPr>
                <w:rFonts w:ascii="Arial" w:cs="Arial" w:eastAsia="Arial" w:hAnsi="Arial"/>
                <w:sz w:val="18"/>
                <w:szCs w:val="18"/>
                <w:color w:val="auto"/>
                <w:w w:val="96"/>
              </w:rPr>
              <w:t>$10.00 per unit ($2,500,000 or $2,725,000 if the over-allotment option is exercised in full) in a private</w:t>
            </w:r>
          </w:p>
        </w:tc>
      </w:tr>
      <w:tr>
        <w:trPr>
          <w:trHeight w:val="213"/>
        </w:trPr>
        <w:tc>
          <w:tcPr>
            <w:tcW w:w="3380" w:type="dxa"/>
            <w:vAlign w:val="bottom"/>
            <w:tcBorders>
              <w:left w:val="single" w:sz="8" w:color="auto"/>
            </w:tcBorders>
          </w:tcPr>
          <w:p>
            <w:pPr>
              <w:spacing w:after="0"/>
              <w:rPr>
                <w:sz w:val="18"/>
                <w:szCs w:val="18"/>
                <w:color w:val="auto"/>
              </w:rPr>
            </w:pPr>
          </w:p>
        </w:tc>
        <w:tc>
          <w:tcPr>
            <w:tcW w:w="8140" w:type="dxa"/>
            <w:vAlign w:val="bottom"/>
            <w:gridSpan w:val="3"/>
          </w:tcPr>
          <w:p>
            <w:pPr>
              <w:ind w:left="380"/>
              <w:spacing w:after="0"/>
              <w:rPr>
                <w:sz w:val="20"/>
                <w:szCs w:val="20"/>
                <w:color w:val="auto"/>
              </w:rPr>
            </w:pPr>
            <w:r>
              <w:rPr>
                <w:rFonts w:ascii="Arial" w:cs="Arial" w:eastAsia="Arial" w:hAnsi="Arial"/>
                <w:sz w:val="18"/>
                <w:szCs w:val="18"/>
                <w:color w:val="auto"/>
                <w:w w:val="92"/>
              </w:rPr>
              <w:t>placement that will occur simultaneously with the closing of this offering. The purchase price of the private</w:t>
            </w:r>
          </w:p>
        </w:tc>
      </w:tr>
      <w:tr>
        <w:trPr>
          <w:trHeight w:val="213"/>
        </w:trPr>
        <w:tc>
          <w:tcPr>
            <w:tcW w:w="3380" w:type="dxa"/>
            <w:vAlign w:val="bottom"/>
            <w:tcBorders>
              <w:left w:val="single" w:sz="8" w:color="auto"/>
            </w:tcBorders>
          </w:tcPr>
          <w:p>
            <w:pPr>
              <w:spacing w:after="0"/>
              <w:rPr>
                <w:sz w:val="18"/>
                <w:szCs w:val="18"/>
                <w:color w:val="auto"/>
              </w:rPr>
            </w:pPr>
          </w:p>
        </w:tc>
        <w:tc>
          <w:tcPr>
            <w:tcW w:w="8140" w:type="dxa"/>
            <w:vAlign w:val="bottom"/>
            <w:gridSpan w:val="3"/>
          </w:tcPr>
          <w:p>
            <w:pPr>
              <w:ind w:left="380"/>
              <w:spacing w:after="0"/>
              <w:rPr>
                <w:sz w:val="20"/>
                <w:szCs w:val="20"/>
                <w:color w:val="auto"/>
              </w:rPr>
            </w:pPr>
            <w:r>
              <w:rPr>
                <w:rFonts w:ascii="Arial" w:cs="Arial" w:eastAsia="Arial" w:hAnsi="Arial"/>
                <w:sz w:val="18"/>
                <w:szCs w:val="18"/>
                <w:color w:val="auto"/>
                <w:w w:val="89"/>
              </w:rPr>
              <w:t>units will be added to the proceeds from this offering to pay for the expenses of this offering and to be held in</w:t>
            </w:r>
          </w:p>
        </w:tc>
      </w:tr>
      <w:tr>
        <w:trPr>
          <w:trHeight w:val="213"/>
        </w:trPr>
        <w:tc>
          <w:tcPr>
            <w:tcW w:w="3380" w:type="dxa"/>
            <w:vAlign w:val="bottom"/>
            <w:tcBorders>
              <w:left w:val="single" w:sz="8" w:color="auto"/>
            </w:tcBorders>
          </w:tcPr>
          <w:p>
            <w:pPr>
              <w:spacing w:after="0"/>
              <w:rPr>
                <w:sz w:val="18"/>
                <w:szCs w:val="18"/>
                <w:color w:val="auto"/>
              </w:rPr>
            </w:pPr>
          </w:p>
        </w:tc>
        <w:tc>
          <w:tcPr>
            <w:tcW w:w="8140" w:type="dxa"/>
            <w:vAlign w:val="bottom"/>
            <w:gridSpan w:val="3"/>
          </w:tcPr>
          <w:p>
            <w:pPr>
              <w:ind w:left="380"/>
              <w:spacing w:after="0"/>
              <w:rPr>
                <w:sz w:val="20"/>
                <w:szCs w:val="20"/>
                <w:color w:val="auto"/>
              </w:rPr>
            </w:pPr>
            <w:r>
              <w:rPr>
                <w:rFonts w:ascii="Arial" w:cs="Arial" w:eastAsia="Arial" w:hAnsi="Arial"/>
                <w:sz w:val="18"/>
                <w:szCs w:val="18"/>
                <w:color w:val="auto"/>
                <w:w w:val="91"/>
              </w:rPr>
              <w:t>the trust account. If we do not complete our initial business combination within 18 months from the closing</w:t>
            </w:r>
          </w:p>
        </w:tc>
      </w:tr>
      <w:tr>
        <w:trPr>
          <w:trHeight w:val="213"/>
        </w:trPr>
        <w:tc>
          <w:tcPr>
            <w:tcW w:w="3380" w:type="dxa"/>
            <w:vAlign w:val="bottom"/>
            <w:tcBorders>
              <w:left w:val="single" w:sz="8" w:color="auto"/>
            </w:tcBorders>
          </w:tcPr>
          <w:p>
            <w:pPr>
              <w:spacing w:after="0"/>
              <w:rPr>
                <w:sz w:val="18"/>
                <w:szCs w:val="18"/>
                <w:color w:val="auto"/>
              </w:rPr>
            </w:pPr>
          </w:p>
        </w:tc>
        <w:tc>
          <w:tcPr>
            <w:tcW w:w="8140" w:type="dxa"/>
            <w:vAlign w:val="bottom"/>
            <w:gridSpan w:val="3"/>
          </w:tcPr>
          <w:p>
            <w:pPr>
              <w:ind w:left="380"/>
              <w:spacing w:after="0"/>
              <w:rPr>
                <w:sz w:val="20"/>
                <w:szCs w:val="20"/>
                <w:color w:val="auto"/>
              </w:rPr>
            </w:pPr>
            <w:r>
              <w:rPr>
                <w:rFonts w:ascii="Arial" w:cs="Arial" w:eastAsia="Arial" w:hAnsi="Arial"/>
                <w:sz w:val="18"/>
                <w:szCs w:val="18"/>
                <w:color w:val="auto"/>
                <w:w w:val="89"/>
              </w:rPr>
              <w:t>of this offering (or 21 months, as applicable), the proceeds of the sale of the private units will be used to fund</w:t>
            </w:r>
          </w:p>
        </w:tc>
      </w:tr>
      <w:tr>
        <w:trPr>
          <w:trHeight w:val="213"/>
        </w:trPr>
        <w:tc>
          <w:tcPr>
            <w:tcW w:w="3380" w:type="dxa"/>
            <w:vAlign w:val="bottom"/>
            <w:tcBorders>
              <w:left w:val="single" w:sz="8" w:color="auto"/>
            </w:tcBorders>
          </w:tcPr>
          <w:p>
            <w:pPr>
              <w:spacing w:after="0"/>
              <w:rPr>
                <w:sz w:val="18"/>
                <w:szCs w:val="18"/>
                <w:color w:val="auto"/>
              </w:rPr>
            </w:pPr>
          </w:p>
        </w:tc>
        <w:tc>
          <w:tcPr>
            <w:tcW w:w="8140" w:type="dxa"/>
            <w:vAlign w:val="bottom"/>
            <w:gridSpan w:val="3"/>
          </w:tcPr>
          <w:p>
            <w:pPr>
              <w:ind w:left="380"/>
              <w:spacing w:after="0"/>
              <w:rPr>
                <w:sz w:val="20"/>
                <w:szCs w:val="20"/>
                <w:color w:val="auto"/>
              </w:rPr>
            </w:pPr>
            <w:r>
              <w:rPr>
                <w:rFonts w:ascii="Arial" w:cs="Arial" w:eastAsia="Arial" w:hAnsi="Arial"/>
                <w:sz w:val="18"/>
                <w:szCs w:val="18"/>
                <w:color w:val="auto"/>
                <w:w w:val="90"/>
              </w:rPr>
              <w:t>the redemption of our public shares (subject to the requirements of applicable law) and the private units will</w:t>
            </w:r>
          </w:p>
        </w:tc>
      </w:tr>
      <w:tr>
        <w:trPr>
          <w:trHeight w:val="224"/>
        </w:trPr>
        <w:tc>
          <w:tcPr>
            <w:tcW w:w="3380" w:type="dxa"/>
            <w:vAlign w:val="bottom"/>
            <w:tcBorders>
              <w:left w:val="single" w:sz="8" w:color="auto"/>
            </w:tcBorders>
          </w:tcPr>
          <w:p>
            <w:pPr>
              <w:spacing w:after="0"/>
              <w:rPr>
                <w:sz w:val="19"/>
                <w:szCs w:val="19"/>
                <w:color w:val="auto"/>
              </w:rPr>
            </w:pPr>
          </w:p>
        </w:tc>
        <w:tc>
          <w:tcPr>
            <w:tcW w:w="8140" w:type="dxa"/>
            <w:vAlign w:val="bottom"/>
            <w:gridSpan w:val="3"/>
          </w:tcPr>
          <w:p>
            <w:pPr>
              <w:ind w:left="380"/>
              <w:spacing w:after="0"/>
              <w:rPr>
                <w:sz w:val="20"/>
                <w:szCs w:val="20"/>
                <w:color w:val="auto"/>
              </w:rPr>
            </w:pPr>
            <w:r>
              <w:rPr>
                <w:rFonts w:ascii="Arial" w:cs="Arial" w:eastAsia="Arial" w:hAnsi="Arial"/>
                <w:sz w:val="18"/>
                <w:szCs w:val="18"/>
                <w:color w:val="auto"/>
              </w:rPr>
              <w:t>be worthless.</w:t>
            </w:r>
          </w:p>
        </w:tc>
      </w:tr>
      <w:tr>
        <w:trPr>
          <w:trHeight w:val="416"/>
        </w:trPr>
        <w:tc>
          <w:tcPr>
            <w:tcW w:w="3380" w:type="dxa"/>
            <w:vAlign w:val="bottom"/>
            <w:tcBorders>
              <w:left w:val="single" w:sz="8" w:color="auto"/>
            </w:tcBorders>
          </w:tcPr>
          <w:p>
            <w:pPr>
              <w:ind w:left="140"/>
              <w:spacing w:after="0"/>
              <w:rPr>
                <w:sz w:val="20"/>
                <w:szCs w:val="20"/>
                <w:color w:val="auto"/>
              </w:rPr>
            </w:pPr>
            <w:r>
              <w:rPr>
                <w:rFonts w:ascii="Arial" w:cs="Arial" w:eastAsia="Arial" w:hAnsi="Arial"/>
                <w:sz w:val="18"/>
                <w:szCs w:val="18"/>
                <w:b w:val="1"/>
                <w:bCs w:val="1"/>
                <w:color w:val="auto"/>
              </w:rPr>
              <w:t>Limited payments to insiders</w:t>
            </w:r>
          </w:p>
        </w:tc>
        <w:tc>
          <w:tcPr>
            <w:tcW w:w="8140" w:type="dxa"/>
            <w:vAlign w:val="bottom"/>
            <w:gridSpan w:val="3"/>
          </w:tcPr>
          <w:p>
            <w:pPr>
              <w:ind w:left="380"/>
              <w:spacing w:after="0"/>
              <w:rPr>
                <w:sz w:val="20"/>
                <w:szCs w:val="20"/>
                <w:color w:val="auto"/>
              </w:rPr>
            </w:pPr>
            <w:r>
              <w:rPr>
                <w:rFonts w:ascii="Arial" w:cs="Arial" w:eastAsia="Arial" w:hAnsi="Arial"/>
                <w:sz w:val="18"/>
                <w:szCs w:val="18"/>
                <w:color w:val="auto"/>
                <w:w w:val="89"/>
              </w:rPr>
              <w:t>There will be no fees, reimbursements or other cash payments paid to our insiders or any of the members of</w:t>
            </w:r>
          </w:p>
        </w:tc>
      </w:tr>
      <w:tr>
        <w:trPr>
          <w:trHeight w:val="213"/>
        </w:trPr>
        <w:tc>
          <w:tcPr>
            <w:tcW w:w="3380" w:type="dxa"/>
            <w:vAlign w:val="bottom"/>
            <w:tcBorders>
              <w:left w:val="single" w:sz="8" w:color="auto"/>
            </w:tcBorders>
          </w:tcPr>
          <w:p>
            <w:pPr>
              <w:spacing w:after="0"/>
              <w:rPr>
                <w:sz w:val="18"/>
                <w:szCs w:val="18"/>
                <w:color w:val="auto"/>
              </w:rPr>
            </w:pPr>
          </w:p>
        </w:tc>
        <w:tc>
          <w:tcPr>
            <w:tcW w:w="8140" w:type="dxa"/>
            <w:vAlign w:val="bottom"/>
            <w:gridSpan w:val="3"/>
          </w:tcPr>
          <w:p>
            <w:pPr>
              <w:ind w:left="380"/>
              <w:spacing w:after="0"/>
              <w:rPr>
                <w:sz w:val="20"/>
                <w:szCs w:val="20"/>
                <w:color w:val="auto"/>
              </w:rPr>
            </w:pPr>
            <w:r>
              <w:rPr>
                <w:rFonts w:ascii="Arial" w:cs="Arial" w:eastAsia="Arial" w:hAnsi="Arial"/>
                <w:sz w:val="18"/>
                <w:szCs w:val="18"/>
                <w:color w:val="auto"/>
                <w:w w:val="91"/>
              </w:rPr>
              <w:t>our management team prior to, or for any services they render in order to effectuate, the consummation of</w:t>
            </w:r>
          </w:p>
        </w:tc>
      </w:tr>
      <w:tr>
        <w:trPr>
          <w:trHeight w:val="224"/>
        </w:trPr>
        <w:tc>
          <w:tcPr>
            <w:tcW w:w="3380" w:type="dxa"/>
            <w:vAlign w:val="bottom"/>
            <w:tcBorders>
              <w:left w:val="single" w:sz="8" w:color="auto"/>
            </w:tcBorders>
          </w:tcPr>
          <w:p>
            <w:pPr>
              <w:spacing w:after="0"/>
              <w:rPr>
                <w:sz w:val="19"/>
                <w:szCs w:val="19"/>
                <w:color w:val="auto"/>
              </w:rPr>
            </w:pPr>
          </w:p>
        </w:tc>
        <w:tc>
          <w:tcPr>
            <w:tcW w:w="8140" w:type="dxa"/>
            <w:vAlign w:val="bottom"/>
            <w:gridSpan w:val="3"/>
          </w:tcPr>
          <w:p>
            <w:pPr>
              <w:ind w:left="380"/>
              <w:spacing w:after="0"/>
              <w:rPr>
                <w:sz w:val="20"/>
                <w:szCs w:val="20"/>
                <w:color w:val="auto"/>
              </w:rPr>
            </w:pPr>
            <w:r>
              <w:rPr>
                <w:rFonts w:ascii="Arial" w:cs="Arial" w:eastAsia="Arial" w:hAnsi="Arial"/>
                <w:sz w:val="18"/>
                <w:szCs w:val="18"/>
                <w:color w:val="auto"/>
              </w:rPr>
              <w:t>our initial business combination (regardless of the type of transaction that it is) other than:</w:t>
            </w:r>
          </w:p>
        </w:tc>
      </w:tr>
      <w:tr>
        <w:trPr>
          <w:trHeight w:val="416"/>
        </w:trPr>
        <w:tc>
          <w:tcPr>
            <w:tcW w:w="3380" w:type="dxa"/>
            <w:vAlign w:val="bottom"/>
            <w:tcBorders>
              <w:left w:val="single" w:sz="8" w:color="auto"/>
            </w:tcBorders>
          </w:tcPr>
          <w:p>
            <w:pPr>
              <w:spacing w:after="0"/>
              <w:rPr>
                <w:sz w:val="24"/>
                <w:szCs w:val="24"/>
                <w:color w:val="auto"/>
              </w:rPr>
            </w:pPr>
          </w:p>
        </w:tc>
        <w:tc>
          <w:tcPr>
            <w:tcW w:w="960" w:type="dxa"/>
            <w:vAlign w:val="bottom"/>
          </w:tcPr>
          <w:p>
            <w:pPr>
              <w:ind w:left="720"/>
              <w:spacing w:after="0"/>
              <w:rPr>
                <w:sz w:val="20"/>
                <w:szCs w:val="20"/>
                <w:color w:val="auto"/>
              </w:rPr>
            </w:pPr>
            <w:r>
              <w:rPr>
                <w:rFonts w:ascii="Arial" w:cs="Arial" w:eastAsia="Arial" w:hAnsi="Arial"/>
                <w:sz w:val="18"/>
                <w:szCs w:val="18"/>
                <w:color w:val="auto"/>
              </w:rPr>
              <w:t>·</w:t>
            </w:r>
          </w:p>
        </w:tc>
        <w:tc>
          <w:tcPr>
            <w:tcW w:w="7180" w:type="dxa"/>
            <w:vAlign w:val="bottom"/>
            <w:gridSpan w:val="2"/>
          </w:tcPr>
          <w:p>
            <w:pPr>
              <w:ind w:left="220"/>
              <w:spacing w:after="0"/>
              <w:rPr>
                <w:sz w:val="20"/>
                <w:szCs w:val="20"/>
                <w:color w:val="auto"/>
              </w:rPr>
            </w:pPr>
            <w:r>
              <w:rPr>
                <w:rFonts w:ascii="Arial" w:cs="Arial" w:eastAsia="Arial" w:hAnsi="Arial"/>
                <w:sz w:val="18"/>
                <w:szCs w:val="18"/>
                <w:color w:val="auto"/>
                <w:w w:val="92"/>
              </w:rPr>
              <w:t>repayment at the closing of this offering of non-interest bearing loans in an amount of $35,000</w:t>
            </w:r>
          </w:p>
        </w:tc>
      </w:tr>
      <w:tr>
        <w:trPr>
          <w:trHeight w:val="224"/>
        </w:trPr>
        <w:tc>
          <w:tcPr>
            <w:tcW w:w="3380" w:type="dxa"/>
            <w:vAlign w:val="bottom"/>
            <w:tcBorders>
              <w:lef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7180" w:type="dxa"/>
            <w:vAlign w:val="bottom"/>
            <w:gridSpan w:val="2"/>
          </w:tcPr>
          <w:p>
            <w:pPr>
              <w:ind w:left="220"/>
              <w:spacing w:after="0"/>
              <w:rPr>
                <w:sz w:val="20"/>
                <w:szCs w:val="20"/>
                <w:color w:val="auto"/>
              </w:rPr>
            </w:pPr>
            <w:r>
              <w:rPr>
                <w:rFonts w:ascii="Arial" w:cs="Arial" w:eastAsia="Arial" w:hAnsi="Arial"/>
                <w:sz w:val="18"/>
                <w:szCs w:val="18"/>
                <w:color w:val="auto"/>
              </w:rPr>
              <w:t>made by a related party;</w:t>
            </w:r>
          </w:p>
        </w:tc>
      </w:tr>
      <w:tr>
        <w:trPr>
          <w:trHeight w:val="416"/>
        </w:trPr>
        <w:tc>
          <w:tcPr>
            <w:tcW w:w="3380" w:type="dxa"/>
            <w:vAlign w:val="bottom"/>
            <w:tcBorders>
              <w:left w:val="single" w:sz="8" w:color="auto"/>
            </w:tcBorders>
          </w:tcPr>
          <w:p>
            <w:pPr>
              <w:spacing w:after="0"/>
              <w:rPr>
                <w:sz w:val="24"/>
                <w:szCs w:val="24"/>
                <w:color w:val="auto"/>
              </w:rPr>
            </w:pPr>
          </w:p>
        </w:tc>
        <w:tc>
          <w:tcPr>
            <w:tcW w:w="960" w:type="dxa"/>
            <w:vAlign w:val="bottom"/>
          </w:tcPr>
          <w:p>
            <w:pPr>
              <w:ind w:left="720"/>
              <w:spacing w:after="0"/>
              <w:rPr>
                <w:sz w:val="20"/>
                <w:szCs w:val="20"/>
                <w:color w:val="auto"/>
              </w:rPr>
            </w:pPr>
            <w:r>
              <w:rPr>
                <w:rFonts w:ascii="Arial" w:cs="Arial" w:eastAsia="Arial" w:hAnsi="Arial"/>
                <w:sz w:val="18"/>
                <w:szCs w:val="18"/>
                <w:color w:val="auto"/>
              </w:rPr>
              <w:t>·</w:t>
            </w:r>
          </w:p>
        </w:tc>
        <w:tc>
          <w:tcPr>
            <w:tcW w:w="7180" w:type="dxa"/>
            <w:vAlign w:val="bottom"/>
            <w:gridSpan w:val="2"/>
          </w:tcPr>
          <w:p>
            <w:pPr>
              <w:ind w:left="220"/>
              <w:spacing w:after="0"/>
              <w:rPr>
                <w:sz w:val="20"/>
                <w:szCs w:val="20"/>
                <w:color w:val="auto"/>
              </w:rPr>
            </w:pPr>
            <w:r>
              <w:rPr>
                <w:rFonts w:ascii="Arial" w:cs="Arial" w:eastAsia="Arial" w:hAnsi="Arial"/>
                <w:sz w:val="18"/>
                <w:szCs w:val="18"/>
                <w:color w:val="auto"/>
                <w:w w:val="94"/>
              </w:rPr>
              <w:t>payment of $10,000 per month to Magna Management LLC, a company wholly owned by ou</w:t>
            </w:r>
          </w:p>
        </w:tc>
      </w:tr>
      <w:tr>
        <w:trPr>
          <w:trHeight w:val="224"/>
        </w:trPr>
        <w:tc>
          <w:tcPr>
            <w:tcW w:w="3380" w:type="dxa"/>
            <w:vAlign w:val="bottom"/>
            <w:tcBorders>
              <w:lef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7180" w:type="dxa"/>
            <w:vAlign w:val="bottom"/>
            <w:gridSpan w:val="2"/>
          </w:tcPr>
          <w:p>
            <w:pPr>
              <w:ind w:left="220"/>
              <w:spacing w:after="0"/>
              <w:rPr>
                <w:sz w:val="20"/>
                <w:szCs w:val="20"/>
                <w:color w:val="auto"/>
              </w:rPr>
            </w:pPr>
            <w:r>
              <w:rPr>
                <w:rFonts w:ascii="Arial" w:cs="Arial" w:eastAsia="Arial" w:hAnsi="Arial"/>
                <w:sz w:val="18"/>
                <w:szCs w:val="18"/>
                <w:color w:val="auto"/>
              </w:rPr>
              <w:t>insiders, for office space and related services, subject to deferral as described herein;</w:t>
            </w:r>
          </w:p>
        </w:tc>
      </w:tr>
      <w:tr>
        <w:trPr>
          <w:trHeight w:val="416"/>
        </w:trPr>
        <w:tc>
          <w:tcPr>
            <w:tcW w:w="3380" w:type="dxa"/>
            <w:vAlign w:val="bottom"/>
            <w:tcBorders>
              <w:left w:val="single" w:sz="8" w:color="auto"/>
            </w:tcBorders>
          </w:tcPr>
          <w:p>
            <w:pPr>
              <w:spacing w:after="0"/>
              <w:rPr>
                <w:sz w:val="24"/>
                <w:szCs w:val="24"/>
                <w:color w:val="auto"/>
              </w:rPr>
            </w:pPr>
          </w:p>
        </w:tc>
        <w:tc>
          <w:tcPr>
            <w:tcW w:w="960" w:type="dxa"/>
            <w:vAlign w:val="bottom"/>
          </w:tcPr>
          <w:p>
            <w:pPr>
              <w:ind w:left="720"/>
              <w:spacing w:after="0"/>
              <w:rPr>
                <w:sz w:val="20"/>
                <w:szCs w:val="20"/>
                <w:color w:val="auto"/>
              </w:rPr>
            </w:pPr>
            <w:r>
              <w:rPr>
                <w:rFonts w:ascii="Arial" w:cs="Arial" w:eastAsia="Arial" w:hAnsi="Arial"/>
                <w:sz w:val="18"/>
                <w:szCs w:val="18"/>
                <w:color w:val="auto"/>
              </w:rPr>
              <w:t>·</w:t>
            </w:r>
          </w:p>
        </w:tc>
        <w:tc>
          <w:tcPr>
            <w:tcW w:w="7180" w:type="dxa"/>
            <w:vAlign w:val="bottom"/>
            <w:gridSpan w:val="2"/>
          </w:tcPr>
          <w:p>
            <w:pPr>
              <w:ind w:left="220"/>
              <w:spacing w:after="0"/>
              <w:rPr>
                <w:sz w:val="20"/>
                <w:szCs w:val="20"/>
                <w:color w:val="auto"/>
              </w:rPr>
            </w:pPr>
            <w:r>
              <w:rPr>
                <w:rFonts w:ascii="Arial" w:cs="Arial" w:eastAsia="Arial" w:hAnsi="Arial"/>
                <w:sz w:val="18"/>
                <w:szCs w:val="18"/>
                <w:color w:val="auto"/>
                <w:w w:val="91"/>
              </w:rPr>
              <w:t>reimbursement of out-of-pocket expenses incurred by insiders, officers, directors or any of its or</w:t>
            </w:r>
          </w:p>
        </w:tc>
      </w:tr>
      <w:tr>
        <w:trPr>
          <w:trHeight w:val="213"/>
        </w:trPr>
        <w:tc>
          <w:tcPr>
            <w:tcW w:w="338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7180" w:type="dxa"/>
            <w:vAlign w:val="bottom"/>
            <w:gridSpan w:val="2"/>
          </w:tcPr>
          <w:p>
            <w:pPr>
              <w:ind w:left="220"/>
              <w:spacing w:after="0"/>
              <w:rPr>
                <w:sz w:val="20"/>
                <w:szCs w:val="20"/>
                <w:color w:val="auto"/>
              </w:rPr>
            </w:pPr>
            <w:r>
              <w:rPr>
                <w:rFonts w:ascii="Arial" w:cs="Arial" w:eastAsia="Arial" w:hAnsi="Arial"/>
                <w:sz w:val="18"/>
                <w:szCs w:val="18"/>
                <w:color w:val="auto"/>
              </w:rPr>
              <w:t>their affiliates in connection with certain activities on our behalf, such as identifying and</w:t>
            </w:r>
          </w:p>
        </w:tc>
      </w:tr>
      <w:tr>
        <w:trPr>
          <w:trHeight w:val="224"/>
        </w:trPr>
        <w:tc>
          <w:tcPr>
            <w:tcW w:w="3380" w:type="dxa"/>
            <w:vAlign w:val="bottom"/>
            <w:tcBorders>
              <w:lef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7180" w:type="dxa"/>
            <w:vAlign w:val="bottom"/>
            <w:gridSpan w:val="2"/>
          </w:tcPr>
          <w:p>
            <w:pPr>
              <w:ind w:left="220"/>
              <w:spacing w:after="0"/>
              <w:rPr>
                <w:sz w:val="20"/>
                <w:szCs w:val="20"/>
                <w:color w:val="auto"/>
              </w:rPr>
            </w:pPr>
            <w:r>
              <w:rPr>
                <w:rFonts w:ascii="Arial" w:cs="Arial" w:eastAsia="Arial" w:hAnsi="Arial"/>
                <w:sz w:val="18"/>
                <w:szCs w:val="18"/>
                <w:color w:val="auto"/>
              </w:rPr>
              <w:t>investigating possible business targets and business combinations; and</w:t>
            </w:r>
          </w:p>
        </w:tc>
      </w:tr>
      <w:tr>
        <w:trPr>
          <w:trHeight w:val="416"/>
        </w:trPr>
        <w:tc>
          <w:tcPr>
            <w:tcW w:w="3380" w:type="dxa"/>
            <w:vAlign w:val="bottom"/>
            <w:tcBorders>
              <w:left w:val="single" w:sz="8" w:color="auto"/>
            </w:tcBorders>
          </w:tcPr>
          <w:p>
            <w:pPr>
              <w:spacing w:after="0"/>
              <w:rPr>
                <w:sz w:val="24"/>
                <w:szCs w:val="24"/>
                <w:color w:val="auto"/>
              </w:rPr>
            </w:pPr>
          </w:p>
        </w:tc>
        <w:tc>
          <w:tcPr>
            <w:tcW w:w="960" w:type="dxa"/>
            <w:vAlign w:val="bottom"/>
          </w:tcPr>
          <w:p>
            <w:pPr>
              <w:ind w:left="720"/>
              <w:spacing w:after="0"/>
              <w:rPr>
                <w:sz w:val="20"/>
                <w:szCs w:val="20"/>
                <w:color w:val="auto"/>
              </w:rPr>
            </w:pPr>
            <w:r>
              <w:rPr>
                <w:rFonts w:ascii="Arial" w:cs="Arial" w:eastAsia="Arial" w:hAnsi="Arial"/>
                <w:sz w:val="18"/>
                <w:szCs w:val="18"/>
                <w:color w:val="auto"/>
              </w:rPr>
              <w:t>·</w:t>
            </w:r>
          </w:p>
        </w:tc>
        <w:tc>
          <w:tcPr>
            <w:tcW w:w="7180" w:type="dxa"/>
            <w:vAlign w:val="bottom"/>
            <w:gridSpan w:val="2"/>
          </w:tcPr>
          <w:p>
            <w:pPr>
              <w:ind w:left="220"/>
              <w:spacing w:after="0"/>
              <w:rPr>
                <w:sz w:val="20"/>
                <w:szCs w:val="20"/>
                <w:color w:val="auto"/>
              </w:rPr>
            </w:pPr>
            <w:r>
              <w:rPr>
                <w:rFonts w:ascii="Arial" w:cs="Arial" w:eastAsia="Arial" w:hAnsi="Arial"/>
                <w:sz w:val="18"/>
                <w:szCs w:val="18"/>
                <w:color w:val="auto"/>
                <w:w w:val="93"/>
              </w:rPr>
              <w:t>repayment of loans which may be made by our insiders, officers, directors or any of its or thei</w:t>
            </w:r>
          </w:p>
        </w:tc>
      </w:tr>
      <w:tr>
        <w:trPr>
          <w:trHeight w:val="213"/>
        </w:trPr>
        <w:tc>
          <w:tcPr>
            <w:tcW w:w="338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7180" w:type="dxa"/>
            <w:vAlign w:val="bottom"/>
            <w:gridSpan w:val="2"/>
          </w:tcPr>
          <w:p>
            <w:pPr>
              <w:ind w:left="220"/>
              <w:spacing w:after="0"/>
              <w:rPr>
                <w:sz w:val="20"/>
                <w:szCs w:val="20"/>
                <w:color w:val="auto"/>
              </w:rPr>
            </w:pPr>
            <w:r>
              <w:rPr>
                <w:rFonts w:ascii="Arial" w:cs="Arial" w:eastAsia="Arial" w:hAnsi="Arial"/>
                <w:sz w:val="18"/>
                <w:szCs w:val="18"/>
                <w:color w:val="auto"/>
                <w:w w:val="89"/>
              </w:rPr>
              <w:t>affiliates to finance transaction costs in connection with an initial business combination, the terms</w:t>
            </w:r>
          </w:p>
        </w:tc>
      </w:tr>
      <w:tr>
        <w:trPr>
          <w:trHeight w:val="224"/>
        </w:trPr>
        <w:tc>
          <w:tcPr>
            <w:tcW w:w="3380" w:type="dxa"/>
            <w:vAlign w:val="bottom"/>
            <w:tcBorders>
              <w:lef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7180" w:type="dxa"/>
            <w:vAlign w:val="bottom"/>
            <w:gridSpan w:val="2"/>
          </w:tcPr>
          <w:p>
            <w:pPr>
              <w:ind w:left="220"/>
              <w:spacing w:after="0"/>
              <w:rPr>
                <w:sz w:val="20"/>
                <w:szCs w:val="20"/>
                <w:color w:val="auto"/>
              </w:rPr>
            </w:pPr>
            <w:r>
              <w:rPr>
                <w:rFonts w:ascii="Arial" w:cs="Arial" w:eastAsia="Arial" w:hAnsi="Arial"/>
                <w:sz w:val="18"/>
                <w:szCs w:val="18"/>
                <w:color w:val="auto"/>
              </w:rPr>
              <w:t>of which have not been determined.</w:t>
            </w:r>
          </w:p>
        </w:tc>
      </w:tr>
      <w:tr>
        <w:trPr>
          <w:trHeight w:val="118"/>
        </w:trPr>
        <w:tc>
          <w:tcPr>
            <w:tcW w:w="3380" w:type="dxa"/>
            <w:vAlign w:val="bottom"/>
            <w:tcBorders>
              <w:left w:val="single" w:sz="8" w:color="auto"/>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70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r>
        <w:trPr>
          <w:trHeight w:val="670"/>
        </w:trPr>
        <w:tc>
          <w:tcPr>
            <w:tcW w:w="3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r>
    </w:tbl>
    <w:p>
      <w:pPr>
        <w:sectPr>
          <w:pgSz w:w="11900" w:h="16838" w:orient="portrait"/>
          <w:cols w:equalWidth="0" w:num="1">
            <w:col w:w="11520"/>
          </w:cols>
          <w:pgMar w:left="240" w:top="890" w:right="139" w:bottom="1440" w:gutter="0" w:footer="0" w:header="0"/>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421" w:lineRule="auto"/>
        <w:rPr>
          <w:sz w:val="20"/>
          <w:szCs w:val="20"/>
          <w:color w:val="auto"/>
        </w:rPr>
      </w:pPr>
      <w:r>
        <w:rPr>
          <w:rFonts w:ascii="Arial" w:cs="Arial" w:eastAsia="Arial" w:hAnsi="Arial"/>
          <w:sz w:val="14"/>
          <w:szCs w:val="14"/>
          <w:b w:val="1"/>
          <w:bCs w:val="1"/>
          <w:color w:val="auto"/>
        </w:rPr>
        <w:t>Stockholder approval of, or tender offer in connection with, initial business combination</w:t>
      </w:r>
    </w:p>
    <w:p>
      <w:pPr>
        <w:spacing w:after="0" w:line="20" w:lineRule="exact"/>
        <w:rPr>
          <w:sz w:val="20"/>
          <w:szCs w:val="20"/>
          <w:color w:val="auto"/>
        </w:rPr>
      </w:pPr>
      <w:r>
        <w:rPr>
          <w:sz w:val="20"/>
          <w:szCs w:val="20"/>
          <w:color w:val="auto"/>
        </w:rPr>
        <w:br w:type="column"/>
      </w:r>
    </w:p>
    <w:p>
      <w:pPr>
        <w:jc w:val="both"/>
        <w:spacing w:after="0" w:line="284" w:lineRule="auto"/>
        <w:rPr>
          <w:sz w:val="20"/>
          <w:szCs w:val="20"/>
          <w:color w:val="auto"/>
        </w:rPr>
      </w:pPr>
      <w:r>
        <w:rPr>
          <w:rFonts w:ascii="Arial" w:cs="Arial" w:eastAsia="Arial" w:hAnsi="Arial"/>
          <w:sz w:val="16"/>
          <w:szCs w:val="16"/>
          <w:color w:val="auto"/>
        </w:rPr>
        <w:t>There is no limit on the amount of out-of-pocket expenses reimbursable by us; provided, however, that to the extent such expenses exceed the available proceeds not deposited in the trust account and the interest income earned on the amounts held in the trust account that may be released to us, such expenses would not be reimbursed by us unless we consummate an initial business combination. We have no policy which prohibits our insiders or any member of our management team from negotiating the reimbursement of such expenses by a target business. Our audit committee will review and approve all reimbursements and payments made to any insider or member of our management team, or our or their respective affiliates, and any reimbursements and payments made to members of our audit committee will be reviewed and approved by our board of directors, with any interested director abstaining from such review and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-2385060</wp:posOffset>
            </wp:positionH>
            <wp:positionV relativeFrom="paragraph">
              <wp:posOffset>-1457960</wp:posOffset>
            </wp:positionV>
            <wp:extent cx="7313295" cy="65411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3295" cy="6541135"/>
                    </a:xfrm>
                    <a:prstGeom prst="rect">
                      <a:avLst/>
                    </a:prstGeom>
                    <a:noFill/>
                  </pic:spPr>
                </pic:pic>
              </a:graphicData>
            </a:graphic>
          </wp:anchor>
        </w:drawing>
      </w:r>
    </w:p>
    <w:p>
      <w:pPr>
        <w:spacing w:after="0" w:line="15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connection with any proposed initial business combination, we will either (1) seek stockholder approval of such initial business combination at a meeting called for such purpose at which stockholders may seek to convert their shares into the right to receive cash from the trust account, regardless of whether they vote for or against the proposed business combination; or (2) provide our stockholders with the opportunity to sell their shares to us by means of a tender offer (and thereby avoid the need for a stockholder vote) for an amount equal to their pro rata share of the aggregate amount then on deposit in the trust account (net of taxes payable), in each case subject to the limitations described herein. The decision as to whether we will seek stockholder approval of our proposed business combination or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If we provide stockholders with the opportunity to sell their shares to us by means of a tender offer, we will file tender offer documents with the SEC which will contain substantially the same financial and other information about the initial business combination as is required under the SEC’s proxy rules. If we seek stockholder approval of our initial business combination, we will consummate the business combination only if a majority of the outstanding shares of common stock voted are voted in favor of the business combination.</w:t>
      </w:r>
    </w:p>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addition, we will not consummate our initial business combination if public stockholders exercise conversion rights in an amount that would cause our net tangible assets to be less than $5,000,001 (so tha this offering is not subject to Rule 419 promulgated under the Securities Act) or if we do not satisfy any greater net tangible asset or cash requirement which may be contained in the agreement relating to our initia business combination. For example, the proposed business combination may require: (i) cash consideration to be paid to the target or its owners, (ii) cash to be transferred to the target for working capital or other general corporate purposes or (iii) the retention of cash to satisfy other conditions in accordance with the terms of the proposed business combination. In the event the aggregate cash consideration needed to satisfy cash conditions pursuant to the terms of the proposed business combination exceeds the aggregate amount of cash available to us (including any cash we may obtain from financing from third parties or our insiders officers, directors or their affiliates, which may not be available on terms acceptable to us or at all), we wil not complete the business combination (as we may be required to have a lesser number of shares converted) As a result, we may not be able to locate another suitable target within the applicable time period, if at all However, if a significant number of public stockholders properly seek to convert their public shares in connection with a proposed business combination, our insiders, officers, directors or their affiliates could purchase some or all of such shares in the open market or in private transactions in order to seek to satisfy the cash conditions. Notwithstanding the foregoing, our insiders, officers, directors and their affiliates will no make purchases of shares of common stock if the purchases would violate Section 9(a)(2) or Rule 10b-5 of the Exchange Act, which are rules that prohibit manipulation of a company’s stock.</w:t>
      </w:r>
    </w:p>
    <w:p>
      <w:pPr>
        <w:spacing w:after="0" w:line="200" w:lineRule="exact"/>
        <w:rPr>
          <w:sz w:val="20"/>
          <w:szCs w:val="20"/>
          <w:color w:val="auto"/>
        </w:rPr>
      </w:pPr>
    </w:p>
    <w:p>
      <w:pPr>
        <w:sectPr>
          <w:pgSz w:w="11900" w:h="16838" w:orient="portrait"/>
          <w:cols w:equalWidth="0" w:num="2">
            <w:col w:w="3400" w:space="220"/>
            <w:col w:w="7760"/>
          </w:cols>
          <w:pgMar w:left="380" w:top="1247" w:right="139" w:bottom="1440" w:gutter="0" w:footer="0" w:header="0"/>
        </w:sectPr>
      </w:pPr>
    </w:p>
    <w:p>
      <w:pPr>
        <w:spacing w:after="0" w:line="321"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17780</wp:posOffset>
            </wp:positionV>
            <wp:extent cx="724852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380"/>
          </w:cols>
          <w:pgMar w:left="380" w:top="1247" w:right="139" w:bottom="1440" w:gutter="0" w:footer="0" w:header="0"/>
          <w:type w:val="continuous"/>
        </w:sectPr>
      </w:pPr>
    </w:p>
    <w:bookmarkStart w:id="18" w:name="page19"/>
    <w:bookmarkEnd w:id="18"/>
    <w:p>
      <w:pPr>
        <w:jc w:val="both"/>
        <w:ind w:left="2560"/>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154305</wp:posOffset>
            </wp:positionH>
            <wp:positionV relativeFrom="page">
              <wp:posOffset>560705</wp:posOffset>
            </wp:positionV>
            <wp:extent cx="7313295" cy="3696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3295" cy="3696335"/>
                    </a:xfrm>
                    <a:prstGeom prst="rect">
                      <a:avLst/>
                    </a:prstGeom>
                    <a:noFill/>
                  </pic:spPr>
                </pic:pic>
              </a:graphicData>
            </a:graphic>
          </wp:anchor>
        </w:drawing>
        <w:t>Our insiders have agreed (A) to vote their insider shares, private shares and any public shares acquired in o after this offering in favor of any proposed business combination, (B) not to propose, or vote in favor of, an amendment to our certificate of incorporation that would affect the substance or timing of our obligation to redeem 100% of our public shares if we do not complete our initial business combination within 18 months from the closing of this offering (or 21 months, as applicable), unless we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(C) not to convert any shares (including the insider shares and private shares) into the right to receive cash from the trust account in connection with a stockholder vote to approve our proposed initial business combination (or sell any shares they hold to us in a tender offer in connection with a proposed initial business combination) or a vote to amend the provisions of our certificate of incorporation relating to the substance or timing of our obligation to redeem 100% of our public shares if we do not complete our initial business combination within 18 months from the closing of this offering (or 21 months, as applicable) and (D) that the insider shares and private shares shall not be entitled to be redeemed for a pro rata portion of the funds held in the trust account if a business combination is not consummated. None of our insiders, officers, directors, director nominees or their affiliates has committed to purchase units in this offering or any units or shares of common stock in the open market or in private transactions. However, our officers, directors and their affiliates could purchase shares in this offering pursuant to the directed unit program. In addition, if a significant number o stockholders vote, or indicate an intention to vote, against a proposed business combination, our insiders officers, directors or their affiliates could make such purchases in the open market or in private transactions in order to influence the vote. Notwithstanding the foregoing, our insiders, officers, directors and their affiliates will not make purchases of shares of common stock if the purchases would violate Section 9(a)(2) or Rule 10b-5 of the Exchange Act.</w:t>
      </w:r>
    </w:p>
    <w:p>
      <w:pPr>
        <w:spacing w:after="0" w:line="200" w:lineRule="exact"/>
        <w:rPr>
          <w:sz w:val="20"/>
          <w:szCs w:val="20"/>
          <w:color w:val="auto"/>
        </w:rPr>
      </w:pPr>
    </w:p>
    <w:p>
      <w:pPr>
        <w:spacing w:after="0" w:line="35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3175</wp:posOffset>
            </wp:positionV>
            <wp:extent cx="724852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0320"/>
          </w:cols>
          <w:pgMar w:left="1440" w:top="1221" w:right="139" w:bottom="1440" w:gutter="0" w:footer="0" w:header="0"/>
        </w:sectPr>
      </w:pPr>
    </w:p>
    <w:bookmarkStart w:id="19" w:name="page20"/>
    <w:bookmarkEnd w:id="19"/>
    <w:p>
      <w:pPr>
        <w:spacing w:after="0" w:line="274" w:lineRule="auto"/>
        <w:rPr>
          <w:sz w:val="20"/>
          <w:szCs w:val="20"/>
          <w:color w:val="auto"/>
        </w:rPr>
      </w:pPr>
      <w:r>
        <w:rPr>
          <w:rFonts w:ascii="Arial" w:cs="Arial" w:eastAsia="Arial" w:hAnsi="Arial"/>
          <w:sz w:val="18"/>
          <w:szCs w:val="18"/>
          <w:b w:val="1"/>
          <w:bCs w:val="1"/>
          <w:color w:val="auto"/>
        </w:rPr>
        <w:t>Conditions to completing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rights</w:t>
      </w:r>
    </w:p>
    <w:p>
      <w:pPr>
        <w:spacing w:after="0" w:line="20" w:lineRule="exact"/>
        <w:rPr>
          <w:sz w:val="20"/>
          <w:szCs w:val="20"/>
          <w:color w:val="auto"/>
        </w:rPr>
      </w:pPr>
      <w:r>
        <w:rPr>
          <w:sz w:val="20"/>
          <w:szCs w:val="20"/>
          <w:color w:val="auto"/>
        </w:rPr>
        <w:br w:type="column"/>
      </w:r>
    </w:p>
    <w:p>
      <w:pPr>
        <w:jc w:val="both"/>
        <w:spacing w:after="0" w:line="252" w:lineRule="auto"/>
        <w:rPr>
          <w:sz w:val="20"/>
          <w:szCs w:val="20"/>
          <w:color w:val="auto"/>
        </w:rPr>
      </w:pPr>
      <w:r>
        <w:rPr>
          <w:rFonts w:ascii="Arial" w:cs="Arial" w:eastAsia="Arial" w:hAnsi="Arial"/>
          <w:sz w:val="18"/>
          <w:szCs w:val="18"/>
          <w:color w:val="auto"/>
        </w:rPr>
        <w:t>There is no limitation on our ability to raise funds privately or through loans in connection with our initia business combination. Our initial business combination must occur with one or more target businesses tha together have an aggregate fair market value of at least 80% of the value of the trust account (excluding any deferred underwriter’s fees and taxes payable on the income earned on the trust account) at the time of the agreement to enter into the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-2385060</wp:posOffset>
            </wp:positionH>
            <wp:positionV relativeFrom="paragraph">
              <wp:posOffset>-903605</wp:posOffset>
            </wp:positionV>
            <wp:extent cx="7313295" cy="3966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3295" cy="3966845"/>
                    </a:xfrm>
                    <a:prstGeom prst="rect">
                      <a:avLst/>
                    </a:prstGeom>
                    <a:noFill/>
                  </pic:spPr>
                </pic:pic>
              </a:graphicData>
            </a:graphic>
          </wp:anchor>
        </w:drawing>
      </w:r>
    </w:p>
    <w:p>
      <w:pPr>
        <w:spacing w:after="0" w:line="173"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If our board is not able to independently determine the fair market value of the target business or businesses we may obtain an opinion from an independent investment banking or accounting firm as to the fair marke value of the target business. We will complete our initial business combination only if the post-transaction company in which our public stockholders own shares will own or acquire 50% or more of the outstanding voting securities of the target or otherwise acquires a controlling interest in the target sufficient for it not to be required to register as an investment company under the Investment Company Act. Even if the post-transaction company owns 50% or more of the voting securities of the target, our stockholders prior to the business combination may collectively own a minority interest in the post business combination company depending on valuations ascribed to the target and us in the business combination transaction. If less than 100% of the equity interests or assets of a target business or businesses are owned or acquired by the post-transaction company, the portion of such business or businesses that is owned or acquired is what will be valued for purposes of the 80% test, provided that in the event that the business combination involves more than one target business, the 80% test will be based on the aggregate value of all of the target businesses.</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connection with a business combination, public stockholders will have the right to convert their shares into an amount equal to (1) the number of public shares being converted by such public holder divided by the total number of public shares multiplied by (2) the amount then in the trust account (initially $10.00 pe share), which includes the deferred underwriting commission, plus a pro rata portion of any interest earned on the funds held in the trust account and not previously released to us or necessary to pay our taxes. At any meeting called to approve an initial business combination, public stockholders may elect to convert their share regardless of whether or not they vote to approve the business combination.</w:t>
      </w:r>
    </w:p>
    <w:p>
      <w:pPr>
        <w:spacing w:after="0" w:line="200" w:lineRule="exact"/>
        <w:rPr>
          <w:sz w:val="20"/>
          <w:szCs w:val="20"/>
          <w:color w:val="auto"/>
        </w:rPr>
      </w:pPr>
    </w:p>
    <w:p>
      <w:pPr>
        <w:sectPr>
          <w:pgSz w:w="11900" w:h="16838" w:orient="portrait"/>
          <w:cols w:equalWidth="0" w:num="2">
            <w:col w:w="3380" w:space="240"/>
            <w:col w:w="7760"/>
          </w:cols>
          <w:pgMar w:left="380" w:top="1241" w:right="139" w:bottom="1440" w:gutter="0" w:footer="0" w:header="0"/>
        </w:sectPr>
      </w:pPr>
    </w:p>
    <w:p>
      <w:pPr>
        <w:spacing w:after="0" w:line="313"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17780</wp:posOffset>
            </wp:positionV>
            <wp:extent cx="724852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380"/>
          </w:cols>
          <w:pgMar w:left="380" w:top="1241" w:right="139" w:bottom="1440" w:gutter="0" w:footer="0" w:header="0"/>
          <w:type w:val="continuous"/>
        </w:sectPr>
      </w:pPr>
    </w:p>
    <w:bookmarkStart w:id="20" w:name="page21"/>
    <w:bookmarkEnd w:id="20"/>
    <w:p>
      <w:pPr>
        <w:jc w:val="both"/>
        <w:ind w:left="2560"/>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154305</wp:posOffset>
            </wp:positionH>
            <wp:positionV relativeFrom="page">
              <wp:posOffset>560705</wp:posOffset>
            </wp:positionV>
            <wp:extent cx="7313295" cy="46443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13295" cy="4644390"/>
                    </a:xfrm>
                    <a:prstGeom prst="rect">
                      <a:avLst/>
                    </a:prstGeom>
                    <a:noFill/>
                  </pic:spPr>
                </pic:pic>
              </a:graphicData>
            </a:graphic>
          </wp:anchor>
        </w:drawing>
        <w:t>As described above under “— Stockholder approval of, or tender offer in connection with, initial business combination —,” we will consummate our initial business combination only if public stockholders do not exercise conversion rights in an amount that would cause our net tangible assets to be less than $5,000,001 (so that this offering is not subject to Rule 419 promulgated under the Securities Act). As a result, i stockholders owning approximately 89.1% (or approximately 90.3% if the over-allotment option is exercised in full) or more of the shares of common stock sold in this offering exercise conversion rights, the business combination will not be consummated. However, the actual percentages will only be able to be determined once a target business is located and we can assess all of the assets and liabilities of the combined company upon consummation of the proposed business combination (which would include the deferred underwriting discounts and commissions payable to Chardan Capital Markets, LLC in an amount equal to 2% of the tota gross proceeds raised in the offering as described elsewhere in this prospectus, any out-of-pocket expenses incurred by our insiders, officers, directors or their affiliates in connection with certain activities on our behalf, such as identifying and investigating possible business targets and business combinations that have not been repaid at that time, as well as any other liabilities of ours and the liabilities of the target business) As a result, the actual percentages of shares that can be converted may be significantly lower than our estimates. In addition, in order to satisfy any greater net tangible asset or cash condition which may be contained in the agreement relating to our initial business combination, we may not be able to consummate a business combination unless the number of shares of common stock seeking conversion rights is significantly less than the 89.1% (or 90.3% if the over-allotment option is exercised in full) indicated above. As a result we may not be able to consummate such initial business combination and we may not be able to locate another suitable target within the applicable time period, if at all.</w:t>
      </w:r>
    </w:p>
    <w:p>
      <w:pPr>
        <w:spacing w:after="0" w:line="186" w:lineRule="exact"/>
        <w:rPr>
          <w:sz w:val="20"/>
          <w:szCs w:val="20"/>
          <w:color w:val="auto"/>
        </w:rPr>
      </w:pPr>
    </w:p>
    <w:p>
      <w:pPr>
        <w:jc w:val="both"/>
        <w:ind w:left="2560"/>
        <w:spacing w:after="0" w:line="284" w:lineRule="auto"/>
        <w:rPr>
          <w:sz w:val="20"/>
          <w:szCs w:val="20"/>
          <w:color w:val="auto"/>
        </w:rPr>
      </w:pPr>
      <w:r>
        <w:rPr>
          <w:rFonts w:ascii="Arial" w:cs="Arial" w:eastAsia="Arial" w:hAnsi="Arial"/>
          <w:sz w:val="16"/>
          <w:szCs w:val="16"/>
          <w:color w:val="auto"/>
        </w:rPr>
        <w:t>Notwithstanding the foregoing, a public stockholder, together with any affiliate of his or hers, or any other person with whom he or she is acting in concert or as a “group” (as defined in Section 13(d)(3) of the Exchange Act) will be restricted from seeking conversion rights with respect to 20% or more of the shares of common stock sold in this offering without our prior written consent. We believe this restriction will preven an individual stockholder or “group” from accumulating large blocks of shares before the vote held to approve a proposed business combination and attempt to use the conversion right as a means to force us or our management to purchase its shares at a significant premium to the then current market price. By no allowing a stockholder to convert more than 20% of the shares of common stock sold in this offering, we believe we have limited the ability of a small group of stockholders to unreasonably attempt to block a transaction which is favored by our other public stockholders.</w:t>
      </w:r>
    </w:p>
    <w:p>
      <w:pPr>
        <w:spacing w:after="0" w:line="200" w:lineRule="exact"/>
        <w:rPr>
          <w:sz w:val="20"/>
          <w:szCs w:val="20"/>
          <w:color w:val="auto"/>
        </w:rPr>
      </w:pPr>
    </w:p>
    <w:p>
      <w:pPr>
        <w:spacing w:after="0" w:line="3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3175</wp:posOffset>
            </wp:positionV>
            <wp:extent cx="724852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0320"/>
          </w:cols>
          <w:pgMar w:left="1440" w:top="1221" w:right="139" w:bottom="1440" w:gutter="0" w:footer="0" w:header="0"/>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304" w:lineRule="auto"/>
        <w:rPr>
          <w:sz w:val="20"/>
          <w:szCs w:val="20"/>
          <w:color w:val="auto"/>
        </w:rPr>
      </w:pPr>
      <w:r>
        <w:rPr>
          <w:rFonts w:ascii="Arial" w:cs="Arial" w:eastAsia="Arial" w:hAnsi="Arial"/>
          <w:sz w:val="17"/>
          <w:szCs w:val="17"/>
          <w:b w:val="1"/>
          <w:bCs w:val="1"/>
          <w:color w:val="auto"/>
        </w:rPr>
        <w:t>Release of funds in trust account on closing of our initial business combination</w:t>
      </w:r>
    </w:p>
    <w:p>
      <w:pPr>
        <w:spacing w:after="0" w:line="20" w:lineRule="exact"/>
        <w:rPr>
          <w:sz w:val="20"/>
          <w:szCs w:val="20"/>
          <w:color w:val="auto"/>
        </w:rPr>
      </w:pPr>
      <w:r>
        <w:rPr>
          <w:sz w:val="20"/>
          <w:szCs w:val="20"/>
          <w:color w:val="auto"/>
        </w:rPr>
        <w:br w:type="column"/>
      </w:r>
    </w:p>
    <w:p>
      <w:pPr>
        <w:jc w:val="both"/>
        <w:spacing w:after="0" w:line="281" w:lineRule="auto"/>
        <w:rPr>
          <w:sz w:val="20"/>
          <w:szCs w:val="20"/>
          <w:color w:val="auto"/>
        </w:rPr>
      </w:pPr>
      <w:r>
        <w:rPr>
          <w:rFonts w:ascii="Arial" w:cs="Arial" w:eastAsia="Arial" w:hAnsi="Arial"/>
          <w:sz w:val="16"/>
          <w:szCs w:val="16"/>
          <w:color w:val="auto"/>
        </w:rPr>
        <w:t>We may require public stockholders seeking to convert their shares in connection with a stockholder vote on a business combination, whether they are a record holder or hold their shares in “street name,” to either tender their certificates to our transfer agent or to deliver their shares to the transfer agent electronically using Depository Trust Company’s DWAC (Deposit/Withdrawal At Custodian) System, at the holder’s option, a least two business days prior to the vote on the initial business combination (a tender of shares is always required in connection with a tender offer). The requirement for physical or electronic delivery prior to the meeting ensures that a holder’s election to convert his or her shares is irrevocable once the business combination is approved. There is a nominal cost associated with this tendering process and the act o certificating the shares or delivering them through the DWAC system. The transfer agent will typically charge the tendering broker $45 and it would be up to the broker whether or not to pass this cost on to the converting holder. However, this fee would be incurred regardless of whether or not we require holders to deliver their shares prior to the vote on the business combination in order to exercise conversion rights. This is because a holder would need to deliver shares to exercise conversion rights regardless of the timing o when such delivery must be effectuated. However, in the event we require stockholders to deliver their shares prior to the vote on the proposed business combination and the proposed business combination is no consummated, this may result in an increased cost to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-2385060</wp:posOffset>
            </wp:positionH>
            <wp:positionV relativeFrom="paragraph">
              <wp:posOffset>-2402205</wp:posOffset>
            </wp:positionV>
            <wp:extent cx="7313295" cy="4102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13295" cy="4102735"/>
                    </a:xfrm>
                    <a:prstGeom prst="rect">
                      <a:avLst/>
                    </a:prstGeom>
                    <a:noFill/>
                  </pic:spPr>
                </pic:pic>
              </a:graphicData>
            </a:graphic>
          </wp:anchor>
        </w:drawing>
      </w:r>
    </w:p>
    <w:p>
      <w:pPr>
        <w:spacing w:after="0" w:line="16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On the completion of our initial business combination, all amounts held in the trust account will be released to us. We will use these funds to pay amounts due to any public stockholders who exercise their conversion rights as described above under “— Conversion rights,” to pay the underwriters their deferred underwriting commissions, to pay all or a portion of the consideration payable to the target or targets or owners of the target or targets of our initial business combination and to pay other expenses associated with our initial business combination. If our initial business combination is paid for using stock or debt securities, or not al of the funds released from the trust account are used for payment of the consideration in connection with our initial business combination,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200" w:lineRule="exact"/>
        <w:rPr>
          <w:sz w:val="20"/>
          <w:szCs w:val="20"/>
          <w:color w:val="auto"/>
        </w:rPr>
      </w:pPr>
    </w:p>
    <w:p>
      <w:pPr>
        <w:sectPr>
          <w:pgSz w:w="11900" w:h="16838" w:orient="portrait"/>
          <w:cols w:equalWidth="0" w:num="2">
            <w:col w:w="3460" w:space="160"/>
            <w:col w:w="7760"/>
          </w:cols>
          <w:pgMar w:left="380" w:top="1247" w:right="139" w:bottom="1440" w:gutter="0" w:footer="0" w:header="0"/>
        </w:sectPr>
      </w:pPr>
    </w:p>
    <w:p>
      <w:pPr>
        <w:spacing w:after="0" w:line="347"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17780</wp:posOffset>
            </wp:positionV>
            <wp:extent cx="724852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380"/>
          </w:cols>
          <w:pgMar w:left="380" w:top="1247" w:right="139" w:bottom="1440" w:gutter="0" w:footer="0" w:header="0"/>
          <w:type w:val="continuous"/>
        </w:sectPr>
      </w:pPr>
    </w:p>
    <w:bookmarkStart w:id="22" w:name="page23"/>
    <w:bookmarkEnd w:id="22"/>
    <w:tbl>
      <w:tblPr>
        <w:tblLayout w:type="fixed"/>
        <w:tblInd w:w="10" w:type="dxa"/>
        <w:tblCellMar>
          <w:top w:w="0" w:type="dxa"/>
          <w:left w:w="0" w:type="dxa"/>
          <w:bottom w:w="0" w:type="dxa"/>
          <w:right w:w="0" w:type="dxa"/>
        </w:tblCellMar>
      </w:tblPr>
      <w:tr>
        <w:trPr>
          <w:trHeight w:val="551"/>
        </w:trPr>
        <w:tc>
          <w:tcPr>
            <w:tcW w:w="3420" w:type="dxa"/>
            <w:vAlign w:val="bottom"/>
            <w:tcBorders>
              <w:top w:val="single" w:sz="8" w:color="auto"/>
              <w:left w:val="single" w:sz="8" w:color="auto"/>
            </w:tcBorders>
          </w:tcPr>
          <w:p>
            <w:pPr>
              <w:ind w:left="140"/>
              <w:spacing w:after="0"/>
              <w:rPr>
                <w:sz w:val="20"/>
                <w:szCs w:val="20"/>
                <w:color w:val="auto"/>
              </w:rPr>
            </w:pPr>
            <w:r>
              <w:rPr>
                <w:rFonts w:ascii="Arial" w:cs="Arial" w:eastAsia="Arial" w:hAnsi="Arial"/>
                <w:sz w:val="18"/>
                <w:szCs w:val="18"/>
                <w:b w:val="1"/>
                <w:bCs w:val="1"/>
                <w:color w:val="auto"/>
                <w:w w:val="97"/>
              </w:rPr>
              <w:t>Liquidation if no business combination</w:t>
            </w:r>
          </w:p>
        </w:tc>
        <w:tc>
          <w:tcPr>
            <w:tcW w:w="8100" w:type="dxa"/>
            <w:vAlign w:val="bottom"/>
            <w:tcBorders>
              <w:top w:val="single" w:sz="8" w:color="auto"/>
            </w:tcBorders>
            <w:gridSpan w:val="2"/>
          </w:tcPr>
          <w:p>
            <w:pPr>
              <w:ind w:left="340"/>
              <w:spacing w:after="0"/>
              <w:rPr>
                <w:sz w:val="20"/>
                <w:szCs w:val="20"/>
                <w:color w:val="auto"/>
              </w:rPr>
            </w:pPr>
            <w:r>
              <w:rPr>
                <w:rFonts w:ascii="Arial" w:cs="Arial" w:eastAsia="Arial" w:hAnsi="Arial"/>
                <w:sz w:val="18"/>
                <w:szCs w:val="18"/>
                <w:color w:val="auto"/>
                <w:w w:val="95"/>
              </w:rPr>
              <w:t>If we are unable to complete our initial business combination within 18 months from the closing of this</w:t>
            </w:r>
          </w:p>
        </w:tc>
      </w:tr>
      <w:tr>
        <w:trPr>
          <w:trHeight w:val="213"/>
        </w:trPr>
        <w:tc>
          <w:tcPr>
            <w:tcW w:w="3420" w:type="dxa"/>
            <w:vAlign w:val="bottom"/>
            <w:tcBorders>
              <w:left w:val="single" w:sz="8" w:color="auto"/>
            </w:tcBorders>
          </w:tcPr>
          <w:p>
            <w:pPr>
              <w:spacing w:after="0"/>
              <w:rPr>
                <w:sz w:val="18"/>
                <w:szCs w:val="18"/>
                <w:color w:val="auto"/>
              </w:rPr>
            </w:pPr>
          </w:p>
        </w:tc>
        <w:tc>
          <w:tcPr>
            <w:tcW w:w="8100" w:type="dxa"/>
            <w:vAlign w:val="bottom"/>
            <w:gridSpan w:val="2"/>
          </w:tcPr>
          <w:p>
            <w:pPr>
              <w:ind w:left="340"/>
              <w:spacing w:after="0"/>
              <w:rPr>
                <w:sz w:val="20"/>
                <w:szCs w:val="20"/>
                <w:color w:val="auto"/>
              </w:rPr>
            </w:pPr>
            <w:r>
              <w:rPr>
                <w:rFonts w:ascii="Arial" w:cs="Arial" w:eastAsia="Arial" w:hAnsi="Arial"/>
                <w:sz w:val="18"/>
                <w:szCs w:val="18"/>
                <w:color w:val="auto"/>
                <w:w w:val="94"/>
              </w:rPr>
              <w:t>offering (or 21 months from the closing of this offering if we have executed a letter of intent or definitive</w:t>
            </w:r>
          </w:p>
        </w:tc>
      </w:tr>
      <w:tr>
        <w:trPr>
          <w:trHeight w:val="213"/>
        </w:trPr>
        <w:tc>
          <w:tcPr>
            <w:tcW w:w="3420" w:type="dxa"/>
            <w:vAlign w:val="bottom"/>
            <w:tcBorders>
              <w:left w:val="single" w:sz="8" w:color="auto"/>
            </w:tcBorders>
          </w:tcPr>
          <w:p>
            <w:pPr>
              <w:spacing w:after="0"/>
              <w:rPr>
                <w:sz w:val="18"/>
                <w:szCs w:val="18"/>
                <w:color w:val="auto"/>
              </w:rPr>
            </w:pPr>
          </w:p>
        </w:tc>
        <w:tc>
          <w:tcPr>
            <w:tcW w:w="8100" w:type="dxa"/>
            <w:vAlign w:val="bottom"/>
            <w:gridSpan w:val="2"/>
          </w:tcPr>
          <w:p>
            <w:pPr>
              <w:ind w:left="340"/>
              <w:spacing w:after="0"/>
              <w:rPr>
                <w:sz w:val="20"/>
                <w:szCs w:val="20"/>
                <w:color w:val="auto"/>
              </w:rPr>
            </w:pPr>
            <w:r>
              <w:rPr>
                <w:rFonts w:ascii="Arial" w:cs="Arial" w:eastAsia="Arial" w:hAnsi="Arial"/>
                <w:sz w:val="18"/>
                <w:szCs w:val="18"/>
                <w:color w:val="auto"/>
                <w:w w:val="97"/>
              </w:rPr>
              <w:t>agreement for a business combination within 18 months from the closing of this offering but have no</w:t>
            </w:r>
          </w:p>
        </w:tc>
      </w:tr>
      <w:tr>
        <w:trPr>
          <w:trHeight w:val="213"/>
        </w:trPr>
        <w:tc>
          <w:tcPr>
            <w:tcW w:w="3420" w:type="dxa"/>
            <w:vAlign w:val="bottom"/>
            <w:tcBorders>
              <w:left w:val="single" w:sz="8" w:color="auto"/>
            </w:tcBorders>
          </w:tcPr>
          <w:p>
            <w:pPr>
              <w:spacing w:after="0"/>
              <w:rPr>
                <w:sz w:val="18"/>
                <w:szCs w:val="18"/>
                <w:color w:val="auto"/>
              </w:rPr>
            </w:pPr>
          </w:p>
        </w:tc>
        <w:tc>
          <w:tcPr>
            <w:tcW w:w="8100" w:type="dxa"/>
            <w:vAlign w:val="bottom"/>
            <w:gridSpan w:val="2"/>
          </w:tcPr>
          <w:p>
            <w:pPr>
              <w:ind w:left="340"/>
              <w:spacing w:after="0"/>
              <w:rPr>
                <w:sz w:val="20"/>
                <w:szCs w:val="20"/>
                <w:color w:val="auto"/>
              </w:rPr>
            </w:pPr>
            <w:r>
              <w:rPr>
                <w:rFonts w:ascii="Arial" w:cs="Arial" w:eastAsia="Arial" w:hAnsi="Arial"/>
                <w:sz w:val="18"/>
                <w:szCs w:val="18"/>
                <w:color w:val="auto"/>
                <w:w w:val="91"/>
              </w:rPr>
              <w:t>completed such business combination with the 18-month period), we will (i) cease all operations except for</w:t>
            </w:r>
          </w:p>
        </w:tc>
      </w:tr>
      <w:tr>
        <w:trPr>
          <w:trHeight w:val="213"/>
        </w:trPr>
        <w:tc>
          <w:tcPr>
            <w:tcW w:w="3420" w:type="dxa"/>
            <w:vAlign w:val="bottom"/>
            <w:tcBorders>
              <w:left w:val="single" w:sz="8" w:color="auto"/>
            </w:tcBorders>
          </w:tcPr>
          <w:p>
            <w:pPr>
              <w:spacing w:after="0"/>
              <w:rPr>
                <w:sz w:val="18"/>
                <w:szCs w:val="18"/>
                <w:color w:val="auto"/>
              </w:rPr>
            </w:pPr>
          </w:p>
        </w:tc>
        <w:tc>
          <w:tcPr>
            <w:tcW w:w="8100" w:type="dxa"/>
            <w:vAlign w:val="bottom"/>
            <w:gridSpan w:val="2"/>
          </w:tcPr>
          <w:p>
            <w:pPr>
              <w:ind w:left="340"/>
              <w:spacing w:after="0"/>
              <w:rPr>
                <w:sz w:val="20"/>
                <w:szCs w:val="20"/>
                <w:color w:val="auto"/>
              </w:rPr>
            </w:pPr>
            <w:r>
              <w:rPr>
                <w:rFonts w:ascii="Arial" w:cs="Arial" w:eastAsia="Arial" w:hAnsi="Arial"/>
                <w:sz w:val="18"/>
                <w:szCs w:val="18"/>
                <w:color w:val="auto"/>
                <w:w w:val="94"/>
              </w:rPr>
              <w:t>the purpose of winding up, (ii) as promptly as reasonably possible but not more than ten business days</w:t>
            </w:r>
          </w:p>
        </w:tc>
      </w:tr>
      <w:tr>
        <w:trPr>
          <w:trHeight w:val="213"/>
        </w:trPr>
        <w:tc>
          <w:tcPr>
            <w:tcW w:w="3420" w:type="dxa"/>
            <w:vAlign w:val="bottom"/>
            <w:tcBorders>
              <w:left w:val="single" w:sz="8" w:color="auto"/>
            </w:tcBorders>
          </w:tcPr>
          <w:p>
            <w:pPr>
              <w:spacing w:after="0"/>
              <w:rPr>
                <w:sz w:val="18"/>
                <w:szCs w:val="18"/>
                <w:color w:val="auto"/>
              </w:rPr>
            </w:pPr>
          </w:p>
        </w:tc>
        <w:tc>
          <w:tcPr>
            <w:tcW w:w="8100" w:type="dxa"/>
            <w:vAlign w:val="bottom"/>
            <w:gridSpan w:val="2"/>
          </w:tcPr>
          <w:p>
            <w:pPr>
              <w:ind w:left="340"/>
              <w:spacing w:after="0"/>
              <w:rPr>
                <w:sz w:val="20"/>
                <w:szCs w:val="20"/>
                <w:color w:val="auto"/>
              </w:rPr>
            </w:pPr>
            <w:r>
              <w:rPr>
                <w:rFonts w:ascii="Arial" w:cs="Arial" w:eastAsia="Arial" w:hAnsi="Arial"/>
                <w:sz w:val="18"/>
                <w:szCs w:val="18"/>
                <w:color w:val="auto"/>
                <w:w w:val="91"/>
              </w:rPr>
              <w:t>thereafter, redeem 100% of the outstanding public shares for a pro rata portion of the funds held in the trus</w:t>
            </w:r>
          </w:p>
        </w:tc>
      </w:tr>
      <w:tr>
        <w:trPr>
          <w:trHeight w:val="213"/>
        </w:trPr>
        <w:tc>
          <w:tcPr>
            <w:tcW w:w="3420" w:type="dxa"/>
            <w:vAlign w:val="bottom"/>
            <w:tcBorders>
              <w:left w:val="single" w:sz="8" w:color="auto"/>
            </w:tcBorders>
          </w:tcPr>
          <w:p>
            <w:pPr>
              <w:spacing w:after="0"/>
              <w:rPr>
                <w:sz w:val="18"/>
                <w:szCs w:val="18"/>
                <w:color w:val="auto"/>
              </w:rPr>
            </w:pPr>
          </w:p>
        </w:tc>
        <w:tc>
          <w:tcPr>
            <w:tcW w:w="8100" w:type="dxa"/>
            <w:vAlign w:val="bottom"/>
            <w:gridSpan w:val="2"/>
          </w:tcPr>
          <w:p>
            <w:pPr>
              <w:ind w:left="340"/>
              <w:spacing w:after="0"/>
              <w:rPr>
                <w:sz w:val="20"/>
                <w:szCs w:val="20"/>
                <w:color w:val="auto"/>
              </w:rPr>
            </w:pPr>
            <w:r>
              <w:rPr>
                <w:rFonts w:ascii="Arial" w:cs="Arial" w:eastAsia="Arial" w:hAnsi="Arial"/>
                <w:sz w:val="18"/>
                <w:szCs w:val="18"/>
                <w:color w:val="auto"/>
                <w:w w:val="92"/>
              </w:rPr>
              <w:t>account which redemption will completely extinguish public stockholders’ rights as stockholders (including</w:t>
            </w:r>
          </w:p>
        </w:tc>
      </w:tr>
      <w:tr>
        <w:trPr>
          <w:trHeight w:val="213"/>
        </w:trPr>
        <w:tc>
          <w:tcPr>
            <w:tcW w:w="3420" w:type="dxa"/>
            <w:vAlign w:val="bottom"/>
            <w:tcBorders>
              <w:left w:val="single" w:sz="8" w:color="auto"/>
            </w:tcBorders>
          </w:tcPr>
          <w:p>
            <w:pPr>
              <w:spacing w:after="0"/>
              <w:rPr>
                <w:sz w:val="18"/>
                <w:szCs w:val="18"/>
                <w:color w:val="auto"/>
              </w:rPr>
            </w:pPr>
          </w:p>
        </w:tc>
        <w:tc>
          <w:tcPr>
            <w:tcW w:w="8100" w:type="dxa"/>
            <w:vAlign w:val="bottom"/>
            <w:gridSpan w:val="2"/>
          </w:tcPr>
          <w:p>
            <w:pPr>
              <w:ind w:left="340"/>
              <w:spacing w:after="0"/>
              <w:rPr>
                <w:sz w:val="20"/>
                <w:szCs w:val="20"/>
                <w:color w:val="auto"/>
              </w:rPr>
            </w:pPr>
            <w:r>
              <w:rPr>
                <w:rFonts w:ascii="Arial" w:cs="Arial" w:eastAsia="Arial" w:hAnsi="Arial"/>
                <w:sz w:val="18"/>
                <w:szCs w:val="18"/>
                <w:color w:val="auto"/>
                <w:w w:val="91"/>
              </w:rPr>
              <w:t>the right to receive further liquidation distributions, if any), subject to applicable law, and (iii) as promptly as</w:t>
            </w:r>
          </w:p>
        </w:tc>
      </w:tr>
      <w:tr>
        <w:trPr>
          <w:trHeight w:val="213"/>
        </w:trPr>
        <w:tc>
          <w:tcPr>
            <w:tcW w:w="3420" w:type="dxa"/>
            <w:vAlign w:val="bottom"/>
            <w:tcBorders>
              <w:left w:val="single" w:sz="8" w:color="auto"/>
            </w:tcBorders>
          </w:tcPr>
          <w:p>
            <w:pPr>
              <w:spacing w:after="0"/>
              <w:rPr>
                <w:sz w:val="18"/>
                <w:szCs w:val="18"/>
                <w:color w:val="auto"/>
              </w:rPr>
            </w:pPr>
          </w:p>
        </w:tc>
        <w:tc>
          <w:tcPr>
            <w:tcW w:w="8100" w:type="dxa"/>
            <w:vAlign w:val="bottom"/>
            <w:gridSpan w:val="2"/>
          </w:tcPr>
          <w:p>
            <w:pPr>
              <w:ind w:left="340"/>
              <w:spacing w:after="0"/>
              <w:rPr>
                <w:sz w:val="20"/>
                <w:szCs w:val="20"/>
                <w:color w:val="auto"/>
              </w:rPr>
            </w:pPr>
            <w:r>
              <w:rPr>
                <w:rFonts w:ascii="Arial" w:cs="Arial" w:eastAsia="Arial" w:hAnsi="Arial"/>
                <w:sz w:val="18"/>
                <w:szCs w:val="18"/>
                <w:color w:val="auto"/>
                <w:w w:val="90"/>
              </w:rPr>
              <w:t>reasonably possible following such redemption, subject to the approval of our remaining holders of common</w:t>
            </w:r>
          </w:p>
        </w:tc>
      </w:tr>
      <w:tr>
        <w:trPr>
          <w:trHeight w:val="213"/>
        </w:trPr>
        <w:tc>
          <w:tcPr>
            <w:tcW w:w="3420" w:type="dxa"/>
            <w:vAlign w:val="bottom"/>
            <w:tcBorders>
              <w:left w:val="single" w:sz="8" w:color="auto"/>
            </w:tcBorders>
          </w:tcPr>
          <w:p>
            <w:pPr>
              <w:spacing w:after="0"/>
              <w:rPr>
                <w:sz w:val="18"/>
                <w:szCs w:val="18"/>
                <w:color w:val="auto"/>
              </w:rPr>
            </w:pPr>
          </w:p>
        </w:tc>
        <w:tc>
          <w:tcPr>
            <w:tcW w:w="8100" w:type="dxa"/>
            <w:vAlign w:val="bottom"/>
            <w:gridSpan w:val="2"/>
          </w:tcPr>
          <w:p>
            <w:pPr>
              <w:ind w:left="340"/>
              <w:spacing w:after="0"/>
              <w:rPr>
                <w:sz w:val="20"/>
                <w:szCs w:val="20"/>
                <w:color w:val="auto"/>
              </w:rPr>
            </w:pPr>
            <w:r>
              <w:rPr>
                <w:rFonts w:ascii="Arial" w:cs="Arial" w:eastAsia="Arial" w:hAnsi="Arial"/>
                <w:sz w:val="18"/>
                <w:szCs w:val="18"/>
                <w:color w:val="auto"/>
                <w:w w:val="94"/>
              </w:rPr>
              <w:t>stock and our board of directors, dissolve and liquidate, subject (in the case of (ii) and (iii) above) to our</w:t>
            </w:r>
          </w:p>
        </w:tc>
      </w:tr>
      <w:tr>
        <w:trPr>
          <w:trHeight w:val="213"/>
        </w:trPr>
        <w:tc>
          <w:tcPr>
            <w:tcW w:w="3420" w:type="dxa"/>
            <w:vAlign w:val="bottom"/>
            <w:tcBorders>
              <w:left w:val="single" w:sz="8" w:color="auto"/>
            </w:tcBorders>
          </w:tcPr>
          <w:p>
            <w:pPr>
              <w:spacing w:after="0"/>
              <w:rPr>
                <w:sz w:val="18"/>
                <w:szCs w:val="18"/>
                <w:color w:val="auto"/>
              </w:rPr>
            </w:pPr>
          </w:p>
        </w:tc>
        <w:tc>
          <w:tcPr>
            <w:tcW w:w="8100" w:type="dxa"/>
            <w:vAlign w:val="bottom"/>
            <w:gridSpan w:val="2"/>
          </w:tcPr>
          <w:p>
            <w:pPr>
              <w:ind w:left="340"/>
              <w:spacing w:after="0"/>
              <w:rPr>
                <w:sz w:val="20"/>
                <w:szCs w:val="20"/>
                <w:color w:val="auto"/>
              </w:rPr>
            </w:pPr>
            <w:r>
              <w:rPr>
                <w:rFonts w:ascii="Arial" w:cs="Arial" w:eastAsia="Arial" w:hAnsi="Arial"/>
                <w:sz w:val="18"/>
                <w:szCs w:val="18"/>
                <w:color w:val="auto"/>
                <w:w w:val="92"/>
              </w:rPr>
              <w:t>obligations under Delaware law to provide for claims of creditors and the requirements of other applicable</w:t>
            </w:r>
          </w:p>
        </w:tc>
      </w:tr>
      <w:tr>
        <w:trPr>
          <w:trHeight w:val="213"/>
        </w:trPr>
        <w:tc>
          <w:tcPr>
            <w:tcW w:w="3420" w:type="dxa"/>
            <w:vAlign w:val="bottom"/>
            <w:tcBorders>
              <w:left w:val="single" w:sz="8" w:color="auto"/>
            </w:tcBorders>
          </w:tcPr>
          <w:p>
            <w:pPr>
              <w:spacing w:after="0"/>
              <w:rPr>
                <w:sz w:val="18"/>
                <w:szCs w:val="18"/>
                <w:color w:val="auto"/>
              </w:rPr>
            </w:pPr>
          </w:p>
        </w:tc>
        <w:tc>
          <w:tcPr>
            <w:tcW w:w="8100" w:type="dxa"/>
            <w:vAlign w:val="bottom"/>
            <w:gridSpan w:val="2"/>
          </w:tcPr>
          <w:p>
            <w:pPr>
              <w:ind w:left="340"/>
              <w:spacing w:after="0"/>
              <w:rPr>
                <w:sz w:val="20"/>
                <w:szCs w:val="20"/>
                <w:color w:val="auto"/>
              </w:rPr>
            </w:pPr>
            <w:r>
              <w:rPr>
                <w:rFonts w:ascii="Arial" w:cs="Arial" w:eastAsia="Arial" w:hAnsi="Arial"/>
                <w:sz w:val="18"/>
                <w:szCs w:val="18"/>
                <w:color w:val="auto"/>
                <w:w w:val="94"/>
              </w:rPr>
              <w:t>law. If we execute a letter of intent or definitive agreement for our initial business combination within 18</w:t>
            </w:r>
          </w:p>
        </w:tc>
      </w:tr>
      <w:tr>
        <w:trPr>
          <w:trHeight w:val="213"/>
        </w:trPr>
        <w:tc>
          <w:tcPr>
            <w:tcW w:w="3420" w:type="dxa"/>
            <w:vAlign w:val="bottom"/>
            <w:tcBorders>
              <w:left w:val="single" w:sz="8" w:color="auto"/>
            </w:tcBorders>
          </w:tcPr>
          <w:p>
            <w:pPr>
              <w:spacing w:after="0"/>
              <w:rPr>
                <w:sz w:val="18"/>
                <w:szCs w:val="18"/>
                <w:color w:val="auto"/>
              </w:rPr>
            </w:pPr>
          </w:p>
        </w:tc>
        <w:tc>
          <w:tcPr>
            <w:tcW w:w="8100" w:type="dxa"/>
            <w:vAlign w:val="bottom"/>
            <w:gridSpan w:val="2"/>
          </w:tcPr>
          <w:p>
            <w:pPr>
              <w:ind w:left="340"/>
              <w:spacing w:after="0"/>
              <w:rPr>
                <w:sz w:val="20"/>
                <w:szCs w:val="20"/>
                <w:color w:val="auto"/>
              </w:rPr>
            </w:pPr>
            <w:r>
              <w:rPr>
                <w:rFonts w:ascii="Arial" w:cs="Arial" w:eastAsia="Arial" w:hAnsi="Arial"/>
                <w:sz w:val="18"/>
                <w:szCs w:val="18"/>
                <w:color w:val="auto"/>
                <w:w w:val="89"/>
              </w:rPr>
              <w:t>months and we are unable to consummate that transaction for any reason, we would be free to consummate</w:t>
            </w:r>
          </w:p>
        </w:tc>
      </w:tr>
      <w:tr>
        <w:trPr>
          <w:trHeight w:val="213"/>
        </w:trPr>
        <w:tc>
          <w:tcPr>
            <w:tcW w:w="3420" w:type="dxa"/>
            <w:vAlign w:val="bottom"/>
            <w:tcBorders>
              <w:left w:val="single" w:sz="8" w:color="auto"/>
            </w:tcBorders>
          </w:tcPr>
          <w:p>
            <w:pPr>
              <w:spacing w:after="0"/>
              <w:rPr>
                <w:sz w:val="18"/>
                <w:szCs w:val="18"/>
                <w:color w:val="auto"/>
              </w:rPr>
            </w:pPr>
          </w:p>
        </w:tc>
        <w:tc>
          <w:tcPr>
            <w:tcW w:w="8100" w:type="dxa"/>
            <w:vAlign w:val="bottom"/>
            <w:gridSpan w:val="2"/>
          </w:tcPr>
          <w:p>
            <w:pPr>
              <w:ind w:left="340"/>
              <w:spacing w:after="0"/>
              <w:rPr>
                <w:sz w:val="20"/>
                <w:szCs w:val="20"/>
                <w:color w:val="auto"/>
              </w:rPr>
            </w:pPr>
            <w:r>
              <w:rPr>
                <w:rFonts w:ascii="Arial" w:cs="Arial" w:eastAsia="Arial" w:hAnsi="Arial"/>
                <w:sz w:val="18"/>
                <w:szCs w:val="18"/>
                <w:color w:val="auto"/>
                <w:w w:val="89"/>
              </w:rPr>
              <w:t>another business combination so long as we complete such transaction within 21 months from the closing of</w:t>
            </w:r>
          </w:p>
        </w:tc>
      </w:tr>
      <w:tr>
        <w:trPr>
          <w:trHeight w:val="224"/>
        </w:trPr>
        <w:tc>
          <w:tcPr>
            <w:tcW w:w="3420" w:type="dxa"/>
            <w:vAlign w:val="bottom"/>
            <w:tcBorders>
              <w:left w:val="single" w:sz="8" w:color="auto"/>
            </w:tcBorders>
          </w:tcPr>
          <w:p>
            <w:pPr>
              <w:spacing w:after="0"/>
              <w:rPr>
                <w:sz w:val="19"/>
                <w:szCs w:val="19"/>
                <w:color w:val="auto"/>
              </w:rPr>
            </w:pPr>
          </w:p>
        </w:tc>
        <w:tc>
          <w:tcPr>
            <w:tcW w:w="8100" w:type="dxa"/>
            <w:vAlign w:val="bottom"/>
            <w:gridSpan w:val="2"/>
          </w:tcPr>
          <w:p>
            <w:pPr>
              <w:ind w:left="340"/>
              <w:spacing w:after="0"/>
              <w:rPr>
                <w:sz w:val="20"/>
                <w:szCs w:val="20"/>
                <w:color w:val="auto"/>
              </w:rPr>
            </w:pPr>
            <w:r>
              <w:rPr>
                <w:rFonts w:ascii="Arial" w:cs="Arial" w:eastAsia="Arial" w:hAnsi="Arial"/>
                <w:sz w:val="18"/>
                <w:szCs w:val="18"/>
                <w:color w:val="auto"/>
              </w:rPr>
              <w:t>this offering.</w:t>
            </w:r>
          </w:p>
        </w:tc>
      </w:tr>
      <w:tr>
        <w:trPr>
          <w:trHeight w:val="416"/>
        </w:trPr>
        <w:tc>
          <w:tcPr>
            <w:tcW w:w="3420" w:type="dxa"/>
            <w:vAlign w:val="bottom"/>
            <w:tcBorders>
              <w:left w:val="single" w:sz="8" w:color="auto"/>
            </w:tcBorders>
          </w:tcPr>
          <w:p>
            <w:pPr>
              <w:spacing w:after="0"/>
              <w:rPr>
                <w:sz w:val="24"/>
                <w:szCs w:val="24"/>
                <w:color w:val="auto"/>
              </w:rPr>
            </w:pPr>
          </w:p>
        </w:tc>
        <w:tc>
          <w:tcPr>
            <w:tcW w:w="8100" w:type="dxa"/>
            <w:vAlign w:val="bottom"/>
            <w:gridSpan w:val="2"/>
          </w:tcPr>
          <w:p>
            <w:pPr>
              <w:ind w:left="340"/>
              <w:spacing w:after="0"/>
              <w:rPr>
                <w:sz w:val="20"/>
                <w:szCs w:val="20"/>
                <w:color w:val="auto"/>
              </w:rPr>
            </w:pPr>
            <w:r>
              <w:rPr>
                <w:rFonts w:ascii="Arial" w:cs="Arial" w:eastAsia="Arial" w:hAnsi="Arial"/>
                <w:sz w:val="18"/>
                <w:szCs w:val="18"/>
                <w:color w:val="auto"/>
                <w:w w:val="93"/>
              </w:rPr>
              <w:t>In connection with our redemption of 100% of our outstanding public shares, each holder will receive an</w:t>
            </w:r>
          </w:p>
        </w:tc>
      </w:tr>
      <w:tr>
        <w:trPr>
          <w:trHeight w:val="213"/>
        </w:trPr>
        <w:tc>
          <w:tcPr>
            <w:tcW w:w="3420" w:type="dxa"/>
            <w:vAlign w:val="bottom"/>
            <w:tcBorders>
              <w:left w:val="single" w:sz="8" w:color="auto"/>
            </w:tcBorders>
          </w:tcPr>
          <w:p>
            <w:pPr>
              <w:spacing w:after="0"/>
              <w:rPr>
                <w:sz w:val="18"/>
                <w:szCs w:val="18"/>
                <w:color w:val="auto"/>
              </w:rPr>
            </w:pPr>
          </w:p>
        </w:tc>
        <w:tc>
          <w:tcPr>
            <w:tcW w:w="8100" w:type="dxa"/>
            <w:vAlign w:val="bottom"/>
            <w:gridSpan w:val="2"/>
          </w:tcPr>
          <w:p>
            <w:pPr>
              <w:ind w:left="340"/>
              <w:spacing w:after="0"/>
              <w:rPr>
                <w:sz w:val="20"/>
                <w:szCs w:val="20"/>
                <w:color w:val="auto"/>
              </w:rPr>
            </w:pPr>
            <w:r>
              <w:rPr>
                <w:rFonts w:ascii="Arial" w:cs="Arial" w:eastAsia="Arial" w:hAnsi="Arial"/>
                <w:sz w:val="18"/>
                <w:szCs w:val="18"/>
                <w:color w:val="auto"/>
                <w:w w:val="91"/>
              </w:rPr>
              <w:t>amount equal to (1) the number of public shares being converted by such public holder divided by the tota</w:t>
            </w:r>
          </w:p>
        </w:tc>
      </w:tr>
      <w:tr>
        <w:trPr>
          <w:trHeight w:val="213"/>
        </w:trPr>
        <w:tc>
          <w:tcPr>
            <w:tcW w:w="3420" w:type="dxa"/>
            <w:vAlign w:val="bottom"/>
            <w:tcBorders>
              <w:left w:val="single" w:sz="8" w:color="auto"/>
            </w:tcBorders>
          </w:tcPr>
          <w:p>
            <w:pPr>
              <w:spacing w:after="0"/>
              <w:rPr>
                <w:sz w:val="18"/>
                <w:szCs w:val="18"/>
                <w:color w:val="auto"/>
              </w:rPr>
            </w:pPr>
          </w:p>
        </w:tc>
        <w:tc>
          <w:tcPr>
            <w:tcW w:w="8100" w:type="dxa"/>
            <w:vAlign w:val="bottom"/>
            <w:gridSpan w:val="2"/>
          </w:tcPr>
          <w:p>
            <w:pPr>
              <w:ind w:left="340"/>
              <w:spacing w:after="0"/>
              <w:rPr>
                <w:sz w:val="20"/>
                <w:szCs w:val="20"/>
                <w:color w:val="auto"/>
              </w:rPr>
            </w:pPr>
            <w:r>
              <w:rPr>
                <w:rFonts w:ascii="Arial" w:cs="Arial" w:eastAsia="Arial" w:hAnsi="Arial"/>
                <w:sz w:val="18"/>
                <w:szCs w:val="18"/>
                <w:color w:val="auto"/>
                <w:w w:val="92"/>
              </w:rPr>
              <w:t>number of public shares multiplied by (2) the amount then in the trust account (initially $10.00 per share),</w:t>
            </w:r>
          </w:p>
        </w:tc>
      </w:tr>
      <w:tr>
        <w:trPr>
          <w:trHeight w:val="213"/>
        </w:trPr>
        <w:tc>
          <w:tcPr>
            <w:tcW w:w="3420" w:type="dxa"/>
            <w:vAlign w:val="bottom"/>
            <w:tcBorders>
              <w:left w:val="single" w:sz="8" w:color="auto"/>
            </w:tcBorders>
          </w:tcPr>
          <w:p>
            <w:pPr>
              <w:spacing w:after="0"/>
              <w:rPr>
                <w:sz w:val="18"/>
                <w:szCs w:val="18"/>
                <w:color w:val="auto"/>
              </w:rPr>
            </w:pPr>
          </w:p>
        </w:tc>
        <w:tc>
          <w:tcPr>
            <w:tcW w:w="8100" w:type="dxa"/>
            <w:vAlign w:val="bottom"/>
            <w:gridSpan w:val="2"/>
          </w:tcPr>
          <w:p>
            <w:pPr>
              <w:ind w:left="340"/>
              <w:spacing w:after="0"/>
              <w:rPr>
                <w:sz w:val="20"/>
                <w:szCs w:val="20"/>
                <w:color w:val="auto"/>
              </w:rPr>
            </w:pPr>
            <w:r>
              <w:rPr>
                <w:rFonts w:ascii="Arial" w:cs="Arial" w:eastAsia="Arial" w:hAnsi="Arial"/>
                <w:sz w:val="18"/>
                <w:szCs w:val="18"/>
                <w:color w:val="auto"/>
                <w:w w:val="91"/>
              </w:rPr>
              <w:t>which includes the deferred underwriting commission, plus a pro rata portion of any interest earned on the</w:t>
            </w:r>
          </w:p>
        </w:tc>
      </w:tr>
      <w:tr>
        <w:trPr>
          <w:trHeight w:val="213"/>
        </w:trPr>
        <w:tc>
          <w:tcPr>
            <w:tcW w:w="3420" w:type="dxa"/>
            <w:vAlign w:val="bottom"/>
            <w:tcBorders>
              <w:left w:val="single" w:sz="8" w:color="auto"/>
            </w:tcBorders>
          </w:tcPr>
          <w:p>
            <w:pPr>
              <w:spacing w:after="0"/>
              <w:rPr>
                <w:sz w:val="18"/>
                <w:szCs w:val="18"/>
                <w:color w:val="auto"/>
              </w:rPr>
            </w:pPr>
          </w:p>
        </w:tc>
        <w:tc>
          <w:tcPr>
            <w:tcW w:w="8100" w:type="dxa"/>
            <w:vAlign w:val="bottom"/>
            <w:gridSpan w:val="2"/>
          </w:tcPr>
          <w:p>
            <w:pPr>
              <w:ind w:left="340"/>
              <w:spacing w:after="0"/>
              <w:rPr>
                <w:sz w:val="20"/>
                <w:szCs w:val="20"/>
                <w:color w:val="auto"/>
              </w:rPr>
            </w:pPr>
            <w:r>
              <w:rPr>
                <w:rFonts w:ascii="Arial" w:cs="Arial" w:eastAsia="Arial" w:hAnsi="Arial"/>
                <w:sz w:val="18"/>
                <w:szCs w:val="18"/>
                <w:color w:val="auto"/>
                <w:w w:val="87"/>
              </w:rPr>
              <w:t>funds held in the trust account and not previously released to us or necessary to pay our taxes (subject in each</w:t>
            </w:r>
          </w:p>
        </w:tc>
      </w:tr>
      <w:tr>
        <w:trPr>
          <w:trHeight w:val="213"/>
        </w:trPr>
        <w:tc>
          <w:tcPr>
            <w:tcW w:w="3420" w:type="dxa"/>
            <w:vAlign w:val="bottom"/>
            <w:tcBorders>
              <w:left w:val="single" w:sz="8" w:color="auto"/>
            </w:tcBorders>
          </w:tcPr>
          <w:p>
            <w:pPr>
              <w:spacing w:after="0"/>
              <w:rPr>
                <w:sz w:val="18"/>
                <w:szCs w:val="18"/>
                <w:color w:val="auto"/>
              </w:rPr>
            </w:pPr>
          </w:p>
        </w:tc>
        <w:tc>
          <w:tcPr>
            <w:tcW w:w="8100" w:type="dxa"/>
            <w:vAlign w:val="bottom"/>
            <w:gridSpan w:val="2"/>
          </w:tcPr>
          <w:p>
            <w:pPr>
              <w:ind w:left="340"/>
              <w:spacing w:after="0"/>
              <w:rPr>
                <w:sz w:val="20"/>
                <w:szCs w:val="20"/>
                <w:color w:val="auto"/>
              </w:rPr>
            </w:pPr>
            <w:r>
              <w:rPr>
                <w:rFonts w:ascii="Arial" w:cs="Arial" w:eastAsia="Arial" w:hAnsi="Arial"/>
                <w:sz w:val="18"/>
                <w:szCs w:val="18"/>
                <w:color w:val="auto"/>
                <w:w w:val="95"/>
              </w:rPr>
              <w:t>case to our obligations under Delaware law to provide for claims of creditors). Holders of warrants will</w:t>
            </w:r>
          </w:p>
        </w:tc>
      </w:tr>
      <w:tr>
        <w:trPr>
          <w:trHeight w:val="213"/>
        </w:trPr>
        <w:tc>
          <w:tcPr>
            <w:tcW w:w="3420" w:type="dxa"/>
            <w:vAlign w:val="bottom"/>
            <w:tcBorders>
              <w:left w:val="single" w:sz="8" w:color="auto"/>
            </w:tcBorders>
          </w:tcPr>
          <w:p>
            <w:pPr>
              <w:spacing w:after="0"/>
              <w:rPr>
                <w:sz w:val="18"/>
                <w:szCs w:val="18"/>
                <w:color w:val="auto"/>
              </w:rPr>
            </w:pPr>
          </w:p>
        </w:tc>
        <w:tc>
          <w:tcPr>
            <w:tcW w:w="8100" w:type="dxa"/>
            <w:vAlign w:val="bottom"/>
            <w:gridSpan w:val="2"/>
          </w:tcPr>
          <w:p>
            <w:pPr>
              <w:ind w:left="340"/>
              <w:spacing w:after="0"/>
              <w:rPr>
                <w:sz w:val="20"/>
                <w:szCs w:val="20"/>
                <w:color w:val="auto"/>
              </w:rPr>
            </w:pPr>
            <w:r>
              <w:rPr>
                <w:rFonts w:ascii="Arial" w:cs="Arial" w:eastAsia="Arial" w:hAnsi="Arial"/>
                <w:sz w:val="18"/>
                <w:szCs w:val="18"/>
                <w:color w:val="auto"/>
                <w:w w:val="96"/>
              </w:rPr>
              <w:t>receive no proceeds in connection with the liquidation with respect to such warrants, which will expire</w:t>
            </w:r>
          </w:p>
        </w:tc>
      </w:tr>
      <w:tr>
        <w:trPr>
          <w:trHeight w:val="224"/>
        </w:trPr>
        <w:tc>
          <w:tcPr>
            <w:tcW w:w="3420" w:type="dxa"/>
            <w:vAlign w:val="bottom"/>
            <w:tcBorders>
              <w:left w:val="single" w:sz="8" w:color="auto"/>
            </w:tcBorders>
          </w:tcPr>
          <w:p>
            <w:pPr>
              <w:spacing w:after="0"/>
              <w:rPr>
                <w:sz w:val="19"/>
                <w:szCs w:val="19"/>
                <w:color w:val="auto"/>
              </w:rPr>
            </w:pPr>
          </w:p>
        </w:tc>
        <w:tc>
          <w:tcPr>
            <w:tcW w:w="8100" w:type="dxa"/>
            <w:vAlign w:val="bottom"/>
            <w:gridSpan w:val="2"/>
          </w:tcPr>
          <w:p>
            <w:pPr>
              <w:ind w:left="340"/>
              <w:spacing w:after="0"/>
              <w:rPr>
                <w:sz w:val="20"/>
                <w:szCs w:val="20"/>
                <w:color w:val="auto"/>
              </w:rPr>
            </w:pPr>
            <w:r>
              <w:rPr>
                <w:rFonts w:ascii="Arial" w:cs="Arial" w:eastAsia="Arial" w:hAnsi="Arial"/>
                <w:sz w:val="18"/>
                <w:szCs w:val="18"/>
                <w:color w:val="auto"/>
              </w:rPr>
              <w:t>worthless.</w:t>
            </w:r>
          </w:p>
        </w:tc>
      </w:tr>
      <w:tr>
        <w:trPr>
          <w:trHeight w:val="118"/>
        </w:trPr>
        <w:tc>
          <w:tcPr>
            <w:tcW w:w="3420" w:type="dxa"/>
            <w:vAlign w:val="bottom"/>
            <w:tcBorders>
              <w:left w:val="single" w:sz="8" w:color="auto"/>
              <w:bottom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r>
        <w:trPr>
          <w:trHeight w:val="670"/>
        </w:trPr>
        <w:tc>
          <w:tcPr>
            <w:tcW w:w="342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ind w:left="220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r>
    </w:tbl>
    <w:p>
      <w:pPr>
        <w:sectPr>
          <w:pgSz w:w="11900" w:h="16838" w:orient="portrait"/>
          <w:cols w:equalWidth="0" w:num="1">
            <w:col w:w="11520"/>
          </w:cols>
          <w:pgMar w:left="240" w:top="890" w:right="139" w:bottom="1440" w:gutter="0" w:footer="0" w:header="0"/>
        </w:sectPr>
      </w:pPr>
    </w:p>
    <w:bookmarkStart w:id="23" w:name="page24"/>
    <w:bookmarkEnd w:id="23"/>
    <w:p>
      <w:pPr>
        <w:jc w:val="both"/>
        <w:ind w:left="256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577850</wp:posOffset>
            </wp:positionV>
            <wp:extent cx="7313295" cy="4246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13295" cy="4246245"/>
                    </a:xfrm>
                    <a:prstGeom prst="rect">
                      <a:avLst/>
                    </a:prstGeom>
                    <a:noFill/>
                  </pic:spPr>
                </pic:pic>
              </a:graphicData>
            </a:graphic>
          </wp:anchor>
        </w:drawing>
        <w:t>The proceeds deposited in the trust account could, however, become subject to claims of our creditors tha are in preference to the claims of our stockholders. We may not have funds sufficient to pay or provide for all creditors’ claims. Although we will seek to have all third parties (including any vendors or other entities we engage after this offering) and any prospective target businesses enter into valid and enforceable agreements with us waiving any right, title, interest or claim of any kind in or to any monies held in the trust account there is no guarantee that they will execute such agreements. There is also no guarantee that the third parties would not challenge the enforceability of these waivers and bring claims against the trust account for monies owed them. In addition, if we are forced to file a bankruptcy case or an involuntary bankruptcy case is filed against us that is not dismissed, the proceeds held in the trust account could be subject to applicable bankruptcy law, and may be included in our bankruptcy estate and subject to the claims of third parties with priority over the claims of our stockholders. Therefore, the actual per-share redemption price may be less than $10.00.</w:t>
      </w:r>
    </w:p>
    <w:p>
      <w:pPr>
        <w:spacing w:after="0" w:line="184" w:lineRule="exact"/>
        <w:rPr>
          <w:sz w:val="20"/>
          <w:szCs w:val="20"/>
          <w:color w:val="auto"/>
        </w:rPr>
      </w:pPr>
    </w:p>
    <w:p>
      <w:pPr>
        <w:jc w:val="both"/>
        <w:ind w:left="2560"/>
        <w:spacing w:after="0" w:line="267" w:lineRule="auto"/>
        <w:rPr>
          <w:sz w:val="20"/>
          <w:szCs w:val="20"/>
          <w:color w:val="auto"/>
        </w:rPr>
      </w:pPr>
      <w:r>
        <w:rPr>
          <w:rFonts w:ascii="Arial" w:cs="Arial" w:eastAsia="Arial" w:hAnsi="Arial"/>
          <w:sz w:val="18"/>
          <w:szCs w:val="18"/>
          <w:color w:val="auto"/>
        </w:rPr>
        <w:t>The holders of the insider shares and private units will not participate in any redemption with respect to their insider shares or private shares.</w:t>
      </w:r>
    </w:p>
    <w:p>
      <w:pPr>
        <w:spacing w:after="0" w:line="180" w:lineRule="exact"/>
        <w:rPr>
          <w:sz w:val="20"/>
          <w:szCs w:val="20"/>
          <w:color w:val="auto"/>
        </w:rPr>
      </w:pPr>
    </w:p>
    <w:p>
      <w:pPr>
        <w:jc w:val="both"/>
        <w:ind w:left="2560"/>
        <w:spacing w:after="0" w:line="279" w:lineRule="auto"/>
        <w:rPr>
          <w:sz w:val="20"/>
          <w:szCs w:val="20"/>
          <w:color w:val="auto"/>
        </w:rPr>
      </w:pPr>
      <w:r>
        <w:rPr>
          <w:rFonts w:ascii="Arial" w:cs="Arial" w:eastAsia="Arial" w:hAnsi="Arial"/>
          <w:sz w:val="17"/>
          <w:szCs w:val="17"/>
          <w:color w:val="auto"/>
        </w:rPr>
        <w:t>If we are unable to conclude our initial business combination and we expend all of the net proceeds of this offering not deposited in the trust account, without taking into account any interest earned on the trus account, we expect that the initial per-share redemption price will be approximately $10.00.</w:t>
      </w:r>
    </w:p>
    <w:p>
      <w:pPr>
        <w:spacing w:after="0" w:line="172" w:lineRule="exact"/>
        <w:rPr>
          <w:sz w:val="20"/>
          <w:szCs w:val="20"/>
          <w:color w:val="auto"/>
        </w:rPr>
      </w:pPr>
    </w:p>
    <w:p>
      <w:pPr>
        <w:jc w:val="both"/>
        <w:ind w:left="2560"/>
        <w:spacing w:after="0" w:line="254" w:lineRule="auto"/>
        <w:rPr>
          <w:sz w:val="20"/>
          <w:szCs w:val="20"/>
          <w:color w:val="auto"/>
        </w:rPr>
      </w:pPr>
      <w:r>
        <w:rPr>
          <w:rFonts w:ascii="Arial" w:cs="Arial" w:eastAsia="Arial" w:hAnsi="Arial"/>
          <w:sz w:val="18"/>
          <w:szCs w:val="18"/>
          <w:color w:val="auto"/>
        </w:rPr>
        <w:t>We will pay the costs of any liquidation following the redemptions from our remaining assets outside of the trust account. If such funds are insufficient, our insiders have agreed to pay the funds necessary to complete such liquidation (currently anticipated to be no more than approximately $15,000) and have agreed not to seek repayment for such expenses.</w:t>
      </w:r>
    </w:p>
    <w:p>
      <w:pPr>
        <w:spacing w:after="0" w:line="191" w:lineRule="exact"/>
        <w:rPr>
          <w:sz w:val="20"/>
          <w:szCs w:val="20"/>
          <w:color w:val="auto"/>
        </w:rPr>
      </w:pPr>
    </w:p>
    <w:p>
      <w:pPr>
        <w:jc w:val="both"/>
        <w:ind w:left="2560"/>
        <w:spacing w:after="0" w:line="295" w:lineRule="auto"/>
        <w:rPr>
          <w:sz w:val="20"/>
          <w:szCs w:val="20"/>
          <w:color w:val="auto"/>
        </w:rPr>
      </w:pPr>
      <w:r>
        <w:rPr>
          <w:rFonts w:ascii="Arial" w:cs="Arial" w:eastAsia="Arial" w:hAnsi="Arial"/>
          <w:sz w:val="16"/>
          <w:szCs w:val="16"/>
          <w:color w:val="auto"/>
        </w:rPr>
        <w:t>The underwriters have agreed to waive their rights to the deferred underwriting commissions held in the trus account in the event we do not consummate a business combination within 18 months from the closing o this offering (or 21 months, as applicable) and in such event, such amounts will be included with the funds held in the trust account that will be available to fund the redemption of our public shares.</w:t>
      </w:r>
    </w:p>
    <w:p>
      <w:pPr>
        <w:spacing w:after="0" w:line="200" w:lineRule="exact"/>
        <w:rPr>
          <w:sz w:val="20"/>
          <w:szCs w:val="20"/>
          <w:color w:val="auto"/>
        </w:rPr>
      </w:pPr>
    </w:p>
    <w:p>
      <w:pPr>
        <w:spacing w:after="0" w:line="32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3175</wp:posOffset>
            </wp:positionV>
            <wp:extent cx="724852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0320"/>
          </w:cols>
          <w:pgMar w:left="1440" w:top="1247" w:right="13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154305</wp:posOffset>
            </wp:positionH>
            <wp:positionV relativeFrom="page">
              <wp:posOffset>552450</wp:posOffset>
            </wp:positionV>
            <wp:extent cx="7313295" cy="13931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13295" cy="1393190"/>
                    </a:xfrm>
                    <a:prstGeom prst="rect">
                      <a:avLst/>
                    </a:prstGeom>
                    <a:noFill/>
                  </pic:spPr>
                </pic:pic>
              </a:graphicData>
            </a:graphic>
          </wp:anchor>
        </w:drawing>
        <w:t>Risks</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are a newly formed company that has conducted no operations and has generated no revenues. Until we complete our initial business combination, we wil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 Rule 419 blank check offerings. For additional information concerning how Rule 419 blank check offerings differ from this offering, please see “Proposed Business — Comparison to offerings of blank check companies subject to Rule 419.” You should carefully consider these and the other risks set forth in the section entitled “Risk Factors” beginning on page 19 of this prospectus.</w:t>
      </w:r>
    </w:p>
    <w:p>
      <w:pPr>
        <w:spacing w:after="0" w:line="200" w:lineRule="exact"/>
        <w:rPr>
          <w:sz w:val="20"/>
          <w:szCs w:val="20"/>
          <w:color w:val="auto"/>
        </w:rPr>
      </w:pPr>
    </w:p>
    <w:p>
      <w:pPr>
        <w:spacing w:after="0" w:line="344"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3175</wp:posOffset>
            </wp:positionV>
            <wp:extent cx="724852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380"/>
          </w:cols>
          <w:pgMar w:left="380" w:top="988" w:right="139" w:bottom="1440" w:gutter="0" w:footer="0" w:header="0"/>
        </w:sectPr>
      </w:pPr>
    </w:p>
    <w:bookmarkStart w:id="25" w:name="page26"/>
    <w:bookmarkEnd w:id="25"/>
    <w:p>
      <w:pPr>
        <w:jc w:val="center"/>
        <w:ind w:right="-4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154305</wp:posOffset>
            </wp:positionH>
            <wp:positionV relativeFrom="page">
              <wp:posOffset>560705</wp:posOffset>
            </wp:positionV>
            <wp:extent cx="7313295" cy="47967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13295" cy="4796790"/>
                    </a:xfrm>
                    <a:prstGeom prst="rect">
                      <a:avLst/>
                    </a:prstGeom>
                    <a:noFill/>
                  </pic:spPr>
                </pic:pic>
              </a:graphicData>
            </a:graphic>
          </wp:anchor>
        </w:drawing>
        <w:t>SUMMARY FINANCIAL DATA</w:t>
      </w:r>
    </w:p>
    <w:p>
      <w:pPr>
        <w:spacing w:after="0" w:line="226" w:lineRule="exact"/>
        <w:rPr>
          <w:sz w:val="20"/>
          <w:szCs w:val="20"/>
          <w:color w:val="auto"/>
        </w:rPr>
      </w:pPr>
    </w:p>
    <w:p>
      <w:pPr>
        <w:ind w:left="2" w:right="620"/>
        <w:spacing w:after="0" w:line="267"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and accordingly only balance sheet data is presented.</w:t>
      </w:r>
    </w:p>
    <w:p>
      <w:pPr>
        <w:spacing w:after="0" w:line="387" w:lineRule="exact"/>
        <w:rPr>
          <w:sz w:val="20"/>
          <w:szCs w:val="20"/>
          <w:color w:val="auto"/>
        </w:rPr>
      </w:pPr>
    </w:p>
    <w:tbl>
      <w:tblPr>
        <w:tblLayout w:type="fixed"/>
        <w:tblInd w:w="2" w:type="dxa"/>
        <w:tblCellMar>
          <w:top w:w="0" w:type="dxa"/>
          <w:left w:w="0" w:type="dxa"/>
          <w:bottom w:w="0" w:type="dxa"/>
          <w:right w:w="0" w:type="dxa"/>
        </w:tblCellMar>
      </w:tblPr>
      <w:tr>
        <w:trPr>
          <w:trHeight w:val="231"/>
        </w:trPr>
        <w:tc>
          <w:tcPr>
            <w:tcW w:w="6500" w:type="dxa"/>
            <w:vAlign w:val="bottom"/>
          </w:tcPr>
          <w:p>
            <w:pPr>
              <w:spacing w:after="0"/>
              <w:rPr>
                <w:sz w:val="20"/>
                <w:szCs w:val="20"/>
                <w:color w:val="auto"/>
              </w:rPr>
            </w:pPr>
          </w:p>
        </w:tc>
        <w:tc>
          <w:tcPr>
            <w:tcW w:w="3200" w:type="dxa"/>
            <w:vAlign w:val="bottom"/>
            <w:gridSpan w:val="3"/>
          </w:tcPr>
          <w:p>
            <w:pPr>
              <w:jc w:val="right"/>
              <w:ind w:right="980"/>
              <w:spacing w:after="0"/>
              <w:rPr>
                <w:sz w:val="20"/>
                <w:szCs w:val="20"/>
                <w:color w:val="auto"/>
              </w:rPr>
            </w:pPr>
            <w:r>
              <w:rPr>
                <w:rFonts w:ascii="Arial" w:cs="Arial" w:eastAsia="Arial" w:hAnsi="Arial"/>
                <w:sz w:val="18"/>
                <w:szCs w:val="18"/>
                <w:b w:val="1"/>
                <w:bCs w:val="1"/>
                <w:color w:val="auto"/>
              </w:rPr>
              <w:t>September 11, 2015</w:t>
            </w:r>
          </w:p>
        </w:tc>
      </w:tr>
      <w:tr>
        <w:trPr>
          <w:trHeight w:val="207"/>
        </w:trPr>
        <w:tc>
          <w:tcPr>
            <w:tcW w:w="6500" w:type="dxa"/>
            <w:vAlign w:val="bottom"/>
          </w:tcPr>
          <w:p>
            <w:pPr>
              <w:spacing w:after="0"/>
              <w:rPr>
                <w:sz w:val="18"/>
                <w:szCs w:val="18"/>
                <w:color w:val="auto"/>
              </w:rPr>
            </w:pPr>
          </w:p>
        </w:tc>
        <w:tc>
          <w:tcPr>
            <w:tcW w:w="1700" w:type="dxa"/>
            <w:vAlign w:val="bottom"/>
            <w:tcBorders>
              <w:top w:val="single" w:sz="8" w:color="auto"/>
            </w:tcBorders>
          </w:tcPr>
          <w:p>
            <w:pPr>
              <w:jc w:val="right"/>
              <w:ind w:right="751"/>
              <w:spacing w:after="0"/>
              <w:rPr>
                <w:sz w:val="20"/>
                <w:szCs w:val="20"/>
                <w:color w:val="auto"/>
              </w:rPr>
            </w:pPr>
            <w:r>
              <w:rPr>
                <w:rFonts w:ascii="Arial" w:cs="Arial" w:eastAsia="Arial" w:hAnsi="Arial"/>
                <w:sz w:val="18"/>
                <w:szCs w:val="18"/>
                <w:color w:val="auto"/>
              </w:rPr>
              <w:t>Actual</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As Adjusted(1)</w:t>
            </w:r>
          </w:p>
        </w:tc>
        <w:tc>
          <w:tcPr>
            <w:tcW w:w="220" w:type="dxa"/>
            <w:vAlign w:val="bottom"/>
          </w:tcPr>
          <w:p>
            <w:pPr>
              <w:spacing w:after="0"/>
              <w:rPr>
                <w:sz w:val="18"/>
                <w:szCs w:val="18"/>
                <w:color w:val="auto"/>
              </w:rPr>
            </w:pPr>
          </w:p>
        </w:tc>
      </w:tr>
      <w:tr>
        <w:trPr>
          <w:trHeight w:val="213"/>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7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3"/>
        </w:trPr>
        <w:tc>
          <w:tcPr>
            <w:tcW w:w="6500" w:type="dxa"/>
            <w:vAlign w:val="bottom"/>
          </w:tcPr>
          <w:p>
            <w:pPr>
              <w:spacing w:after="0"/>
              <w:rPr>
                <w:sz w:val="20"/>
                <w:szCs w:val="20"/>
                <w:color w:val="auto"/>
              </w:rPr>
            </w:pPr>
            <w:r>
              <w:rPr>
                <w:rFonts w:ascii="Arial" w:cs="Arial" w:eastAsia="Arial" w:hAnsi="Arial"/>
                <w:sz w:val="18"/>
                <w:szCs w:val="18"/>
                <w:color w:val="auto"/>
              </w:rPr>
              <w:t>Working capital (deficiency)</w:t>
            </w:r>
          </w:p>
        </w:tc>
        <w:tc>
          <w:tcPr>
            <w:tcW w:w="1700" w:type="dxa"/>
            <w:vAlign w:val="bottom"/>
          </w:tcPr>
          <w:p>
            <w:pPr>
              <w:jc w:val="right"/>
              <w:ind w:right="311"/>
              <w:spacing w:after="0"/>
              <w:rPr>
                <w:sz w:val="20"/>
                <w:szCs w:val="20"/>
                <w:color w:val="auto"/>
              </w:rPr>
            </w:pPr>
            <w:r>
              <w:rPr>
                <w:rFonts w:ascii="Arial" w:cs="Arial" w:eastAsia="Arial" w:hAnsi="Arial"/>
                <w:sz w:val="18"/>
                <w:szCs w:val="18"/>
                <w:color w:val="auto"/>
              </w:rPr>
              <w:t>(85,000)</w:t>
            </w:r>
          </w:p>
        </w:tc>
        <w:tc>
          <w:tcPr>
            <w:tcW w:w="1280" w:type="dxa"/>
            <w:vAlign w:val="bottom"/>
          </w:tcPr>
          <w:p>
            <w:pPr>
              <w:jc w:val="right"/>
              <w:spacing w:after="0"/>
              <w:rPr>
                <w:sz w:val="20"/>
                <w:szCs w:val="20"/>
                <w:color w:val="auto"/>
              </w:rPr>
            </w:pPr>
            <w:r>
              <w:rPr>
                <w:rFonts w:ascii="Arial" w:cs="Arial" w:eastAsia="Arial" w:hAnsi="Arial"/>
                <w:sz w:val="18"/>
                <w:szCs w:val="18"/>
                <w:color w:val="auto"/>
              </w:rPr>
              <w:t>49,549,057</w:t>
            </w:r>
          </w:p>
        </w:tc>
        <w:tc>
          <w:tcPr>
            <w:tcW w:w="220" w:type="dxa"/>
            <w:vAlign w:val="bottom"/>
          </w:tcPr>
          <w:p>
            <w:pPr>
              <w:spacing w:after="0"/>
              <w:rPr>
                <w:sz w:val="18"/>
                <w:szCs w:val="18"/>
                <w:color w:val="auto"/>
              </w:rPr>
            </w:pPr>
          </w:p>
        </w:tc>
      </w:tr>
      <w:tr>
        <w:trPr>
          <w:trHeight w:val="213"/>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7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113,957</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50,549,057</w:t>
            </w:r>
          </w:p>
        </w:tc>
        <w:tc>
          <w:tcPr>
            <w:tcW w:w="220" w:type="dxa"/>
            <w:vAlign w:val="bottom"/>
            <w:shd w:val="clear" w:color="auto" w:fill="CCEEFF"/>
          </w:tcPr>
          <w:p>
            <w:pPr>
              <w:spacing w:after="0"/>
              <w:rPr>
                <w:sz w:val="18"/>
                <w:szCs w:val="18"/>
                <w:color w:val="auto"/>
              </w:rPr>
            </w:pPr>
          </w:p>
        </w:tc>
      </w:tr>
      <w:tr>
        <w:trPr>
          <w:trHeight w:val="213"/>
        </w:trPr>
        <w:tc>
          <w:tcPr>
            <w:tcW w:w="6500" w:type="dxa"/>
            <w:vAlign w:val="bottom"/>
          </w:tcPr>
          <w:p>
            <w:pPr>
              <w:spacing w:after="0"/>
              <w:rPr>
                <w:sz w:val="20"/>
                <w:szCs w:val="20"/>
                <w:color w:val="auto"/>
              </w:rPr>
            </w:pPr>
            <w:r>
              <w:rPr>
                <w:rFonts w:ascii="Arial" w:cs="Arial" w:eastAsia="Arial" w:hAnsi="Arial"/>
                <w:sz w:val="18"/>
                <w:szCs w:val="18"/>
                <w:color w:val="auto"/>
              </w:rPr>
              <w:t>Total liabilities</w:t>
            </w:r>
          </w:p>
        </w:tc>
        <w:tc>
          <w:tcPr>
            <w:tcW w:w="1700" w:type="dxa"/>
            <w:vAlign w:val="bottom"/>
          </w:tcPr>
          <w:p>
            <w:pPr>
              <w:jc w:val="right"/>
              <w:ind w:right="371"/>
              <w:spacing w:after="0"/>
              <w:rPr>
                <w:sz w:val="20"/>
                <w:szCs w:val="20"/>
                <w:color w:val="auto"/>
              </w:rPr>
            </w:pPr>
            <w:r>
              <w:rPr>
                <w:rFonts w:ascii="Arial" w:cs="Arial" w:eastAsia="Arial" w:hAnsi="Arial"/>
                <w:sz w:val="18"/>
                <w:szCs w:val="18"/>
                <w:color w:val="auto"/>
              </w:rPr>
              <w:t>90,000</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1,000,000(2)</w:t>
            </w:r>
          </w:p>
        </w:tc>
      </w:tr>
      <w:tr>
        <w:trPr>
          <w:trHeight w:val="213"/>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Value of common stock subject to possible conversion/tender</w:t>
            </w:r>
          </w:p>
        </w:tc>
        <w:tc>
          <w:tcPr>
            <w:tcW w:w="17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44,549,050(3)</w:t>
            </w:r>
          </w:p>
        </w:tc>
      </w:tr>
      <w:tr>
        <w:trPr>
          <w:trHeight w:val="224"/>
        </w:trPr>
        <w:tc>
          <w:tcPr>
            <w:tcW w:w="6500" w:type="dxa"/>
            <w:vAlign w:val="bottom"/>
          </w:tcPr>
          <w:p>
            <w:pPr>
              <w:spacing w:after="0"/>
              <w:rPr>
                <w:sz w:val="20"/>
                <w:szCs w:val="20"/>
                <w:color w:val="auto"/>
              </w:rPr>
            </w:pPr>
            <w:r>
              <w:rPr>
                <w:rFonts w:ascii="Arial" w:cs="Arial" w:eastAsia="Arial" w:hAnsi="Arial"/>
                <w:sz w:val="18"/>
                <w:szCs w:val="18"/>
                <w:color w:val="auto"/>
              </w:rPr>
              <w:t>Stockholders’ equity</w:t>
            </w:r>
          </w:p>
        </w:tc>
        <w:tc>
          <w:tcPr>
            <w:tcW w:w="1700" w:type="dxa"/>
            <w:vAlign w:val="bottom"/>
          </w:tcPr>
          <w:p>
            <w:pPr>
              <w:jc w:val="right"/>
              <w:ind w:right="371"/>
              <w:spacing w:after="0"/>
              <w:rPr>
                <w:sz w:val="20"/>
                <w:szCs w:val="20"/>
                <w:color w:val="auto"/>
              </w:rPr>
            </w:pPr>
            <w:r>
              <w:rPr>
                <w:rFonts w:ascii="Arial" w:cs="Arial" w:eastAsia="Arial" w:hAnsi="Arial"/>
                <w:sz w:val="18"/>
                <w:szCs w:val="18"/>
                <w:color w:val="auto"/>
              </w:rPr>
              <w:t>23,957</w:t>
            </w:r>
          </w:p>
        </w:tc>
        <w:tc>
          <w:tcPr>
            <w:tcW w:w="1280" w:type="dxa"/>
            <w:vAlign w:val="bottom"/>
          </w:tcPr>
          <w:p>
            <w:pPr>
              <w:jc w:val="right"/>
              <w:spacing w:after="0"/>
              <w:rPr>
                <w:sz w:val="20"/>
                <w:szCs w:val="20"/>
                <w:color w:val="auto"/>
              </w:rPr>
            </w:pPr>
            <w:r>
              <w:rPr>
                <w:rFonts w:ascii="Arial" w:cs="Arial" w:eastAsia="Arial" w:hAnsi="Arial"/>
                <w:sz w:val="18"/>
                <w:szCs w:val="18"/>
                <w:color w:val="auto"/>
              </w:rPr>
              <w:t>5,000,007</w:t>
            </w:r>
          </w:p>
        </w:tc>
        <w:tc>
          <w:tcPr>
            <w:tcW w:w="220" w:type="dxa"/>
            <w:vAlign w:val="bottom"/>
          </w:tcPr>
          <w:p>
            <w:pPr>
              <w:spacing w:after="0"/>
              <w:rPr>
                <w:sz w:val="19"/>
                <w:szCs w:val="19"/>
                <w:color w:val="auto"/>
              </w:rPr>
            </w:pPr>
          </w:p>
        </w:tc>
      </w:tr>
    </w:tbl>
    <w:p>
      <w:pPr>
        <w:spacing w:after="0" w:line="200" w:lineRule="exact"/>
        <w:rPr>
          <w:sz w:val="20"/>
          <w:szCs w:val="20"/>
          <w:color w:val="auto"/>
        </w:rPr>
      </w:pPr>
    </w:p>
    <w:p>
      <w:pPr>
        <w:spacing w:after="0" w:line="217" w:lineRule="exact"/>
        <w:rPr>
          <w:sz w:val="20"/>
          <w:szCs w:val="20"/>
          <w:color w:val="auto"/>
        </w:rPr>
      </w:pPr>
    </w:p>
    <w:p>
      <w:pPr>
        <w:ind w:left="222" w:hanging="222"/>
        <w:spacing w:after="0"/>
        <w:tabs>
          <w:tab w:leader="none" w:pos="222"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the $2,500,000 we will receive from the sale of the private units.</w:t>
      </w:r>
    </w:p>
    <w:p>
      <w:pPr>
        <w:spacing w:after="0" w:line="219" w:lineRule="exact"/>
        <w:rPr>
          <w:rFonts w:ascii="Arial" w:cs="Arial" w:eastAsia="Arial" w:hAnsi="Arial"/>
          <w:sz w:val="18"/>
          <w:szCs w:val="18"/>
          <w:color w:val="auto"/>
        </w:rPr>
      </w:pPr>
    </w:p>
    <w:p>
      <w:pPr>
        <w:ind w:left="222" w:hanging="222"/>
        <w:spacing w:after="0"/>
        <w:tabs>
          <w:tab w:leader="none" w:pos="22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“as adjusted” liabilities represents up to $1,000,000 of deferred underwriting commissions.</w:t>
      </w:r>
    </w:p>
    <w:p>
      <w:pPr>
        <w:spacing w:after="0" w:line="219" w:lineRule="exact"/>
        <w:rPr>
          <w:rFonts w:ascii="Arial" w:cs="Arial" w:eastAsia="Arial" w:hAnsi="Arial"/>
          <w:sz w:val="18"/>
          <w:szCs w:val="18"/>
          <w:color w:val="auto"/>
        </w:rPr>
      </w:pPr>
    </w:p>
    <w:p>
      <w:pPr>
        <w:jc w:val="both"/>
        <w:ind w:left="222" w:hanging="222"/>
        <w:spacing w:after="0" w:line="257" w:lineRule="auto"/>
        <w:tabs>
          <w:tab w:leader="none" w:pos="22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“as adjusted” value of common stock which may be subject to possible conversion/tender for cash is derived by taking 4,454,905 shares of common stock which may be converted, representing the maximum number of shares that may be converted or sold while maintaining at least $5,000,001 in ne tangible assets after this offering, multiplied by a conversion price of $10.00.</w:t>
      </w:r>
    </w:p>
    <w:p>
      <w:pPr>
        <w:spacing w:after="0" w:line="188" w:lineRule="exact"/>
        <w:rPr>
          <w:sz w:val="20"/>
          <w:szCs w:val="20"/>
          <w:color w:val="auto"/>
        </w:rPr>
      </w:pPr>
    </w:p>
    <w:p>
      <w:pPr>
        <w:jc w:val="both"/>
        <w:ind w:left="2"/>
        <w:spacing w:after="0" w:line="279" w:lineRule="auto"/>
        <w:rPr>
          <w:sz w:val="20"/>
          <w:szCs w:val="20"/>
          <w:color w:val="auto"/>
        </w:rPr>
      </w:pPr>
      <w:r>
        <w:rPr>
          <w:rFonts w:ascii="Arial" w:cs="Arial" w:eastAsia="Arial" w:hAnsi="Arial"/>
          <w:sz w:val="17"/>
          <w:szCs w:val="17"/>
          <w:color w:val="auto"/>
        </w:rPr>
        <w:t>The “as adjusted” column gives effect to the sale of the units we are offering, including the application of the related gross proceeds and the payment of the estimated remaining costs from such sale and the repayment of the accrued and other liabilities required to be repaid such that we have at least $5,000,001 of net tangible assets upon consummation of this offering and upon consummation of our initial business combination.</w:t>
      </w:r>
    </w:p>
    <w:p>
      <w:pPr>
        <w:spacing w:after="0" w:line="172" w:lineRule="exact"/>
        <w:rPr>
          <w:sz w:val="20"/>
          <w:szCs w:val="20"/>
          <w:color w:val="auto"/>
        </w:rPr>
      </w:pPr>
    </w:p>
    <w:p>
      <w:pPr>
        <w:jc w:val="both"/>
        <w:ind w:left="2"/>
        <w:spacing w:after="0" w:line="251" w:lineRule="auto"/>
        <w:rPr>
          <w:sz w:val="20"/>
          <w:szCs w:val="20"/>
          <w:color w:val="auto"/>
        </w:rPr>
      </w:pPr>
      <w:r>
        <w:rPr>
          <w:rFonts w:ascii="Arial" w:cs="Arial" w:eastAsia="Arial" w:hAnsi="Arial"/>
          <w:sz w:val="18"/>
          <w:szCs w:val="18"/>
          <w:color w:val="auto"/>
        </w:rPr>
        <w:t>The “as adjusted” working capital amount includes the $50,000,000 to be held in the trust account, less the deferred underwriting commission of $1,000,000 which, except for limited situations described in this prospectus, will be available to us only upon the consummation of our initial business combination within the time period described in this prospectus. The “as adjusted” total assets amount includes the $50,000,000 to be held in the trust account, including the deferred underwriting commission of $1,000,000. If our initial business combination is not so consummated, the trust account, less amounts we are permitted to withdraw as described in this prospectus, will be distributed solely to our public stockholders (subject to our obligations under Delaware law to provide fo claims of creditors).</w:t>
      </w:r>
    </w:p>
    <w:p>
      <w:pPr>
        <w:spacing w:after="0" w:line="200" w:lineRule="exact"/>
        <w:rPr>
          <w:sz w:val="20"/>
          <w:szCs w:val="20"/>
          <w:color w:val="auto"/>
        </w:rPr>
      </w:pPr>
    </w:p>
    <w:p>
      <w:pPr>
        <w:spacing w:after="0" w:line="341" w:lineRule="exact"/>
        <w:rPr>
          <w:sz w:val="20"/>
          <w:szCs w:val="20"/>
          <w:color w:val="auto"/>
        </w:rPr>
      </w:pPr>
    </w:p>
    <w:p>
      <w:pPr>
        <w:jc w:val="center"/>
        <w:ind w:right="238"/>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12065</wp:posOffset>
            </wp:positionV>
            <wp:extent cx="724852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382"/>
          </w:cols>
          <w:pgMar w:left="378" w:top="1001" w:right="1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all of the risks described below, which we believe represent the material risks related to the offering,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 This prospectus also contains forward-looking statements that involve risks and uncertainties. Our actual results could differ materially from those anticipated in the forward-looking statements as a result of specific factors, including the risks described below.</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ASSOCIATED WITH OUR BUSINESS</w:t>
      </w:r>
    </w:p>
    <w:p>
      <w:pPr>
        <w:spacing w:after="0" w:line="220"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We are a newly formed early stage company with no operating history and, accordingly, you have no basis on which to evaluate our ability to achieve our business objective.</w:t>
      </w:r>
    </w:p>
    <w:p>
      <w:pPr>
        <w:spacing w:after="0" w:line="17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 newly formed early stage company with no operating results, and we will not commence operations until obtaining funding through this offering. Because we lack an operating history, you have no basis upon which to evaluate our ability to achieve our business objective, which is to complete our initial business combination with one or more target businesses. We have not engaged in any substantive discussions and we have no plans, arrangements or understandings with any prospective target business concerning a business combination and may be unable to complete our business combination. If we fail to complete our business combination, we will never generate any operating revenues.</w:t>
      </w:r>
    </w:p>
    <w:p>
      <w:pPr>
        <w:spacing w:after="0" w:line="18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Our independent registered public accounting firm’s report contains an explanatory paragraph that expresses substantial doubt about our ability to continue as a “going concern.”</w:t>
      </w:r>
    </w:p>
    <w:p>
      <w:pPr>
        <w:spacing w:after="0" w:line="17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of September 11, 2015, we had $5,000 in cash and a working capital deficiency of $85,000. Further, we have incurred and expect to continue to incur significant costs in pursuit of our acquisition plans. Management’s plans to address this need for capital through this offering are discussed in the section of this prospectus titled “Management’s Discussion and Analysis of Financial Condition and Results of Operations.” Our plans to raise capital and to consummate our initial business combination may not be successful. These factors, among others, raise substantial doubt about our ability to continue as a going concern. The financial statements contained elsewhere in this prospectus do not include any adjustments that might result from our inability to consummate this offering or our inability to continue as a going concern.</w:t>
      </w:r>
    </w:p>
    <w:p>
      <w:pPr>
        <w:spacing w:after="0" w:line="18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If we are unable to consummate our initial business combination, our public stockholders may be forced to wait more than 21 months before receiving distributions from the trust account.</w:t>
      </w:r>
    </w:p>
    <w:p>
      <w:pPr>
        <w:spacing w:after="0" w:line="17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will have until 18 months from the closing of this offering (or 21 months from the closing of this offering if we have executed a letter of intent or definitive agreement for an initial business combination within 18 months from the closing of this offering but have not completed the initial business combination within such 18-month period) to consummate our initial business combination. We have no obligation to return funds to investors prior to such date unless we consummate our initial business combination prior thereto and only then in cases where investors have sought to convert their shares. Only after the expiration of this full time period will holders of our common stock be entitled to distributions from the trust account if we are unable to complete our initial business combination. Accordingly, investors’ funds may be unavailable to them until after such date and to liquidate your investment, public security holders may be forced to sell their public shares, potentially at a loss.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public stockholders may not be afforded an opportunity to vote on our proposed business combination.</w:t>
      </w:r>
    </w:p>
    <w:p>
      <w:pPr>
        <w:spacing w:after="0" w:line="22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will either (1) seek stockholder approval of our initial business combination at a meeting called for such purpose at which public stockholders may seek to convert their shares, regardless of whether they vote for or against the proposed business combination, into their pro rata share of the aggregate amount then on deposit in the trust account (net of taxes payable), or (2) provide our public stockholders with the opportunity to sell their shares to us by means of a tender offer (and thereby avoid the need for a stockholder vote) for an amount equal to their pro rata share of the aggregate amount then on deposit in the trust account, in each case subject to the limitations described elsewhere in this prospectus. Accordingly, it is possible that we will consummate our initial business combination even if holders of a majority of our public shares do not approve of the business combination. The decision as to whether we will seek stockholder approval of a proposed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For instance, Nasdaq rules currently allow us to engage in a tender offer in lieu of a stockholder meeting but would still require us to obtain stockholder approval if we were seeking to issue more than 20% of our outstanding shares to a target business as consideration in any business combination. Therefore, if we were structuring a business combination that required us to issue more than 20% of our outstanding shares, we would seek stockholder approval of such business combination instead of conducting a tender offer.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You will not be entitled to protections normally afforded to investors of blank check companies.</w:t>
      </w:r>
    </w:p>
    <w:p>
      <w:pPr>
        <w:spacing w:after="0" w:line="22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Since the net proceeds of this offering are intended to be used to complete our initial business combination with a target business that has not been identified, we may be deemed to be a “blank check” company under the United States securities laws. However, since we will have net tangible assets in excess of $5,000,001 upon the successful consummation of this offering and will file a Current Report on Form 8-K, including an audited balance sheet demonstrating this fact, we are exempt from rules promulgated by the SEC to protect investors of blank check companies such as Rule 419. Accordingly, investors will not be afforded the benefits or protections of those rules which would, for example, completely restrict the transferability of our securities, require us to complete our initial business combination within 18 months of the effective date of the initial registration statement and restrict the use of interest earned on the funds held in the trust account. Because we are not subject to Rule 419, our units will be immediately tradable, we will be entitled to withdraw amounts from the funds held in the trust account prior to the completion of our initial business combination and we may have a longer period of time to complete such a business combination than we would if we were subject to such rule.</w:t>
      </w:r>
    </w:p>
    <w:p>
      <w:pPr>
        <w:spacing w:after="0" w:line="17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If we determine to change our acquisition criteria or guidelines, many of the disclosures contained in this prospectus regarding our acquisition criteria or guidelines would no longer apply.</w:t>
      </w:r>
    </w:p>
    <w:p>
      <w:pPr>
        <w:spacing w:after="0" w:line="17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could seek to deviate from the acquisition criteria or guidelines disclosed in this prospectus although we have no current intention to do so. For instance, as required by Nasdaq, we currently anticipate structuring a business combination with one or more target businesses having an aggregate fair market value that is at least equal to 80% of the value of the trust account (excluding any deferred underwriter’s fees and taxes payable on the income earned on the trust account) at the time of the execution of a letter of intent or definitive agreement for a business combination. However, we could be delisted from Nasdaq and therefore no longer be required to meet this requirement. Furthermore, there are numerous agreements between us and our affiliates that could be amended between the parties without approval of public stockholders. In such event, many of the acquisition criteria and guidelines set forth in this prospectus (such as the voting, transfer and liquidation restrictions agreed to by the holders of the insider shares described elsewhere in this prospectus, the indemnification obligations of our insiders described below and the obligations of our insiders to pay the cost of liquidation if the funds held outside the trust account are insufficient for such purposes) may no longer apply.</w:t>
      </w:r>
    </w:p>
    <w:p>
      <w:pPr>
        <w:spacing w:after="0" w:line="178" w:lineRule="exact"/>
        <w:rPr>
          <w:sz w:val="20"/>
          <w:szCs w:val="20"/>
          <w:color w:val="auto"/>
        </w:rPr>
      </w:pPr>
    </w:p>
    <w:p>
      <w:pPr>
        <w:jc w:val="both"/>
        <w:spacing w:after="0" w:line="304" w:lineRule="auto"/>
        <w:rPr>
          <w:sz w:val="20"/>
          <w:szCs w:val="20"/>
          <w:color w:val="auto"/>
        </w:rPr>
      </w:pPr>
      <w:r>
        <w:rPr>
          <w:rFonts w:ascii="Arial" w:cs="Arial" w:eastAsia="Arial" w:hAnsi="Arial"/>
          <w:sz w:val="17"/>
          <w:szCs w:val="17"/>
          <w:b w:val="1"/>
          <w:bCs w:val="1"/>
          <w:color w:val="auto"/>
        </w:rPr>
        <w:t>If we deviate from the acquisition criteria or guidelines set forth in this prospectus, investors in this offering may have rescission rights or may bring an action for damages against us or we could be subject to civil or criminal actions taken by governmental authorities.</w:t>
      </w:r>
    </w:p>
    <w:p>
      <w:pPr>
        <w:spacing w:after="0" w:line="15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If we were to elect to deviate from the acquisition criteria or guidelines set forth in this prospectus, each person who purchased units in this offering and still held such securities upon learning of the facts relating to the deviation may seek rescission of the purchase of the units he or she acquired in the offering (under which a successful claimant has the right to receive the total amount paid for his or her securities pursuant to an allegedly deficient prospectus, plus interest and less any income earned on the securities, in exchange for surrender of the securities) or bring an action for damages against us (compensation for loss on an investment caused by alleged material misrepresentations or omissions in the sale of a security). In such event, we could also be subject to civil or criminal actions taken by governmental authorities. For instance, the SEC can seek injunctions under Section 20(b) of the Securities Act if it believes a violation under the Securities Act has occurred or is imminent. The SEC can also seek civil penalties under Sections 20(d) and 24 if a party has violated the Securities Act or an injunctive action taken by the SEC or if a party willfully, in a registration statement filed under the Securities Act, makes any untrue statement of a material fact or omits to state any material fact required to be stated therein or necessary to make the statements therein not misleading. Furthermore, Section 20 allows the SEC to refer matters to the attorney general to bring criminal penalties against an issuer.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28" w:name="page29"/>
    <w:bookmarkEnd w:id="28"/>
    <w:p>
      <w:pPr>
        <w:jc w:val="both"/>
        <w:ind w:right="20"/>
        <w:spacing w:after="0" w:line="274" w:lineRule="auto"/>
        <w:rPr>
          <w:sz w:val="20"/>
          <w:szCs w:val="20"/>
          <w:color w:val="auto"/>
        </w:rPr>
      </w:pPr>
      <w:r>
        <w:rPr>
          <w:rFonts w:ascii="Arial" w:cs="Arial" w:eastAsia="Arial" w:hAnsi="Arial"/>
          <w:sz w:val="18"/>
          <w:szCs w:val="18"/>
          <w:b w:val="1"/>
          <w:bCs w:val="1"/>
          <w:color w:val="auto"/>
        </w:rPr>
        <w:t>We may issue shares of our capital stock to complete our initial business combination, which would reduce the equity interest of our stockholders and likely cause a change in control of our ownership.</w:t>
      </w:r>
    </w:p>
    <w:p>
      <w:pPr>
        <w:spacing w:after="0" w:line="17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amended and restated certificate of incorporation currently authorizes the issuance of up to 50,000,000 shares of common stock, par value $0.001 per share, and 1,000,000 shares of preferred stock, par value $0.001 per share. Immediately after this offering and the purchase of the private units (assuming no exercise of the underwriters’ over-allotment option), there will be approximately 40,125,000 authorized but unissued shares of common stock available for issuance (after appropriate reservation for the issuance of the shares (i) underlying the public warrants and private warrants issuable upon consummation of our initial business combination, and (ii) underlying the unit purchase option being issued to Chardan Capital Markets, LLC and/or its designees). Although we have no commitment as of the date of this offering, we may issue a substantial number of additional shares of common stock or shares of preferred stock, or a combination of common stock and preferred stock, to complete our initial business combination. The issuance of additional shares of common stock or preferred stock:</w:t>
      </w:r>
    </w:p>
    <w:p>
      <w:pPr>
        <w:spacing w:after="0" w:line="195" w:lineRule="exact"/>
        <w:rPr>
          <w:sz w:val="20"/>
          <w:szCs w:val="20"/>
          <w:color w:val="auto"/>
        </w:rPr>
      </w:pPr>
    </w:p>
    <w:p>
      <w:pPr>
        <w:ind w:left="580" w:hanging="333"/>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may significantly reduce the equity interest of investors in this offering;</w:t>
      </w:r>
    </w:p>
    <w:p>
      <w:pPr>
        <w:spacing w:after="0" w:line="219" w:lineRule="exact"/>
        <w:rPr>
          <w:rFonts w:ascii="Arial" w:cs="Arial" w:eastAsia="Arial" w:hAnsi="Arial"/>
          <w:sz w:val="18"/>
          <w:szCs w:val="18"/>
          <w:color w:val="auto"/>
        </w:rPr>
      </w:pPr>
    </w:p>
    <w:p>
      <w:pPr>
        <w:ind w:left="580" w:hanging="333"/>
        <w:spacing w:after="0" w:line="267"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may subordinate the rights of holders of shares of common stock if we issue shares of preferred stock with rights senior to those afforded to our shares of common stock;</w:t>
      </w:r>
    </w:p>
    <w:p>
      <w:pPr>
        <w:spacing w:after="0" w:line="179" w:lineRule="exact"/>
        <w:rPr>
          <w:rFonts w:ascii="Arial" w:cs="Arial" w:eastAsia="Arial" w:hAnsi="Arial"/>
          <w:sz w:val="18"/>
          <w:szCs w:val="18"/>
          <w:color w:val="auto"/>
        </w:rPr>
      </w:pPr>
    </w:p>
    <w:p>
      <w:pPr>
        <w:ind w:left="580" w:hanging="333"/>
        <w:spacing w:after="0" w:line="297" w:lineRule="auto"/>
        <w:tabs>
          <w:tab w:leader="none" w:pos="580" w:val="left"/>
        </w:tabs>
        <w:numPr>
          <w:ilvl w:val="0"/>
          <w:numId w:val="9"/>
        </w:numPr>
        <w:rPr>
          <w:rFonts w:ascii="Arial" w:cs="Arial" w:eastAsia="Arial" w:hAnsi="Arial"/>
          <w:sz w:val="17"/>
          <w:szCs w:val="17"/>
          <w:color w:val="auto"/>
        </w:rPr>
      </w:pPr>
      <w:r>
        <w:rPr>
          <w:rFonts w:ascii="Arial" w:cs="Arial" w:eastAsia="Arial" w:hAnsi="Arial"/>
          <w:sz w:val="17"/>
          <w:szCs w:val="17"/>
          <w:color w:val="auto"/>
        </w:rPr>
        <w:t>may cause a change in control if a substantial number of shares of common stock are issued, which may affect, among other things, our ability to use our net operating loss carry forwards, if any, and could result in the resignation or removal of our present officers and directors; and</w:t>
      </w:r>
    </w:p>
    <w:p>
      <w:pPr>
        <w:spacing w:after="0" w:line="156" w:lineRule="exact"/>
        <w:rPr>
          <w:rFonts w:ascii="Arial" w:cs="Arial" w:eastAsia="Arial" w:hAnsi="Arial"/>
          <w:sz w:val="17"/>
          <w:szCs w:val="17"/>
          <w:color w:val="auto"/>
        </w:rPr>
      </w:pPr>
    </w:p>
    <w:p>
      <w:pPr>
        <w:ind w:left="580" w:hanging="333"/>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shares of common stock.</w:t>
      </w:r>
    </w:p>
    <w:p>
      <w:pPr>
        <w:spacing w:after="0" w:line="214" w:lineRule="exact"/>
        <w:rPr>
          <w:sz w:val="20"/>
          <w:szCs w:val="20"/>
          <w:color w:val="auto"/>
        </w:rPr>
      </w:pPr>
    </w:p>
    <w:p>
      <w:pPr>
        <w:spacing w:after="0" w:line="274" w:lineRule="auto"/>
        <w:rPr>
          <w:sz w:val="20"/>
          <w:szCs w:val="20"/>
          <w:color w:val="auto"/>
        </w:rPr>
      </w:pPr>
      <w:r>
        <w:rPr>
          <w:rFonts w:ascii="Arial" w:cs="Arial" w:eastAsia="Arial" w:hAnsi="Arial"/>
          <w:sz w:val="18"/>
          <w:szCs w:val="18"/>
          <w:b w:val="1"/>
          <w:bCs w:val="1"/>
          <w:color w:val="auto"/>
        </w:rPr>
        <w:t>We may issue notes or other debt securities, or otherwise incur substantial debt, to complete a business combination, which may adversely affect our leverage and financial condition and thus negatively impact the value of our stockholders’ investment in us.</w:t>
      </w:r>
    </w:p>
    <w:p>
      <w:pPr>
        <w:spacing w:after="0" w:line="173" w:lineRule="exact"/>
        <w:rPr>
          <w:sz w:val="20"/>
          <w:szCs w:val="20"/>
          <w:color w:val="auto"/>
        </w:rPr>
      </w:pPr>
    </w:p>
    <w:p>
      <w:pPr>
        <w:ind w:right="20"/>
        <w:spacing w:after="0" w:line="331" w:lineRule="auto"/>
        <w:rPr>
          <w:sz w:val="20"/>
          <w:szCs w:val="20"/>
          <w:color w:val="auto"/>
        </w:rPr>
      </w:pPr>
      <w:r>
        <w:rPr>
          <w:rFonts w:ascii="Arial" w:cs="Arial" w:eastAsia="Arial" w:hAnsi="Arial"/>
          <w:sz w:val="16"/>
          <w:szCs w:val="16"/>
          <w:color w:val="auto"/>
        </w:rPr>
        <w:t>Although we have no commitments as of the date of this prospectus to issue any notes or other debt securities, or to otherwise incur outstanding debt, we may choose to incur substantial debt to complete our business combination. However, the incurrence of debt could have a variety of negative effects, including:</w:t>
      </w:r>
    </w:p>
    <w:p>
      <w:pPr>
        <w:spacing w:after="0" w:line="133" w:lineRule="exact"/>
        <w:rPr>
          <w:sz w:val="20"/>
          <w:szCs w:val="20"/>
          <w:color w:val="auto"/>
        </w:rPr>
      </w:pPr>
    </w:p>
    <w:p>
      <w:pPr>
        <w:ind w:left="580" w:hanging="333"/>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default and foreclosure on our assets if our operating revenues after our initial business combination are insufficient to repay our debt obligations;</w:t>
      </w:r>
    </w:p>
    <w:p>
      <w:pPr>
        <w:spacing w:after="0" w:line="242" w:lineRule="exact"/>
        <w:rPr>
          <w:rFonts w:ascii="Arial" w:cs="Arial" w:eastAsia="Arial" w:hAnsi="Arial"/>
          <w:sz w:val="16"/>
          <w:szCs w:val="16"/>
          <w:color w:val="auto"/>
        </w:rPr>
      </w:pPr>
    </w:p>
    <w:p>
      <w:pPr>
        <w:ind w:left="580" w:hanging="333"/>
        <w:spacing w:after="0" w:line="267"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79" w:lineRule="exact"/>
        <w:rPr>
          <w:rFonts w:ascii="Arial" w:cs="Arial" w:eastAsia="Arial" w:hAnsi="Arial"/>
          <w:sz w:val="18"/>
          <w:szCs w:val="18"/>
          <w:color w:val="auto"/>
        </w:rPr>
      </w:pPr>
    </w:p>
    <w:p>
      <w:pPr>
        <w:ind w:left="580" w:hanging="333"/>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219" w:lineRule="exact"/>
        <w:rPr>
          <w:rFonts w:ascii="Arial" w:cs="Arial" w:eastAsia="Arial" w:hAnsi="Arial"/>
          <w:sz w:val="18"/>
          <w:szCs w:val="18"/>
          <w:color w:val="auto"/>
        </w:rPr>
      </w:pPr>
    </w:p>
    <w:p>
      <w:pPr>
        <w:ind w:left="580" w:hanging="333"/>
        <w:spacing w:after="0" w:line="267"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security contains covenants restricting our ability to obtain such financing while the debt security is outstanding; and</w:t>
      </w:r>
    </w:p>
    <w:p>
      <w:pPr>
        <w:spacing w:after="0" w:line="179" w:lineRule="exact"/>
        <w:rPr>
          <w:rFonts w:ascii="Arial" w:cs="Arial" w:eastAsia="Arial" w:hAnsi="Arial"/>
          <w:sz w:val="18"/>
          <w:szCs w:val="18"/>
          <w:color w:val="auto"/>
        </w:rPr>
      </w:pPr>
    </w:p>
    <w:p>
      <w:pPr>
        <w:ind w:left="580" w:hanging="333"/>
        <w:spacing w:after="0" w:line="267"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74" w:lineRule="exact"/>
        <w:rPr>
          <w:sz w:val="20"/>
          <w:szCs w:val="20"/>
          <w:color w:val="auto"/>
        </w:rPr>
      </w:pPr>
    </w:p>
    <w:p>
      <w:pPr>
        <w:jc w:val="both"/>
        <w:spacing w:after="0" w:line="304" w:lineRule="auto"/>
        <w:rPr>
          <w:sz w:val="20"/>
          <w:szCs w:val="20"/>
          <w:color w:val="auto"/>
        </w:rPr>
      </w:pPr>
      <w:r>
        <w:rPr>
          <w:rFonts w:ascii="Arial" w:cs="Arial" w:eastAsia="Arial" w:hAnsi="Arial"/>
          <w:sz w:val="17"/>
          <w:szCs w:val="17"/>
          <w:b w:val="1"/>
          <w:bCs w:val="1"/>
          <w:color w:val="auto"/>
        </w:rPr>
        <w:t>The funds held in the trust account may not earn significant interest and, as a result, we may be limited to the funds held outside of the trust account to fund our search for target businesses, to pay our tax obligations and to complete our initial business combination.</w:t>
      </w:r>
    </w:p>
    <w:p>
      <w:pPr>
        <w:spacing w:after="0" w:line="15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Of the net proceeds of this offering, $525,000 is anticipated to be available to us initially outside the trust account to fund our working capital requirements. We will depend on sufficient interest being earned on the proceeds held in the trust account to provide us with additional working capital we will need to identify one or more target businesses and to complete our initial business combination, as well as to pay any tax obligations that we may owe. Interest rates on permissible investments for us have been less than 1% over the last several years. Accordingly, if we do not earn a sufficient amount of interest on the funds held in the trust account and use all of the funds held outside of the trust account, we may not have sufficient funds available with which to structure, negotiate or close our initial business combination. In such event, we would need to borrow funds from our insiders, officers or directors to operate or may be forced to liquidate. Our insiders, officers and directors are under no obligation to loan us any funds. If we are unable to obtain the funds necessary, we may be forced to cease searching for a target business and may be unable to complete our initial business combination.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We may not have sufficient working capital to cover our operating expenses.</w:t>
      </w:r>
    </w:p>
    <w:p>
      <w:pPr>
        <w:spacing w:after="0" w:line="22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As set forth in this prospectus under “Use of Proceeds,” we anticipate that we will incur operating expenses of approximately $525,000 after the initial public offering. These expenses include $150,000 of third party expenses related to the search for target businesses and the due diligence investigation, structuring and negotiation of our initial business combination; $10,000 of expenses related to due diligence of prospective target businesses; $40,000 of legal and accounting fees related to SEC reporting obligations; $210,000 of administrative fees payable to Magna Management LLC ($10,000 per month for up to 21 months), subject to deferral as described below; and $115,000 of working capital to cover miscellaneous expenses, D&amp;O insurance, liquidation obligations, reserves and for general corporate purposes. Following the consummation of this offering, the amounts available to us to pay our operating expenses will consist only of the approximately $525,000 initially held outside of the trust account and any interest earned on the funds in the trust account remaining after interest is released to pay our income or other tax obligations. Therefore, if our expenses exceed our estimates, we will not have sufficient funds outside the trust account to cover our expenses. In such event, we would need to borrow funds from our insiders, officers or directors or from third parties to continue to operate. However, our insiders, officers and directors and third parties are under no obligation to loan us any funds. If we are unable to obtain the necessary funds, we may be forced to cease searching for a target business and liquidate without completing our initial business combination.</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Reimbursement of out-of-pocket expenses incurred by our insiders, officers, directors or any of their affiliates in connection with certain activities on our behalf, such as identifying and investigating possible business targets and business combinations, could reduce the funds available to us to consummate a business combination. In addition, an indemnification claim by one or more of our officers and directors in the event that any of them are sued in their capacity as an officer or director could also reduce the funds available to us outside of the trust account.</w:t>
      </w:r>
    </w:p>
    <w:p>
      <w:pPr>
        <w:spacing w:after="0" w:line="15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may reimburse our insiders, officers, directors or any of their affiliates for out-of-pocket expenses incurred in connection with certain activities on our behalf, such as identifying and investigating possible business targets and business combinations. There is no limit on the amount of out-of-pocket expenses reimbursable by us; provided, that, to the extent such expenses exceed the available proceeds not deposited in the trust account and the interest income earned on the amounts held in the trust account that may be released to us, such expenses would not be reimbursed by us unless we consummate an initial business combination. In addition, pursuant to our certificate of incorporation and Delaware law, we may be required to indemnify our officers and directors in the event that any of them are sued in their capacity as an officer or director. We will also enter into agreements with our officers and directors to provide contractual indemnification in addition to the indemnification provided for in our certificate of incorporation and under Delaware law. In the event that we reimburse our insiders, officers, directors or any of their affiliates for out-of-pocket expenses prior to the consummation of a business combination or are required to indemnify any of our officers or directors pursuant to our certificate of incorporation, Delaware law, or the indemnity agreements that we will enter into with them, we would use funds available to us outside of the trust account or interest released to us from the trust account for our working capital requirements. Any reduction in the funds available to us could have a material adverse effect on our ability to locate and investigate prospective target businesses and to structure, negotiate, conduct due diligence in connection with or consummate our initial business combination.</w:t>
      </w:r>
    </w:p>
    <w:p>
      <w:pPr>
        <w:spacing w:after="0" w:line="16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If third parties bring claims against us, the proceeds held in the trust account could be reduced and the per-share redemption price received by stockholders may be less than approximately $10.00.</w:t>
      </w:r>
    </w:p>
    <w:p>
      <w:pPr>
        <w:spacing w:after="0" w:line="17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Our placing of funds in the trust account may not protect those funds from third party claims against us. Although we will seek to have all vendors and service providers we engage and prospective target businesses we negotiate with execute agreements with us waiving any right, title, interest or claim of any kind in or to any monies held in the trust account for the benefit of our public stockholders, they may not execute such agreements. Furthermore, even if such entities execute such agreements with us, they may seek recourse against the trust account. A court may not uphold the validity of such agreements. Accordingly, the proceeds held in the trust account could be subject to claims which could take priority over those of our public stockholders. If we are unable to complete an initial business combination within the required time period, our insiders have agreed that they will be jointly and severally liable to ensure that the proceeds in the trust account are not reduced by the claims of target businesses or claims of vendors or other entities that are owed money by us for services rendered or contracted for or products sold to us, but only if such a vendor or prospective target business does not execute such a waiver. However, our insiders may not be able to meet such obligation as we have not required our insider to retain any assets to provide for their indemnification obligations, nor have we taken any further steps to ensure that our insiders will be able to satisfy any indemnification obligations that arise. Moreover, our insiders will not be liable to our public stockholders if they should fail to satisfy their obligations under this agreement and instead will only be liable to us. Therefore, the per share redemption or conversion amount received by public stockholders may be less than approximately $10.00 due to such claims.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30" w:name="page31"/>
    <w:bookmarkEnd w:id="30"/>
    <w:p>
      <w:pPr>
        <w:jc w:val="both"/>
        <w:spacing w:after="0" w:line="254" w:lineRule="auto"/>
        <w:rPr>
          <w:sz w:val="20"/>
          <w:szCs w:val="20"/>
          <w:color w:val="auto"/>
        </w:rPr>
      </w:pPr>
      <w:r>
        <w:rPr>
          <w:rFonts w:ascii="Arial" w:cs="Arial" w:eastAsia="Arial" w:hAnsi="Arial"/>
          <w:sz w:val="18"/>
          <w:szCs w:val="18"/>
          <w:color w:val="auto"/>
        </w:rPr>
        <w:t>Additionally, 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redemption or conversion amount received by public stockholders may be less than $10.00.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stockholders may be held liable for claims by third parties against us to the extent of distributions received by them.</w:t>
      </w:r>
    </w:p>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If we have not completed our initial business combination within 18 months from the closing of this offering (or 21 months from the closing of this offering if we have entered into a letter of intent or definitive agreement with a target business for a business combination within 18 months from the closing of this offering but the business combination has not been consummated within such 18-month period), we will (i) cease all operations except for the purpose of winding up, (ii) as promptly as reasonably possible but not more than ten business days thereafter, redeem 100% of the outstanding public shares for a pro rata portion of the funds held in the trust account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holders of common stock and our board of directors, dissolve and liquidate, subject (in the case of (ii) and (iii) above) to our obligations under Delaware law to provide for claims of creditors and the requirements of other applicable law. We may not properly assess all claims that may be potentially brought against us. As such, our stockholders could potentially be liable for any claims to the extent of distributions received by them (but no more) and any liability of our stockholders may extend well beyond the third anniversary of the date of distribution. Accordingly, third parties may seek to recover from our stockholders amounts owed to them by us.</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1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w:t>
      </w:r>
    </w:p>
    <w:p>
      <w:pPr>
        <w:spacing w:after="0" w:line="159" w:lineRule="exact"/>
        <w:rPr>
          <w:sz w:val="20"/>
          <w:szCs w:val="20"/>
          <w:color w:val="auto"/>
        </w:rPr>
      </w:pPr>
    </w:p>
    <w:p>
      <w:pPr>
        <w:jc w:val="both"/>
        <w:ind w:right="20"/>
        <w:spacing w:after="0" w:line="308" w:lineRule="auto"/>
        <w:rPr>
          <w:sz w:val="20"/>
          <w:szCs w:val="20"/>
          <w:color w:val="auto"/>
        </w:rPr>
      </w:pPr>
      <w:r>
        <w:rPr>
          <w:rFonts w:ascii="Arial" w:cs="Arial" w:eastAsia="Arial" w:hAnsi="Arial"/>
          <w:sz w:val="16"/>
          <w:szCs w:val="16"/>
          <w:b w:val="1"/>
          <w:b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per-share amount that would otherwise be received by our stockholders in connection with our liquidation may be reduced.</w:t>
      </w:r>
    </w:p>
    <w:p>
      <w:pPr>
        <w:spacing w:after="0" w:line="15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warrants will not have redemption rights.</w:t>
      </w:r>
    </w:p>
    <w:p>
      <w:pPr>
        <w:spacing w:after="0" w:line="22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If we are unable to complete an initial business combination within the required time period and we redeem the funds held in the trust account, the warrants will expire and holders will not receive any of the amounts held in the trust account in exchange for such warrants.</w:t>
      </w:r>
    </w:p>
    <w:p>
      <w:pPr>
        <w:spacing w:after="0" w:line="17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Since we have not yet selected a particular industry or target business with which to complete our initial business combination, we are unable to currently ascertain the merits or risks of the industry or business in which we may ultimately operate.</w:t>
      </w:r>
    </w:p>
    <w:p>
      <w:pPr>
        <w:spacing w:after="0" w:line="17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Although we intend to focus our search on target businesses operating in technology, media and telecommunications industries, we may consummate our initial business combination with a target business in any industry we choose and are not limited to any particular industry or type of business. Accordingly, there is no current basis for you to evaluate the possible merits or risks of the particular industry in which we may ultimately operate or the target business which we may ultimately consummate our initial business combination. To the extent we complete our initial business combination with a financially unstable company or an entity in its development stage, we may be affected by numerous risks inherent in the business operations of those entities. If we complete our initial business combination with an entity in an industry characterized by a high level of risk, we may be affected by the currently unascertainable risks of that industry. We may not properly ascertain or assess all of the significant risk factors. An investment in our shares may not ultimately prove to be more favorable to investors in this offering than a direct investment, if an opportunity were available, in a target business.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31" w:name="page32"/>
    <w:bookmarkEnd w:id="31"/>
    <w:p>
      <w:pPr>
        <w:jc w:val="both"/>
        <w:spacing w:after="0" w:line="260" w:lineRule="auto"/>
        <w:rPr>
          <w:sz w:val="20"/>
          <w:szCs w:val="20"/>
          <w:color w:val="auto"/>
        </w:rPr>
      </w:pPr>
      <w:r>
        <w:rPr>
          <w:rFonts w:ascii="Arial" w:cs="Arial" w:eastAsia="Arial" w:hAnsi="Arial"/>
          <w:sz w:val="18"/>
          <w:szCs w:val="18"/>
          <w:b w:val="1"/>
          <w:bCs w:val="1"/>
          <w:color w:val="auto"/>
        </w:rPr>
        <w:t>The requirement that our initial business combination occur with one or more target businesses having an aggregate fair market value equal to at least 80% of the value of the trust account at the time of the execution of a definitive agreement for our initial business combination may limit the type and number of companies that we may complete such a business combination with.</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the Nasdaq listing rules, our initial business combination must occur with one or more target businesses having an aggregate fair market value equal to at least 80% of the value of the trust account (excluding any deferred underwriter’s fees and taxes payable on the income earned on the trust account) at the time of the execution of a definitive agreement for our initial business combination. This restriction may limit the type and number of companies that we may complete a business combination with. If we are unable to locate a target business or businesses that satisfy this fair market value test, we may be forced to liquidate and you will only be entitled to receive your pro rata portion of the funds in the trust account.</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Our management may not be able to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18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may structure our initial business combination such that the post-transaction company owns less than 100% of such interests or assets of the target business in order to meet certain objectives of the target management team or stockholders or for other reasons, but we will only complete such business combination if the post-transaction company owns 50% or more of the outstanding voting securities of the target or otherwise owns a controlling interest in the target sufficient for it not to be required to register as an investment company under the Investment Company Act. Even if the post-transaction company owns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In addition, other minority stockholders may subsequently combine their holdings resulting in a single person or group obtaining a larger share of the company’s stock than we initially acquired. Accordingly, this may make it more likely that our management will not be able to maintain our control of the target business.</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color w:val="auto"/>
        </w:rPr>
        <w:t>Our ability to successfully effect our initial business combination and to be successful thereafter will be totally dependent upon the efforts of our key personnel, some of whom may join us following our initial business combination. While we intend to closely scrutinize any individuals we engage after our initial business combination, our assessment of these individuals may not prove to be correct.</w:t>
      </w:r>
    </w:p>
    <w:p>
      <w:pPr>
        <w:spacing w:after="0" w:line="16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ability to successfully effect our initial business combination is dependent upon the efforts of our key personnel. We believe that our success depends on the continued service of our key personnel, at least until we have consummated our initial business combination. None of our officers are required to commit any specified amount of time to our affairs (although we expect them to devote approximately 10 hours per week to our business) and, accordingly, they will have conflicts of interest in allocating management time among various business activities, including identifying potential business combinations and monitoring the related due diligence. If our officers’ and directors’ other business affairs require them to devote more substantial amounts of time to their other business activities, it could limit their ability to devote time to our affairs and could have a negative impact on our ability to consummate our initial business combination. In addition, we do not have employment agreements with, or key-man insurance on the life of, any of our officers. The unexpected loss of the services of our key personnel could have a detrimental effect on us.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32" w:name="page33"/>
    <w:bookmarkEnd w:id="32"/>
    <w:p>
      <w:pPr>
        <w:jc w:val="both"/>
        <w:spacing w:after="0" w:line="252" w:lineRule="auto"/>
        <w:rPr>
          <w:sz w:val="20"/>
          <w:szCs w:val="20"/>
          <w:color w:val="auto"/>
        </w:rPr>
      </w:pPr>
      <w:r>
        <w:rPr>
          <w:rFonts w:ascii="Arial" w:cs="Arial" w:eastAsia="Arial" w:hAnsi="Arial"/>
          <w:sz w:val="18"/>
          <w:szCs w:val="18"/>
          <w:color w:val="auto"/>
        </w:rPr>
        <w:t>The role of our key personnel after our initial business combination, however, remains to be determined. Although some of our key personnel serve in senior management or advisory positions following our initial business combination, it is likely that most, if not all, of the management of the target business will remain in place. These individuals may be unfamiliar with the requirements of operating a public company which could cause us to have to expend time and resources helping them become familiar with such requirements. This could be expensive and time-consuming and could lead to various regulatory issues which may adversely affect our operations.</w:t>
      </w:r>
    </w:p>
    <w:p>
      <w:pPr>
        <w:spacing w:after="0" w:line="18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Our officers and directors may not have significant experience or knowledge regarding the jurisdiction or industry of the target business we may seek to consummate our initial business combination with.</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consummate a business combination with a target business in any geographic location or industry we choose. Our officers and directors may not have enough experience or sufficient knowledge relating to the jurisdiction of the target or its industry to make an informed decision regarding our initial business combination.</w:t>
      </w:r>
    </w:p>
    <w:p>
      <w:pPr>
        <w:spacing w:after="0" w:line="182"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6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key personnel may be able to remain with the company after the completion of our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The personal and financial interests of such individuals may influence their motivation in identifying and selecting a target business.</w:t>
      </w:r>
    </w:p>
    <w:p>
      <w:pPr>
        <w:spacing w:after="0" w:line="18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Our insiders, officers, directors and their affiliates may be owed reimbursement for out-of-pocket expenses which may cause them to have conflicts of interest in determining whether a particular business combination is most advantageous.</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insiders, officers, directors and their affiliates may incur out-of-pocket expenses in connection with certain activities on our behalf, such as identifying and investigating possible business targets and combinations. We have no policy that would prohibit these individuals and their affiliates from negotiating the reimbursement of such expenses by a target business. As a result, the personal and financial interests of such individuals may influence their motivation in identifying and selecting a target business.</w:t>
      </w:r>
    </w:p>
    <w:p>
      <w:pPr>
        <w:spacing w:after="0" w:line="185" w:lineRule="exact"/>
        <w:rPr>
          <w:sz w:val="20"/>
          <w:szCs w:val="20"/>
          <w:color w:val="auto"/>
        </w:rPr>
      </w:pPr>
    </w:p>
    <w:p>
      <w:pPr>
        <w:jc w:val="both"/>
        <w:spacing w:after="0" w:line="338" w:lineRule="auto"/>
        <w:rPr>
          <w:sz w:val="20"/>
          <w:szCs w:val="20"/>
          <w:color w:val="auto"/>
        </w:rPr>
      </w:pPr>
      <w:r>
        <w:rPr>
          <w:rFonts w:ascii="Arial" w:cs="Arial" w:eastAsia="Arial" w:hAnsi="Arial"/>
          <w:sz w:val="16"/>
          <w:szCs w:val="16"/>
          <w:b w:val="1"/>
          <w:bCs w:val="1"/>
          <w:color w:val="auto"/>
        </w:rPr>
        <w:t>Members of our management team may have affiliations with entities engaged in business activities similar to those intended to be conducted by us and accordingly, may have conflicts of interest in determining to which entity a particular business opportunity should be presented.</w:t>
      </w:r>
    </w:p>
    <w:p>
      <w:pPr>
        <w:spacing w:after="0" w:line="12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Members of our management team may have affiliations with companies, including companies that are engaged in business activities similar to those intended to be conducted by us. Accordingly, they may participate in transactions and have obligations that may be in conflict or competition with our consummation of our initial business combination. As a result, a potential target business may be presented by our management team to another entity prior to its presentation to us and we may not be afforded the opportunity to engage in a transaction with such target business. For a more detailed description of the potential conflicts of interest of our management, see the section titled “Management — Conflicts of Interest.”</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We may engage in a business combination with one or more target businesses that have relationships with entities that may be affiliated with our executive officers, directors or insiders, which may raise potential conflicts of interest.</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 light of the involvement of our insiders, officers, directors and director nominees with other entities, we may decide to acquire one or more businesses affiliated with our insiders, officers, directors and director nominees. Our directors and director nominees also serve as officers and board members for other entities, including, without limitation, those described under “Management — Conflicts of Interest.” Our insiders, officers, directors and director nominees are not currently aware of any specific opportunities for us to complete our business combination with any entities with which they are affiliated, and there have been no preliminary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as set forth in “Proposed Business — Effecting Our Initial Business Combination — Selection of a Target Business and Structuring of Our Initial Business Combination,” such transaction was approved by a majority of our disinterested and independent directors (if we have any at that time), and we obtain an opinion from an independent investment banking firm that the business combination is fair to our unaffiliated stockholders from a financial point of view. Despite our agreement to obtain an opinion from an independent investment banking firm regarding the fairness to our company from a financial point of view of a business combination with one or more domestic or international businesses affiliated with our officers, directors or insiders, potential conflicts of interest still may exist and, as a result, the terms of the business combination may not be as advantageous to our public stockholders as they would be absent any conflicts of interest.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33" w:name="page34"/>
    <w:bookmarkEnd w:id="33"/>
    <w:p>
      <w:pPr>
        <w:jc w:val="both"/>
        <w:spacing w:after="0" w:line="338" w:lineRule="auto"/>
        <w:rPr>
          <w:sz w:val="20"/>
          <w:szCs w:val="20"/>
          <w:color w:val="auto"/>
        </w:rPr>
      </w:pPr>
      <w:r>
        <w:rPr>
          <w:rFonts w:ascii="Arial" w:cs="Arial" w:eastAsia="Arial" w:hAnsi="Arial"/>
          <w:sz w:val="16"/>
          <w:szCs w:val="16"/>
          <w:b w:val="1"/>
          <w:bCs w:val="1"/>
          <w:color w:val="auto"/>
        </w:rPr>
        <w:t>The shares beneficially owned by our insiders, officers and directors will not participate in a redemption and, therefore, our insiders, officers and directors may have a conflict of interest in determining whether a particular target business is appropriate for our initial business combination.</w:t>
      </w:r>
    </w:p>
    <w:p>
      <w:pPr>
        <w:spacing w:after="0" w:line="12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insiders, officers and directors have waived their right to convert their insider shares and private shares in connection with a business combination and their redemption rights with respect to their insider shares and private shares if we are unable to consummate our initial business combination. Accordingly, these securities will be worthless if we do not consummate our initial business combination. Any warrants they hold, like those held by the public, will also be worthless if we do not consummate an initial business combination. 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stockholders’ best interest.</w:t>
      </w:r>
    </w:p>
    <w:p>
      <w:pPr>
        <w:spacing w:after="0" w:line="179" w:lineRule="exact"/>
        <w:rPr>
          <w:sz w:val="20"/>
          <w:szCs w:val="20"/>
          <w:color w:val="auto"/>
        </w:rPr>
      </w:pPr>
    </w:p>
    <w:p>
      <w:pPr>
        <w:jc w:val="both"/>
        <w:spacing w:after="0" w:line="304" w:lineRule="auto"/>
        <w:rPr>
          <w:sz w:val="20"/>
          <w:szCs w:val="20"/>
          <w:color w:val="auto"/>
        </w:rPr>
      </w:pPr>
      <w:r>
        <w:rPr>
          <w:rFonts w:ascii="Arial" w:cs="Arial" w:eastAsia="Arial" w:hAnsi="Arial"/>
          <w:sz w:val="17"/>
          <w:szCs w:val="17"/>
          <w:b w:val="1"/>
          <w:bCs w:val="1"/>
          <w:color w:val="auto"/>
        </w:rPr>
        <w:t>If we are unable to consummate a business combination, any loans made by our insiders, officers, directors or their affiliates would not be repaid, resulting in a potential conflict of interest in determining whether a potential transaction is in our stockholders’ best interest.</w:t>
      </w:r>
    </w:p>
    <w:p>
      <w:pPr>
        <w:spacing w:after="0" w:line="15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order to meet our working capital needs following the consummation of this offering, our insiders, officers, directors or their affiliates may, but are not obligated to, loan us funds, from time to time or at any time, in whatever amount they deem reasonable in their sole discretion. The loans would be non-interest bearing and would be payable at the consummation of a business combination. If we fail to consummate a business combination within the required time period, the loans would not be repaid. Consequently, our directors and officers may have a conflict of interest in determining whether the terms, conditions and timing of a particular business combination are appropriate and in our stockholders’ best interest.</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Nasdaq may delist our securities from quotation on its exchange which could limit investors’ ability to make transactions in our securities and subject us to additional trading restrictions.</w:t>
      </w:r>
    </w:p>
    <w:p>
      <w:pPr>
        <w:spacing w:after="0" w:line="17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anticipate that our securities will be listed on Nasdaq, a national securities exchange, upon consummation of this offering. Although after giving effect to this offering we expect to meet, on a pro forma basis, the minimum initial listing standards set forth in the Nasdaq listing standards,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stock price levels. Generally, we must maintain a minimum amount in stockholders’ equity (generally $2,500,000) and a minimum number of holders of our securities (generally 300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our stock price would generally be required to be at least $4.00 per share and our stockholders’ equity would generally be required to be at least $5.0 million. We cannot assure you that we will be able to meet those initial listing requirements at that time.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If Nasdaq delists our securities from trading on its exchange, we could face significant material adverse consequences, including:</w:t>
      </w:r>
    </w:p>
    <w:p>
      <w:pPr>
        <w:spacing w:after="0" w:line="220" w:lineRule="exact"/>
        <w:rPr>
          <w:sz w:val="20"/>
          <w:szCs w:val="20"/>
          <w:color w:val="auto"/>
        </w:rPr>
      </w:pPr>
    </w:p>
    <w:p>
      <w:pPr>
        <w:ind w:left="700" w:hanging="347"/>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19" w:lineRule="exact"/>
        <w:rPr>
          <w:rFonts w:ascii="Arial" w:cs="Arial" w:eastAsia="Arial" w:hAnsi="Arial"/>
          <w:sz w:val="18"/>
          <w:szCs w:val="18"/>
          <w:color w:val="auto"/>
        </w:rPr>
      </w:pPr>
    </w:p>
    <w:p>
      <w:pPr>
        <w:ind w:left="700" w:hanging="347"/>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reduced liquidity with respect to our securities;</w:t>
      </w:r>
    </w:p>
    <w:p>
      <w:pPr>
        <w:spacing w:after="0" w:line="219" w:lineRule="exact"/>
        <w:rPr>
          <w:rFonts w:ascii="Arial" w:cs="Arial" w:eastAsia="Arial" w:hAnsi="Arial"/>
          <w:sz w:val="18"/>
          <w:szCs w:val="18"/>
          <w:color w:val="auto"/>
        </w:rPr>
      </w:pPr>
    </w:p>
    <w:p>
      <w:pPr>
        <w:ind w:left="700" w:hanging="347"/>
        <w:spacing w:after="0" w:line="267"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determination that our shares are a “penny stock,” which will require brokers trading in our shares to adhere to more stringent rules, possibly resulting in a reduced level of trading activity in the secondary trading market for our shares;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34" w:name="page35"/>
    <w:bookmarkEnd w:id="34"/>
    <w:p>
      <w:pPr>
        <w:ind w:left="700" w:hanging="347"/>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our company; and</w:t>
      </w:r>
    </w:p>
    <w:p>
      <w:pPr>
        <w:spacing w:after="0" w:line="219" w:lineRule="exact"/>
        <w:rPr>
          <w:rFonts w:ascii="Arial" w:cs="Arial" w:eastAsia="Arial" w:hAnsi="Arial"/>
          <w:sz w:val="18"/>
          <w:szCs w:val="18"/>
          <w:color w:val="auto"/>
        </w:rPr>
      </w:pPr>
    </w:p>
    <w:p>
      <w:pPr>
        <w:ind w:left="700" w:hanging="347"/>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1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We may only be able to complete one business combination with the proceeds of this offering, which will cause us to be solely dependent on a single business which may have a limited number of products or services.</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It is likely we will consummate our initial business combination with a single target business, although we have the ability to simultaneously consummate our initial business combination with several target businesses. By consummating a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181" w:lineRule="exact"/>
        <w:rPr>
          <w:sz w:val="20"/>
          <w:szCs w:val="20"/>
          <w:color w:val="auto"/>
        </w:rPr>
      </w:pPr>
    </w:p>
    <w:p>
      <w:pPr>
        <w:ind w:left="700" w:hanging="347"/>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or</w:t>
      </w:r>
    </w:p>
    <w:p>
      <w:pPr>
        <w:spacing w:after="0" w:line="219" w:lineRule="exact"/>
        <w:rPr>
          <w:rFonts w:ascii="Arial" w:cs="Arial" w:eastAsia="Arial" w:hAnsi="Arial"/>
          <w:sz w:val="18"/>
          <w:szCs w:val="18"/>
          <w:color w:val="auto"/>
        </w:rPr>
      </w:pPr>
    </w:p>
    <w:p>
      <w:pPr>
        <w:ind w:left="700" w:hanging="347"/>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220"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This lack of diversification may subject us to numerous economic, competitive and regulatory developments, any or all of which may have a substantial adverse impact upon the particular industry in which we may operate subsequent to our initial business combination.</w:t>
      </w:r>
    </w:p>
    <w:p>
      <w:pPr>
        <w:spacing w:after="0" w:line="18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Alternatively, if we determine to simultaneously consummate our initial business combination with several businesses and such businesses are owned by different sellers, we will need for each of such sellers to agree that our purchase of its business is contingent on the simultaneous closings of the other business combinations, which may make it more difficult for us, and delay our ability, to complete the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target companies in a single operating business. If we are unable to adequately address these risks, it could negatively impact our profitability and results of operations.</w:t>
      </w:r>
    </w:p>
    <w:p>
      <w:pPr>
        <w:spacing w:after="0" w:line="163"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b w:val="1"/>
          <w:bCs w:val="1"/>
          <w:color w:val="auto"/>
        </w:rPr>
        <w:t>The ability of our public stockholders to exercise their conversion rights may not allow us to effectuate the most desirable business combination or optimize our capital structure.</w:t>
      </w:r>
    </w:p>
    <w:p>
      <w:pPr>
        <w:spacing w:after="0" w:line="17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If our initial business combination requires us to use substantially all of our cash to pay the purchase price, because we will not know how many public stockholders may exercise conversion rights, we may either need to reserve part of the trust account for possible payment upon such conversion, or we may need to arrange third party financing to help fund our initial business combination. In the event that the business combination involves the issuance of our stock as consideration, we may be required to issue a higher percentage of our stock to make up for a shortfall in funds. Raising additional funds to cover any shortfall may involve dilutive equity financing or incurring indebtedness at higher than desirable levels. This may limit our ability to effectuate the most attractive business combination available to us.</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We may be unable to consummate an initial business combination if a target business requires that we have a certain amount of cash at closing, in which case public stockholders may have to remain stockholders of our company and wait until our redemption of the public shares to receive a pro rata share of the trust account or attempt to sell their shares in the open market.</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 potential target may make it a closing condition to our initial business combination that we have a certain amount of cash in excess of the $5,000,001 of net tangible assets we are required to have pursuant to our organizational documents available at the time of closing. If the number of our public stockholders electing to exercise their conversion rights has the effect of reducing the amount of money available to us to consummate an initial business combination below such minimum amount required by the target business and we are not able to locate an alternative source of funding, we will not be able to consummate such initial business combination and we may not be able to locate another suitable target within the applicable time period, if at all. In that case, public stockholders may have to remain stockholders of our company and wait the full 21 months in order to be able to receive a portion of the trust account, or attempt to sell their shares in the open market prior to such time, in which case they may receive less than they would have in a liquidation of the trust account.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1087" w:right="239" w:bottom="1440" w:gutter="0" w:footer="0" w:header="0"/>
        </w:sectPr>
      </w:pPr>
    </w:p>
    <w:bookmarkStart w:id="35" w:name="page36"/>
    <w:bookmarkEnd w:id="35"/>
    <w:p>
      <w:pPr>
        <w:jc w:val="both"/>
        <w:spacing w:after="0" w:line="274" w:lineRule="auto"/>
        <w:rPr>
          <w:sz w:val="20"/>
          <w:szCs w:val="20"/>
          <w:color w:val="auto"/>
        </w:rPr>
      </w:pPr>
      <w:r>
        <w:rPr>
          <w:rFonts w:ascii="Arial" w:cs="Arial" w:eastAsia="Arial" w:hAnsi="Arial"/>
          <w:sz w:val="18"/>
          <w:szCs w:val="18"/>
          <w:b w:val="1"/>
          <w:bCs w:val="1"/>
          <w:color w:val="auto"/>
        </w:rPr>
        <w:t>Public stockholders, together with any affiliates of theirs or any other person with whom they are acting in concert or as a “group,” will be restricted from seeking conversion rights with respect to more than 20% of the shares of common stock sold in this offering.</w:t>
      </w:r>
    </w:p>
    <w:p>
      <w:pPr>
        <w:spacing w:after="0" w:line="17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connection with any meeting held to approve an initial business combination, we will offer each public stockholder (but not our insiders, officers or directors) the right to have his, her, or its shares of common stock converted into cash. Notwithstanding the foregoing, a public stockholder, together with any affiliate of his or hers, or any other person with whom he or she is acting in concert or as a “group” will be restricted from seeking conversion rights with respect to more than 20% of the shares of common stock sold in this offering. Generally, in this context, a stockholder will be deemed to be acting in concert or as a group with another stockholder when such stockholders agree to act together for the purpose of acquiring, voting, holding or disposing of our equity securities. Accordingly, if you purchase more than 20% of the shares of common stock sold in this offering and our proposed business combination is approved, you will not be able to seek conversion rights with respect to the full amount of your shares and may be forced to hold such additional shares of common stock or sell them in the open market. The value of such additional shares may not appreciate over time following our initial business combination, and the market price of our shares of common stock may not exceed the per-share conversion price.</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We may require public stockholders who wish to convert their shares of common stock in connection with a vote of stockholders on a proposed business combination to comply with specific requirements for conversion that may make it more difficult for them to exercise their conversion rights prior to the deadline for exercising their rights.</w:t>
      </w:r>
    </w:p>
    <w:p>
      <w:pPr>
        <w:spacing w:after="0" w:line="18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In connection with any stockholder meeting called to approve a proposed initial business combination, each public stockholder will have the right, regardless of whether he or she is voting for or against such proposed business combination, to demand that we convert his or her shares of common stock into a share of the trust account. We may require public stockholders seeking to convert their shares in connection with a stockholder vote on a proposed business combination, whether they are a record holder or hold their shares in “street name,” to either tender their certificates to our transfer agent or to deliver their shares to the transfer agent electronically using Depository Trust Company’s DWAC (Deposit/Withdrawal At Custodian) System, at the holder’s option, at least two business days on the initial business combination ( a tender of shares is always required in connection with a tender offer). In order to obtain a physical stock certificate, a stockholder’s broker and/or clearing broker, DTC and our transfer agent will need to act to facilitate this request. It is our understanding that stockholders should generally allot at least two weeks to obtain physical certificates from the transfer agent. However, because we do not have any control over this process or over the brokers or DTC, it may take significantly longer than two weeks to obtain a physical stock certificate. While we have been advised that it takes a short time to deliver shares through the DWAC System, this may not be the case. Under Delaware law and our bylaws, we are required to provide at least 10 days advance notice of any stockholder meeting, which would be the minimum amount of time a public stockholder would have to determine whether to exercise conversion rights. Accordingly, if it takes longer than we anticipate for stockholders to deliver their shares, stockholders who wish to convert may be unable to meet the deadline for exercising their conversion rights and thus may be unable to convert their shares.</w:t>
      </w:r>
    </w:p>
    <w:p>
      <w:pPr>
        <w:spacing w:after="0" w:line="17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If we require public stockholders who wish to convert their shares of common stock to comply with the delivery requirements discussed above for conversion, such converting stockholders may be unable to sell their securities when they wish to in the event that the proposed business combination is not approved.</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we require public stockholders who wish to convert their shares of common stock to comply with the delivery requirements discussed above for conversion and such proposed business combination is not consummated, we will promptly return such certificates to the tendering public stockholders. Accordingly, investors who attempted to convert their shares in such a circumstance will be unable to sell their securities after the failed business combination until we have returned their securities to them. The market price for our shares of common stock may decline during this time and you may not be able to sell your securities when you wish to, even while other stockholders that did not seek conversion may be able to sell their securities.</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Because of our structure, other companies may have a competitive advantage and we may not be able to consummate an attractive business combination.</w:t>
      </w:r>
    </w:p>
    <w:p>
      <w:pPr>
        <w:spacing w:after="0" w:line="17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expect to encounter intense competition from entities other than blank check companies having a business objective similar to ours, including venture capital funds, leveraged buyout funds and operating businesses competing for acquisitions. Many of these entities are well established and have extensive experience in identifying and effecting business combinations directly or through affiliates. Many of these competitors possess greater technical, human and other resources than we do and our financial resources will be relatively limited when contrasted with those of many of these competitors. Therefore, our ability to compete in consummating our initial business combination with certain sizable target businesses may be limited by our available financial resources. This inherent competitive limitation gives others an advantage in pursuing a business combination with certain target businesses. Furthermore, seeking stockholder approval of our initial business combination may delay the consummation of a transaction. Additionally, our warrants, and the future dilution they represent (entitling the holders to receive shares of our common stock on exercise of the warrants), may not be viewed favorably by certain target businesses. Any of the foregoing may place us at a competitive disadvantage in successfully negotiating our initial business combination.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Our ability to consummate an attractive business combination may be impacted by the market for initial public offerings.</w:t>
      </w:r>
    </w:p>
    <w:p>
      <w:pPr>
        <w:spacing w:after="0" w:line="22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efforts to identify a prospective target business will not be limited to any particular industry or geographic region, although it is very likely that our target will be a company or companies operating in or providing services to the technology, media and telecommunications industries and will want to be a public reporting company. If the market for initial public offerings is limited, we believe there will be a greater number of attractive target businesses open to consummating an initial business combination with us as a means to achieve publicly held status. Alternatively, if the market for initial public offerings is robust, we believe that there will be fewer attractive target businesses amenable to consummating an initial business combination with us to become a public reporting company. Accordingly, during periods with strong public offering markets, it may be more difficult for us to complete an initial business combination.</w:t>
      </w:r>
    </w:p>
    <w:p>
      <w:pPr>
        <w:spacing w:after="0" w:line="163"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b w:val="1"/>
          <w:bCs w:val="1"/>
          <w:color w:val="auto"/>
        </w:rPr>
        <w:t>We may be unable to obtain additional financing, if required, to complete our initial business combination or to fund the operations and growth of the target business, which could compel us to restructure or abandon a particular business combination.</w:t>
      </w:r>
    </w:p>
    <w:p>
      <w:pPr>
        <w:spacing w:after="0" w:line="17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Although we believe that the net proceeds of this offering will be sufficient to allow us to consummate a business combination, because we have not yet identified any prospective target business, the capital requirements for any particular transaction remain to be determined. If the net proceeds of this offering prove to be insufficient, either because of the size of the business combination, the depletion of the available net proceeds in search of a target business, or the obligation to convert into cash a significant number of shares of common stock, we will be required to seek additional financing. Such financing may not be available on acceptable terms, if at all. To the extent that additional financing proves to be unavailable when needed to consummate a particular business combination, we would be compelled to either restructure the transaction or abandon that particular business combination and seek an alternative target business candidate. In addition, if we consummate a business combination, we may require additional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insiders, officers and directors, will control a substantial interest in us and thus may influence certain actions requiring a stockholder vote.</w:t>
      </w:r>
    </w:p>
    <w:p>
      <w:pPr>
        <w:spacing w:after="0" w:line="24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Upon consummation of our offering and sale of the private units, our insiders, officers and directors, will collectively beneficially own approximately 23.1% of our issued and outstanding shares of common stock (assuming they do not purchase any units in this offering and assuming the over-allotment option has not been exercised and an aggregate of 187,500 insider shares have been forfeited as a result thereof). None of our insiders, officers, directors, director nominees or their affiliates has committed to purchase units in this offering or any units or shares from persons in the open market or in private transactions. However, our officers, directors and their affiliates could purchase shares in this offering pursuant to the directed unit program. In addition, our insiders, officers, directors or their affiliates could determine in the future to make such purchases in the open market or in private transactions, to the extent permitted by law, in order to influence the vote. In connection with any vote for a proposed business combination, our insiders, officers and directors have agreed to vote the shares of common stock owned by them immediately before this offering as well as the private shares and any shares of common stock acquired in this offering or in the aftermarket in favor of such proposed business combination.</w:t>
      </w:r>
    </w:p>
    <w:p>
      <w:pPr>
        <w:spacing w:after="0" w:line="18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board of directors is and will be divided into three classes, each of which will generally serve for a term of three years with only one class of directors being elected in each year. It is unlikely that there will be an annual meeting of stockholders to elect new directors prior to the consummation of our initial business combination, in which case all of the current directors will continue in office until at least the consummation of the business combination. Accordingly, you may not be able to exercise your voting rights under corporate law for up to 21 months. If there is an annual meeting, as a consequence of our “staggered” board of directors, fewer than half of the board of directors will be considered for election and our insiders, because of their ownership position, will have considerable influence regarding the outcome. Accordingly, our insiders will continue to exert control at least until the consummation of our initial business combination.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We may not hold an annual meeting of stockholders until after the consummation of our initial business combination.</w:t>
      </w:r>
    </w:p>
    <w:p>
      <w:pPr>
        <w:spacing w:after="0" w:line="22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accordance with Nasdaq corporate governance requirements, we are not required to hold an annual meeting until one year after our first fiscal year end following our listing on Nasdaq. Under Section 211(b) of the Delaware General Corporation Law, we are, however, required to hold an annual meeting of stockholders for the purposes of electing directors in accordance with our bylaws unless such election is made by written consent in lieu of such a meeting. It is unlikely that there will be an annual meeting of stockholders to elect new directors prior to the consummation of our initial business combination, and thus we may not be in compliance with Section 211(b) of the Delaware General Corporation Law,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Delaware General Corporation Law.</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Our insiders paid an aggregate of $25,000, or approximately $0.02 per share, for the insider shares and our insiders (and/or their designees) will pay $10.00 per unit for the private units, for an average price of approximately $1.68 per share (assuming the over-allotment option has not been exercised and an aggregate of 187,500 insider shares have been forfeited as a result thereof), and, accordingly, you will experience immediate and substantial dilution from the purchase of our shares of common stock.</w:t>
      </w:r>
    </w:p>
    <w:p>
      <w:pPr>
        <w:spacing w:after="0" w:line="19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difference between the public offering price per share and the pro forma net tangible book value per share of common stock after this offering constitutes the dilution to the investors in this offering. Our insiders acquired the insider shares and our insiders (and/or their designees) will acquire the private shares for $10.00 per share, significantly contributing to this dilution. Upon consummation of this offering, you and the other new investors will incur an immediate and substantial dilution of approximately 75.6% or $7.56 per share (the difference between the pro forma net tangible book value per share of $2.44, and the initial offering price of $10.00 per share), taking into account that the net tangible book value per share prior to this offering was ($0.07). This is because investors in this offering will be contributing approximately 95.2% of the total amount paid to us for our outstanding shares of common stock after this offering but will only own 76.9% of our outstanding shares of common stock. Accordingly, the per-share purchase price you will be paying substantially exceeds our per share net tangible book value.</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If our insiders exercise their registration rights, it may have an adverse effect on the market price of our shares of common stock and the existence of these rights may make it more difficult to effect our initial business combination.</w:t>
      </w:r>
    </w:p>
    <w:p>
      <w:pPr>
        <w:spacing w:after="0" w:line="17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insiders are entitled to make a demand that we register the resale of the insider shares at any time commencing three months prior to the date on which their shares may be released from escrow. Additionally, the purchasers of the private units and our insiders, officers, directors or their affiliates are entitled to demand that we register the resale of the private units (and underlying securities of each) and any units our insiders, officers, directors or their affiliates may be issued in payment of working capital loans made to us commencing on the date that we consummate our initial business combination. The presence of these additional shares of common stock trading in the public market may have an adverse effect on the market price of our securities. In addition, the existence of these rights may make it more difficult to effectuate our initial business combination or increase the cost of consummating our initial business combination with the target business, as the stockholders of the target business may be discouraged from entering into a business combination with us or will request a higher price for their securities because of the potential effect the exercise of such rights may have on the trading market for our shares of common stock.</w:t>
      </w:r>
    </w:p>
    <w:p>
      <w:pPr>
        <w:spacing w:after="0" w:line="16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We may enter into agreements with consultants or financial advisers that provide for the payment of fees upon the consummation of our initial business combination, and, therefore, such consultants or financial advisers may have conflicts of interest.</w:t>
      </w:r>
    </w:p>
    <w:p>
      <w:pPr>
        <w:spacing w:after="0" w:line="17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may enter into agreements with consultants or financial advisers that provide for the payment of fees upon the consummation of our initial business combination. If we pay consultants or financial advisers fees that are tied to the consummation of our initial business combination, they may have conflicts of interest when providing services to us, and their interests in such fees may influence their advice with respect to a potential business combination. For example, if a consultant’s or financial advisor’s fee is based on the size of the transaction, then they may be influenced to present us larger transactions that may have lower growth opportunities or long-term value versus smaller transactions that may have greater growth opportunities or provide greater value to our stockholders. Similarly, consultants whose fees are based on consummation of a business combination may be influenced to present potential business combinations to us regardless of whether they provide longer-term value for our stockholders. While we will endeavor to structure agreements with consultants and financial advisors to minimize the possibility and extent of these conflicts of interest, we cannot assure you that we will be able to do so and that we will not be impacted by the adverse influences they create.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38" w:name="page39"/>
    <w:bookmarkEnd w:id="38"/>
    <w:p>
      <w:pPr>
        <w:spacing w:after="0" w:line="274" w:lineRule="auto"/>
        <w:rPr>
          <w:sz w:val="20"/>
          <w:szCs w:val="20"/>
          <w:color w:val="auto"/>
        </w:rPr>
      </w:pPr>
      <w:r>
        <w:rPr>
          <w:rFonts w:ascii="Arial" w:cs="Arial" w:eastAsia="Arial" w:hAnsi="Arial"/>
          <w:sz w:val="18"/>
          <w:szCs w:val="18"/>
          <w:b w:val="1"/>
          <w:bCs w:val="1"/>
          <w:color w:val="auto"/>
        </w:rPr>
        <w:t>If we are deemed to be an investment company, we may be required to institute burdensome compliance requirements and our activities may be restricted, which may make it difficult for us to complete our initial business combination.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220" w:lineRule="exact"/>
        <w:rPr>
          <w:sz w:val="20"/>
          <w:szCs w:val="20"/>
          <w:color w:val="auto"/>
        </w:rPr>
      </w:pPr>
    </w:p>
    <w:p>
      <w:pPr>
        <w:ind w:left="700" w:hanging="347"/>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219" w:lineRule="exact"/>
        <w:rPr>
          <w:rFonts w:ascii="Arial" w:cs="Arial" w:eastAsia="Arial" w:hAnsi="Arial"/>
          <w:sz w:val="18"/>
          <w:szCs w:val="18"/>
          <w:color w:val="auto"/>
        </w:rPr>
      </w:pPr>
    </w:p>
    <w:p>
      <w:pPr>
        <w:ind w:left="700" w:hanging="347"/>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each of which may make it difficult for us to complete our business combination.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may have imposed upon us certain burdensome requirements, including:</w:t>
      </w:r>
    </w:p>
    <w:p>
      <w:pPr>
        <w:spacing w:after="0" w:line="220" w:lineRule="exact"/>
        <w:rPr>
          <w:sz w:val="20"/>
          <w:szCs w:val="20"/>
          <w:color w:val="auto"/>
        </w:rPr>
      </w:pPr>
    </w:p>
    <w:p>
      <w:pPr>
        <w:ind w:left="700" w:hanging="347"/>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registration as an investment company;</w:t>
      </w:r>
    </w:p>
    <w:p>
      <w:pPr>
        <w:spacing w:after="0" w:line="219" w:lineRule="exact"/>
        <w:rPr>
          <w:rFonts w:ascii="Arial" w:cs="Arial" w:eastAsia="Arial" w:hAnsi="Arial"/>
          <w:sz w:val="18"/>
          <w:szCs w:val="18"/>
          <w:color w:val="auto"/>
        </w:rPr>
      </w:pPr>
    </w:p>
    <w:p>
      <w:pPr>
        <w:ind w:left="700" w:hanging="347"/>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219" w:lineRule="exact"/>
        <w:rPr>
          <w:rFonts w:ascii="Arial" w:cs="Arial" w:eastAsia="Arial" w:hAnsi="Arial"/>
          <w:sz w:val="18"/>
          <w:szCs w:val="18"/>
          <w:color w:val="auto"/>
        </w:rPr>
      </w:pPr>
    </w:p>
    <w:p>
      <w:pPr>
        <w:ind w:left="700" w:hanging="347"/>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reporting, record keeping, voting, proxy and disclosure requirements and other rules and regulations.</w:t>
      </w:r>
    </w:p>
    <w:p>
      <w:pPr>
        <w:spacing w:after="0" w:line="22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order not to be regulated as an investment company under the Investment Company Act, unless we can qualify for an exclusion, we must ensure that we are engaged primarily in a business other than investing, reinvesting or trading in securities and that our activities do not include investing, reinvesting, owning, holding or trading “investment securities” constituting more than 40% of our total assets (exclusive of U.S. government securities and cash items) on an unconsolidated basis. Our business will be to identify and complete a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9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180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earlier to occur of either: (i) the completion of our primary business objective, which is a business combination; or (ii) absent a business combination, our return of the funds held in the trust account to our public stockholders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are unable to complete our initial business combination, our public stockholders may receive only approximately $10.00 per share on the liquidation of our trust account and our public warrants will expire worthless.</w:t>
      </w:r>
    </w:p>
    <w:p>
      <w:pPr>
        <w:spacing w:after="0" w:line="18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The determination of the offering price of our units and the size of this offering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18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warrants were negotiated between us and the underwriters. In determining the size of this offering, management held customary organizational meetings with representatives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common stock and warrants underlying the units, include: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39" w:name="page40"/>
    <w:bookmarkEnd w:id="39"/>
    <w:p>
      <w:pPr>
        <w:ind w:left="700" w:hanging="347"/>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history of other similarly structured blank check companies;</w:t>
      </w:r>
    </w:p>
    <w:p>
      <w:pPr>
        <w:spacing w:after="0" w:line="219" w:lineRule="exact"/>
        <w:rPr>
          <w:rFonts w:ascii="Arial" w:cs="Arial" w:eastAsia="Arial" w:hAnsi="Arial"/>
          <w:sz w:val="18"/>
          <w:szCs w:val="18"/>
          <w:color w:val="auto"/>
        </w:rPr>
      </w:pPr>
    </w:p>
    <w:p>
      <w:pPr>
        <w:ind w:left="700" w:hanging="347"/>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219" w:lineRule="exact"/>
        <w:rPr>
          <w:rFonts w:ascii="Arial" w:cs="Arial" w:eastAsia="Arial" w:hAnsi="Arial"/>
          <w:sz w:val="18"/>
          <w:szCs w:val="18"/>
          <w:color w:val="auto"/>
        </w:rPr>
      </w:pPr>
    </w:p>
    <w:p>
      <w:pPr>
        <w:ind w:left="700" w:hanging="347"/>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prospects for consummating an initial business combination with an operating business at attractive values;</w:t>
      </w:r>
    </w:p>
    <w:p>
      <w:pPr>
        <w:spacing w:after="0" w:line="219" w:lineRule="exact"/>
        <w:rPr>
          <w:rFonts w:ascii="Arial" w:cs="Arial" w:eastAsia="Arial" w:hAnsi="Arial"/>
          <w:sz w:val="18"/>
          <w:szCs w:val="18"/>
          <w:color w:val="auto"/>
        </w:rPr>
      </w:pPr>
    </w:p>
    <w:p>
      <w:pPr>
        <w:ind w:left="700" w:hanging="347"/>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219" w:lineRule="exact"/>
        <w:rPr>
          <w:rFonts w:ascii="Arial" w:cs="Arial" w:eastAsia="Arial" w:hAnsi="Arial"/>
          <w:sz w:val="18"/>
          <w:szCs w:val="18"/>
          <w:color w:val="auto"/>
        </w:rPr>
      </w:pPr>
    </w:p>
    <w:p>
      <w:pPr>
        <w:ind w:left="700" w:hanging="347"/>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securities exchange listing requirements;</w:t>
      </w:r>
    </w:p>
    <w:p>
      <w:pPr>
        <w:spacing w:after="0" w:line="219" w:lineRule="exact"/>
        <w:rPr>
          <w:rFonts w:ascii="Arial" w:cs="Arial" w:eastAsia="Arial" w:hAnsi="Arial"/>
          <w:sz w:val="18"/>
          <w:szCs w:val="18"/>
          <w:color w:val="auto"/>
        </w:rPr>
      </w:pPr>
    </w:p>
    <w:p>
      <w:pPr>
        <w:ind w:left="700" w:hanging="347"/>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demand;</w:t>
      </w:r>
    </w:p>
    <w:p>
      <w:pPr>
        <w:spacing w:after="0" w:line="219" w:lineRule="exact"/>
        <w:rPr>
          <w:rFonts w:ascii="Arial" w:cs="Arial" w:eastAsia="Arial" w:hAnsi="Arial"/>
          <w:sz w:val="18"/>
          <w:szCs w:val="18"/>
          <w:color w:val="auto"/>
        </w:rPr>
      </w:pPr>
    </w:p>
    <w:p>
      <w:pPr>
        <w:ind w:left="700" w:hanging="347"/>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expected liquidity of our securities;</w:t>
      </w:r>
    </w:p>
    <w:p>
      <w:pPr>
        <w:spacing w:after="0" w:line="219" w:lineRule="exact"/>
        <w:rPr>
          <w:rFonts w:ascii="Arial" w:cs="Arial" w:eastAsia="Arial" w:hAnsi="Arial"/>
          <w:sz w:val="18"/>
          <w:szCs w:val="18"/>
          <w:color w:val="auto"/>
        </w:rPr>
      </w:pPr>
    </w:p>
    <w:p>
      <w:pPr>
        <w:ind w:left="700" w:hanging="347"/>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the offering; and</w:t>
      </w:r>
    </w:p>
    <w:p>
      <w:pPr>
        <w:spacing w:after="0" w:line="219" w:lineRule="exact"/>
        <w:rPr>
          <w:rFonts w:ascii="Arial" w:cs="Arial" w:eastAsia="Arial" w:hAnsi="Arial"/>
          <w:sz w:val="18"/>
          <w:szCs w:val="18"/>
          <w:color w:val="auto"/>
        </w:rPr>
      </w:pPr>
    </w:p>
    <w:p>
      <w:pPr>
        <w:ind w:left="700" w:hanging="347"/>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220"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However, although these factors were considered, the determination of our offering price is more arbitrary than the pricing of securities for an operating company in a particular industry since we have no historical operations or financial results to compare them to.</w:t>
      </w:r>
    </w:p>
    <w:p>
      <w:pPr>
        <w:spacing w:after="0" w:line="17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The requirement that we complete our initial business combination within 18 or 21 months from the closing of this offering may give potential target businesses leverage over us in negotiating our initial business combination.</w:t>
      </w:r>
    </w:p>
    <w:p>
      <w:pPr>
        <w:spacing w:after="0" w:line="17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18 months from the closing of this offering (or 21 months from the closing of this offering if we have executed a letter of intent or definitive agreement for an initial business combination within 18 months from the closing of this offering but have not completed the business combination within such 18-month period) to complete our initial business combination. Any potential target business with which we enter into negotiations concerning a business combination will be aware of this requirement. Consequently, such target business may obtain leverage over us in negotiating a business combination, knowing that if we do not complete a business combination with that particular target business, we may be unable to complete a business combination with any other target business. This risk will increase as we get closer to the time limit referenced above.</w:t>
      </w:r>
    </w:p>
    <w:p>
      <w:pPr>
        <w:spacing w:after="0" w:line="173" w:lineRule="exact"/>
        <w:rPr>
          <w:sz w:val="20"/>
          <w:szCs w:val="20"/>
          <w:color w:val="auto"/>
        </w:rPr>
      </w:pPr>
    </w:p>
    <w:p>
      <w:pPr>
        <w:jc w:val="both"/>
        <w:spacing w:after="0" w:line="304" w:lineRule="auto"/>
        <w:rPr>
          <w:sz w:val="20"/>
          <w:szCs w:val="20"/>
          <w:color w:val="auto"/>
        </w:rPr>
      </w:pPr>
      <w:r>
        <w:rPr>
          <w:rFonts w:ascii="Arial" w:cs="Arial" w:eastAsia="Arial" w:hAnsi="Arial"/>
          <w:sz w:val="17"/>
          <w:szCs w:val="17"/>
          <w:b w:val="1"/>
          <w:bCs w:val="1"/>
          <w:color w:val="auto"/>
        </w:rPr>
        <w:t>We may not obtain a fairness opinion with respect to the target business that we seek to consummate our initial business combination with and therefore you may be relying solely on the judgment of our board of directors in approving a proposed business combination.</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will only be required to obtain a fairness opinion with respect to the target business that we seek to consummate our initial business combination with if it is an entity that is affiliated with any of our insiders, officers or directors. In all other instances, we will have no obligation to obtain an opinion. If no opinion is obtained, our stockholders will be relying on the judgment of our board of directors, who will determine fair market value based on standards generally accepted by the financial community. Such standards used will be disclosed in our tender offer documents or proxy solicitation materials, as applicable, related to our initial business combination</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6"/>
          <w:szCs w:val="16"/>
          <w:b w:val="1"/>
          <w:bCs w:val="1"/>
          <w:color w:val="auto"/>
        </w:rPr>
        <w:t>Resources could be wasted in researching business combinations that are not completed, which could materially adversely affect subsequent attempts to locate and acquire or merge with another business. If we are unable to complete our initial business combination, our public stockholders may receive only approximately $10.00 per share on the liquidation of our trust account and our public warrants will expire worthless.</w:t>
      </w:r>
    </w:p>
    <w:p>
      <w:pPr>
        <w:spacing w:after="0" w:line="15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stockholders may receive only approximately $10.00 per share on the liquidation of our trust account and our public warrants will expire worthless.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40" w:name="page41"/>
    <w:bookmarkEnd w:id="40"/>
    <w:p>
      <w:pPr>
        <w:jc w:val="both"/>
        <w:spacing w:after="0" w:line="274" w:lineRule="auto"/>
        <w:rPr>
          <w:sz w:val="20"/>
          <w:szCs w:val="20"/>
          <w:color w:val="auto"/>
        </w:rPr>
      </w:pPr>
      <w:r>
        <w:rPr>
          <w:rFonts w:ascii="Arial" w:cs="Arial" w:eastAsia="Arial" w:hAnsi="Arial"/>
          <w:sz w:val="18"/>
          <w:szCs w:val="18"/>
          <w:b w:val="1"/>
          <w:bCs w:val="1"/>
          <w:color w:val="auto"/>
        </w:rPr>
        <w:t>Compliance with the Sarbanes-Oxley Act of 2002 will require substantial financial and management resources and may increase the time and costs of completing an initial business combination.</w:t>
      </w:r>
    </w:p>
    <w:p>
      <w:pPr>
        <w:spacing w:after="0" w:line="17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Section 404 of the Sarbanes-Oxley Act of 2002, or the Sarbanes-Oxley Act, requires that we evaluate and report on our system of internal control and may require that we have such system of internal control audited. If we fail to maintain the adequacy of our internal control, we could be subject to regulatory scrutiny, civil or criminal penalties and/or stockholder litigation. Any inability to provide reliable financial reports could harm our business. Section 404 of the Sarbanes-Oxley Act also requires that our independent registered public accounting firm report on management’s evaluation of our system of internal control, although as an “emerging growth company” as defined in the JOBS Act, we may take advantage of an exemption to this requirement. A target company may not be in compliance with the provisions of the Sarbanes-Oxley Act regarding adequacy of their internal control. The development of the internal control of any such entity to achieve compliance with the Sarbanes-Oxley Act may increase the time and costs necessary to complete any such initial business combination.</w:t>
      </w:r>
    </w:p>
    <w:p>
      <w:pPr>
        <w:spacing w:after="0" w:line="16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We are an emerging growth company within the meaning of the Securities Act, and if we take advantage of certain exemptions from disclosure requirements available to emerging growth companies, this could make our securities less attractive to investors and may make it more difficult to compare our performance with other public companies.</w:t>
      </w:r>
    </w:p>
    <w:p>
      <w:pPr>
        <w:spacing w:after="0" w:line="18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JOBS Act permits “emerging growth companies” like us to take advantage of certain exemptions from various reporting requirements applicable to other public companies that are not emerging growth companies. As long as we qualify as an emerging growth company, we would be permitted, and we intend to, omit the auditor’s attestation on internal control over financial reporting that would otherwise be required by the Sarbanes-Oxley Act, as described above. We also intend to take advantage of the exemption provided under the JOBS Act from the requirements to submit say-on-pay, say-on-frequency and say-on-golden parachute votes to our stockholders and we will avail ourselves of reduced executive compensation disclosure that is already available to smaller reporting companies.</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We have elected to take advantage of these benefits until we are no longer an emerging growth company or until we affirmatively and irrevocably opt out of this exemption. Our financial statements may therefore not be comparable to those of companies that comply with such new or revised accounting standards.</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Following this offering, we will continue to be an emerging growth company until the earliest to occur of (i) the last day of the fiscal year during which we had total annual gross revenues of at least $1 billion (as indexed for inflation), (ii) the last day of the fiscal year following the fifth anniversary of the date of the first sale of units under this registration statement, (iii) the date on which we have, during the previous three-year period, issued more than $1 billion in non-convertible debt, or (iv) the date on which we are deemed to be a “large accelerated filer,” as defined under the Exchange Act.</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Until such time that we lose “emerging growth company” status, it is unclear if investors will find our securities less attractive because we may rely on these exemptions. If some investors find our securities less attractive as a result, there may be a less active trading market for our securities and our stock prices may be more volatile and could cause our stock prices to decline.</w:t>
      </w:r>
    </w:p>
    <w:p>
      <w:pPr>
        <w:spacing w:after="0" w:line="18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If we effect our initial business combination with a company located outside of the United States, we would be subject to a variety of additional risks that may negatively impact our operations.</w:t>
      </w:r>
    </w:p>
    <w:p>
      <w:pPr>
        <w:spacing w:after="0" w:line="17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We may effect our initial business combination with a company located outside of the United States. If we did, we would be subject to any special considerations or risks associated with companies operating in the target business’ home jurisdiction, including any of the following:</w:t>
      </w:r>
    </w:p>
    <w:p>
      <w:pPr>
        <w:spacing w:after="0" w:line="180" w:lineRule="exact"/>
        <w:rPr>
          <w:sz w:val="20"/>
          <w:szCs w:val="20"/>
          <w:color w:val="auto"/>
        </w:rPr>
      </w:pPr>
    </w:p>
    <w:p>
      <w:pPr>
        <w:ind w:left="700" w:hanging="347"/>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rules and regulations or currency conversion or corporate withholding taxes on individuals;</w:t>
      </w:r>
    </w:p>
    <w:p>
      <w:pPr>
        <w:spacing w:after="0" w:line="219" w:lineRule="exact"/>
        <w:rPr>
          <w:rFonts w:ascii="Arial" w:cs="Arial" w:eastAsia="Arial" w:hAnsi="Arial"/>
          <w:sz w:val="18"/>
          <w:szCs w:val="18"/>
          <w:color w:val="auto"/>
        </w:rPr>
      </w:pPr>
    </w:p>
    <w:p>
      <w:pPr>
        <w:ind w:left="700" w:hanging="347"/>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219" w:lineRule="exact"/>
        <w:rPr>
          <w:rFonts w:ascii="Arial" w:cs="Arial" w:eastAsia="Arial" w:hAnsi="Arial"/>
          <w:sz w:val="18"/>
          <w:szCs w:val="18"/>
          <w:color w:val="auto"/>
        </w:rPr>
      </w:pPr>
    </w:p>
    <w:p>
      <w:pPr>
        <w:ind w:left="700" w:hanging="347"/>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219" w:lineRule="exact"/>
        <w:rPr>
          <w:rFonts w:ascii="Arial" w:cs="Arial" w:eastAsia="Arial" w:hAnsi="Arial"/>
          <w:sz w:val="18"/>
          <w:szCs w:val="18"/>
          <w:color w:val="auto"/>
        </w:rPr>
      </w:pPr>
    </w:p>
    <w:p>
      <w:pPr>
        <w:ind w:left="700" w:hanging="347"/>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219" w:lineRule="exact"/>
        <w:rPr>
          <w:rFonts w:ascii="Arial" w:cs="Arial" w:eastAsia="Arial" w:hAnsi="Arial"/>
          <w:sz w:val="18"/>
          <w:szCs w:val="18"/>
          <w:color w:val="auto"/>
        </w:rPr>
      </w:pPr>
    </w:p>
    <w:p>
      <w:pPr>
        <w:ind w:left="700" w:hanging="347"/>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 issues, such as tax law changes and variations in tax laws as compared to the United States;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41" w:name="page42"/>
    <w:bookmarkEnd w:id="41"/>
    <w:p>
      <w:pPr>
        <w:ind w:left="700" w:hanging="347"/>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219" w:lineRule="exact"/>
        <w:rPr>
          <w:rFonts w:ascii="Arial" w:cs="Arial" w:eastAsia="Arial" w:hAnsi="Arial"/>
          <w:sz w:val="18"/>
          <w:szCs w:val="18"/>
          <w:color w:val="auto"/>
        </w:rPr>
      </w:pPr>
    </w:p>
    <w:p>
      <w:pPr>
        <w:ind w:left="700" w:hanging="347"/>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219" w:lineRule="exact"/>
        <w:rPr>
          <w:rFonts w:ascii="Arial" w:cs="Arial" w:eastAsia="Arial" w:hAnsi="Arial"/>
          <w:sz w:val="18"/>
          <w:szCs w:val="18"/>
          <w:color w:val="auto"/>
        </w:rPr>
      </w:pPr>
    </w:p>
    <w:p>
      <w:pPr>
        <w:ind w:left="700" w:hanging="347"/>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219" w:lineRule="exact"/>
        <w:rPr>
          <w:rFonts w:ascii="Arial" w:cs="Arial" w:eastAsia="Arial" w:hAnsi="Arial"/>
          <w:sz w:val="18"/>
          <w:szCs w:val="18"/>
          <w:color w:val="auto"/>
        </w:rPr>
      </w:pPr>
    </w:p>
    <w:p>
      <w:pPr>
        <w:ind w:left="700" w:hanging="347"/>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219" w:lineRule="exact"/>
        <w:rPr>
          <w:rFonts w:ascii="Arial" w:cs="Arial" w:eastAsia="Arial" w:hAnsi="Arial"/>
          <w:sz w:val="18"/>
          <w:szCs w:val="18"/>
          <w:color w:val="auto"/>
        </w:rPr>
      </w:pPr>
    </w:p>
    <w:p>
      <w:pPr>
        <w:ind w:left="700" w:hanging="347"/>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and wars; and</w:t>
      </w:r>
    </w:p>
    <w:p>
      <w:pPr>
        <w:spacing w:after="0" w:line="219" w:lineRule="exact"/>
        <w:rPr>
          <w:rFonts w:ascii="Arial" w:cs="Arial" w:eastAsia="Arial" w:hAnsi="Arial"/>
          <w:sz w:val="18"/>
          <w:szCs w:val="18"/>
          <w:color w:val="auto"/>
        </w:rPr>
      </w:pPr>
    </w:p>
    <w:p>
      <w:pPr>
        <w:ind w:left="700" w:hanging="347"/>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 may not be able to adequately address these additional risks. If we are unable to do so, our operations may suffer.</w:t>
      </w:r>
    </w:p>
    <w:p>
      <w:pPr>
        <w:spacing w:after="0" w:line="21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If we effect our initial business combination with a target business located outside of the United States, the laws applicable to such target business will likely govern all of our material agreements and we may not be able to enforce our legal rights.</w:t>
      </w:r>
    </w:p>
    <w:p>
      <w:pPr>
        <w:spacing w:after="0" w:line="17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If we effect our initial business combination with a target business located outside of the United States, the laws of the country in which such target business is domiciled will govern almost all of the material agreements relating to its operations. The target business may not be able to enforce any of its material agreements in such jurisdiction and appropriate remedies to enforce its rights under such material agreements may not be available in this new jurisdiction.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 Additionally, if we consummate our initial business combination with a company located outside of the United States, it is likely that substantially all of our assets would be located outside of the United States and some of our officers and directors might reside outside of the United States. As a result, it may not be possible for investors in the United States to enforce their legal rights, to effect service of process upon our directors or officers or to enforce judgments of United States courts predicated upon civil liabilities and criminal penalties of our directors and officers under Federal securities laws.</w:t>
      </w:r>
    </w:p>
    <w:p>
      <w:pPr>
        <w:spacing w:after="0" w:line="16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Provisions in our certificate of incorporation and bylaws and Delaware law may inhibit a takeover of us, which could limit the price investors might be willing to pay in the future for our common stock and could entrench management.</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certificate of incorporation contains provisions that may discourage unsolicited takeover proposals that stockholders may consider to be in their best interests. These provisions include a staggered board of directors and the ability of the board of directors to designate the terms of and issue new series of preferred shares, which may make more difficult the removal of management and may discourage transactions that otherwise could involve payment of a premium over prevailing market prices for our securities.</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w:t>
      </w:r>
    </w:p>
    <w:p>
      <w:pPr>
        <w:spacing w:after="0" w:line="18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Because we must furnish our stockholders with target business financial statements prepared in accordance with U.S. generally accepted accounting principles or international financial reporting standards, we may lose the ability to complete an otherwise advantageous initial business combination with some prospective target businesses.</w:t>
      </w:r>
    </w:p>
    <w:p>
      <w:pPr>
        <w:spacing w:after="0" w:line="18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federal proxy rules require that a proxy statement with respect to a vote on a business combination meeting certain financial significance tests include historical and/or pro forma financial statement disclosure in periodic reports. These financial statements may be required to be prepared in accordance with, or be reconciled to, accounting principles generally accepted in the United States of America, or GAAP, or international financial reporting standards, or IFRS as issued by the International Accounting Standards Board or the IASB, depending on the circumstances and the historical financial statements may be required to be audited in accordance with the standards of the Public Company Accounting Oversight Board (United States), or PCAOB. We will include the same financial statement disclosure in connection with any tender offer documents we use, whether or not they are required under the tender offer rules. These financial statement requirements may limit the pool of potential target businesses we may consummate our initial business combination with because some targets may be unable to provide such statements in time for us to disclose such statements in accordance with federal proxy rules and complete our initial business combination within the prescribed time frame.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2" w:name="page43"/>
    <w:bookmarkEnd w:id="42"/>
    <w:p>
      <w:pPr>
        <w:jc w:val="both"/>
        <w:spacing w:after="0" w:line="274" w:lineRule="auto"/>
        <w:rPr>
          <w:sz w:val="20"/>
          <w:szCs w:val="20"/>
          <w:color w:val="auto"/>
        </w:rPr>
      </w:pPr>
      <w:r>
        <w:rPr>
          <w:rFonts w:ascii="Arial" w:cs="Arial" w:eastAsia="Arial" w:hAnsi="Arial"/>
          <w:sz w:val="18"/>
          <w:szCs w:val="18"/>
          <w:b w:val="1"/>
          <w:bCs w:val="1"/>
          <w:color w:val="auto"/>
        </w:rPr>
        <w:t>There is currently no market for our securities and a market for our securities may not develop, which would adversely affect the liquidity and price of our securities.</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is currently no market for our securities.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Furthermore, an active trading market for our securities may never develop or, if developed, it may not be sustained. You may be unable to sell your securities unless a market can be established and sustained.</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Changes in laws or regulations, or a failure to comply with any laws and regulations, may adversely affect our business, investments and results of operations.</w:t>
      </w:r>
    </w:p>
    <w:p>
      <w:pPr>
        <w:spacing w:after="0" w:line="17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may not appropriately allocate a tax basis to the components of the unit.</w:t>
      </w:r>
    </w:p>
    <w:p>
      <w:pPr>
        <w:spacing w:after="0" w:line="2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investors in this offering will be investing in units comprised of one share of common stock and one warrant, investors will need to allocate a tax basis to each item in proportion to their values at the time of the investment. We are not required to provide any guidance as to the proper allocation of tax basis. Failure to properly allocate a tax basis could result in adverse tax consequences to an investor.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statements contained in this prospectus that are not purely historical are forward-looking statements.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 our:</w:t>
      </w:r>
    </w:p>
    <w:p>
      <w:pPr>
        <w:spacing w:after="0" w:line="179" w:lineRule="exact"/>
        <w:rPr>
          <w:sz w:val="20"/>
          <w:szCs w:val="20"/>
          <w:color w:val="auto"/>
        </w:rPr>
      </w:pPr>
    </w:p>
    <w:p>
      <w:pPr>
        <w:ind w:left="700" w:hanging="347"/>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to complete our initial business combination;</w:t>
      </w:r>
    </w:p>
    <w:p>
      <w:pPr>
        <w:spacing w:after="0" w:line="219" w:lineRule="exact"/>
        <w:rPr>
          <w:rFonts w:ascii="Arial" w:cs="Arial" w:eastAsia="Arial" w:hAnsi="Arial"/>
          <w:sz w:val="18"/>
          <w:szCs w:val="18"/>
          <w:color w:val="auto"/>
        </w:rPr>
      </w:pPr>
    </w:p>
    <w:p>
      <w:pPr>
        <w:ind w:left="700" w:hanging="347"/>
        <w:spacing w:after="0"/>
        <w:tabs>
          <w:tab w:leader="none" w:pos="7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success in retaining or recruiting, or changes required in, our officers, key employees or directors following our initial business combination;</w:t>
      </w:r>
    </w:p>
    <w:p>
      <w:pPr>
        <w:spacing w:after="0" w:line="231" w:lineRule="exact"/>
        <w:rPr>
          <w:rFonts w:ascii="Arial" w:cs="Arial" w:eastAsia="Arial" w:hAnsi="Arial"/>
          <w:sz w:val="17"/>
          <w:szCs w:val="17"/>
          <w:color w:val="auto"/>
        </w:rPr>
      </w:pPr>
    </w:p>
    <w:p>
      <w:pPr>
        <w:ind w:left="700" w:right="20" w:hanging="347"/>
        <w:spacing w:after="0" w:line="267"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179" w:lineRule="exact"/>
        <w:rPr>
          <w:rFonts w:ascii="Arial" w:cs="Arial" w:eastAsia="Arial" w:hAnsi="Arial"/>
          <w:sz w:val="18"/>
          <w:szCs w:val="18"/>
          <w:color w:val="auto"/>
        </w:rPr>
      </w:pPr>
    </w:p>
    <w:p>
      <w:pPr>
        <w:ind w:left="700" w:hanging="347"/>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ability to obtain additional financing to complete our initial business combination;</w:t>
      </w:r>
    </w:p>
    <w:p>
      <w:pPr>
        <w:spacing w:after="0" w:line="219" w:lineRule="exact"/>
        <w:rPr>
          <w:rFonts w:ascii="Arial" w:cs="Arial" w:eastAsia="Arial" w:hAnsi="Arial"/>
          <w:sz w:val="18"/>
          <w:szCs w:val="18"/>
          <w:color w:val="auto"/>
        </w:rPr>
      </w:pPr>
    </w:p>
    <w:p>
      <w:pPr>
        <w:ind w:left="700" w:hanging="347"/>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pool of prospective target businesses;</w:t>
      </w:r>
    </w:p>
    <w:p>
      <w:pPr>
        <w:spacing w:after="0" w:line="219" w:lineRule="exact"/>
        <w:rPr>
          <w:rFonts w:ascii="Arial" w:cs="Arial" w:eastAsia="Arial" w:hAnsi="Arial"/>
          <w:sz w:val="18"/>
          <w:szCs w:val="18"/>
          <w:color w:val="auto"/>
        </w:rPr>
      </w:pPr>
    </w:p>
    <w:p>
      <w:pPr>
        <w:ind w:left="700" w:hanging="347"/>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investment opportunities;</w:t>
      </w:r>
    </w:p>
    <w:p>
      <w:pPr>
        <w:spacing w:after="0" w:line="219" w:lineRule="exact"/>
        <w:rPr>
          <w:rFonts w:ascii="Arial" w:cs="Arial" w:eastAsia="Arial" w:hAnsi="Arial"/>
          <w:sz w:val="18"/>
          <w:szCs w:val="18"/>
          <w:color w:val="auto"/>
        </w:rPr>
      </w:pPr>
    </w:p>
    <w:p>
      <w:pPr>
        <w:ind w:left="700" w:hanging="347"/>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change in control if we acquire one or more target businesses for stock;</w:t>
      </w:r>
    </w:p>
    <w:p>
      <w:pPr>
        <w:spacing w:after="0" w:line="219" w:lineRule="exact"/>
        <w:rPr>
          <w:rFonts w:ascii="Arial" w:cs="Arial" w:eastAsia="Arial" w:hAnsi="Arial"/>
          <w:sz w:val="18"/>
          <w:szCs w:val="18"/>
          <w:color w:val="auto"/>
        </w:rPr>
      </w:pPr>
    </w:p>
    <w:p>
      <w:pPr>
        <w:ind w:left="700" w:hanging="347"/>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liquidity and trading of our securities;</w:t>
      </w:r>
    </w:p>
    <w:p>
      <w:pPr>
        <w:spacing w:after="0" w:line="219" w:lineRule="exact"/>
        <w:rPr>
          <w:rFonts w:ascii="Arial" w:cs="Arial" w:eastAsia="Arial" w:hAnsi="Arial"/>
          <w:sz w:val="18"/>
          <w:szCs w:val="18"/>
          <w:color w:val="auto"/>
        </w:rPr>
      </w:pPr>
    </w:p>
    <w:p>
      <w:pPr>
        <w:ind w:left="700" w:hanging="347"/>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219" w:lineRule="exact"/>
        <w:rPr>
          <w:rFonts w:ascii="Arial" w:cs="Arial" w:eastAsia="Arial" w:hAnsi="Arial"/>
          <w:sz w:val="18"/>
          <w:szCs w:val="18"/>
          <w:color w:val="auto"/>
        </w:rPr>
      </w:pPr>
    </w:p>
    <w:p>
      <w:pPr>
        <w:ind w:left="700" w:hanging="347"/>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 of proceeds not held in the trust account or available to us from interest income on the trust account balance; or</w:t>
      </w:r>
    </w:p>
    <w:p>
      <w:pPr>
        <w:spacing w:after="0" w:line="219" w:lineRule="exact"/>
        <w:rPr>
          <w:rFonts w:ascii="Arial" w:cs="Arial" w:eastAsia="Arial" w:hAnsi="Arial"/>
          <w:sz w:val="18"/>
          <w:szCs w:val="18"/>
          <w:color w:val="auto"/>
        </w:rPr>
      </w:pPr>
    </w:p>
    <w:p>
      <w:pPr>
        <w:ind w:left="700" w:hanging="347"/>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financial performance following this offering.</w:t>
      </w:r>
    </w:p>
    <w:p>
      <w:pPr>
        <w:spacing w:after="0" w:line="22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forward-looking statements contained in this prospectus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52"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estimate that the net proceeds of this offering, in addition to the funds we will receive from the sale of the private units, will be used as set forth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Without Over-Allotment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2"/>
          </w:tcPr>
          <w:p>
            <w:pPr>
              <w:jc w:val="right"/>
              <w:ind w:right="560"/>
              <w:spacing w:after="0"/>
              <w:rPr>
                <w:sz w:val="20"/>
                <w:szCs w:val="20"/>
                <w:color w:val="auto"/>
              </w:rPr>
            </w:pPr>
            <w:r>
              <w:rPr>
                <w:rFonts w:ascii="Arial" w:cs="Arial" w:eastAsia="Arial" w:hAnsi="Arial"/>
                <w:sz w:val="18"/>
                <w:szCs w:val="18"/>
                <w:color w:val="auto"/>
                <w:w w:val="99"/>
              </w:rPr>
              <w:t>Over-Allotment Option</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gridSpan w:val="2"/>
          </w:tcPr>
          <w:p>
            <w:pPr>
              <w:jc w:val="right"/>
              <w:ind w:right="1200"/>
              <w:spacing w:after="0"/>
              <w:rPr>
                <w:sz w:val="20"/>
                <w:szCs w:val="20"/>
                <w:color w:val="auto"/>
              </w:rPr>
            </w:pPr>
            <w:r>
              <w:rPr>
                <w:rFonts w:ascii="Arial" w:cs="Arial" w:eastAsia="Arial" w:hAnsi="Arial"/>
                <w:sz w:val="18"/>
                <w:szCs w:val="18"/>
                <w:color w:val="auto"/>
              </w:rPr>
              <w:t>Option</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gridSpan w:val="2"/>
          </w:tcPr>
          <w:p>
            <w:pPr>
              <w:jc w:val="right"/>
              <w:ind w:right="1040"/>
              <w:spacing w:after="0"/>
              <w:rPr>
                <w:sz w:val="20"/>
                <w:szCs w:val="20"/>
                <w:color w:val="auto"/>
              </w:rPr>
            </w:pPr>
            <w:r>
              <w:rPr>
                <w:rFonts w:ascii="Arial" w:cs="Arial" w:eastAsia="Arial" w:hAnsi="Arial"/>
                <w:sz w:val="18"/>
                <w:szCs w:val="18"/>
                <w:color w:val="auto"/>
              </w:rPr>
              <w:t>Exercised</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proceeds</w:t>
            </w: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From offering</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0" w:type="dxa"/>
            <w:vAlign w:val="bottom"/>
            <w:gridSpan w:val="2"/>
          </w:tcPr>
          <w:p>
            <w:pPr>
              <w:jc w:val="right"/>
              <w:ind w:right="380"/>
              <w:spacing w:after="0"/>
              <w:rPr>
                <w:sz w:val="20"/>
                <w:szCs w:val="20"/>
                <w:color w:val="auto"/>
              </w:rPr>
            </w:pPr>
            <w:r>
              <w:rPr>
                <w:rFonts w:ascii="Arial" w:cs="Arial" w:eastAsia="Arial" w:hAnsi="Arial"/>
                <w:sz w:val="18"/>
                <w:szCs w:val="18"/>
                <w:color w:val="auto"/>
              </w:rPr>
              <w:t>50,000,000</w:t>
            </w:r>
          </w:p>
        </w:tc>
        <w:tc>
          <w:tcPr>
            <w:tcW w:w="38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2360" w:type="dxa"/>
            <w:vAlign w:val="bottom"/>
            <w:gridSpan w:val="2"/>
          </w:tcPr>
          <w:p>
            <w:pPr>
              <w:jc w:val="right"/>
              <w:ind w:right="220"/>
              <w:spacing w:after="0"/>
              <w:rPr>
                <w:sz w:val="20"/>
                <w:szCs w:val="20"/>
                <w:color w:val="auto"/>
              </w:rPr>
            </w:pPr>
            <w:r>
              <w:rPr>
                <w:rFonts w:ascii="Arial" w:cs="Arial" w:eastAsia="Arial" w:hAnsi="Arial"/>
                <w:sz w:val="18"/>
                <w:szCs w:val="18"/>
                <w:color w:val="auto"/>
              </w:rPr>
              <w:t>57,500,000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From sale of private units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2,500,000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2,725,000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60" w:type="dxa"/>
            <w:vAlign w:val="bottom"/>
            <w:tcBorders>
              <w:bottom w:val="single" w:sz="8" w:color="CCEEFF"/>
            </w:tcBorders>
          </w:tcPr>
          <w:p>
            <w:pPr>
              <w:spacing w:after="0" w:line="204" w:lineRule="exact"/>
              <w:rPr>
                <w:sz w:val="20"/>
                <w:szCs w:val="20"/>
                <w:color w:val="auto"/>
              </w:rPr>
            </w:pPr>
            <w:r>
              <w:rPr>
                <w:rFonts w:ascii="Arial" w:cs="Arial" w:eastAsia="Arial" w:hAnsi="Arial"/>
                <w:sz w:val="18"/>
                <w:szCs w:val="18"/>
                <w:color w:val="auto"/>
              </w:rPr>
              <w:t>Total gross proceeds</w:t>
            </w:r>
          </w:p>
        </w:tc>
        <w:tc>
          <w:tcPr>
            <w:tcW w:w="1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52,500,000</w:t>
            </w:r>
          </w:p>
        </w:tc>
        <w:tc>
          <w:tcPr>
            <w:tcW w:w="3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60,225,000</w:t>
            </w:r>
          </w:p>
        </w:tc>
        <w:tc>
          <w:tcPr>
            <w:tcW w:w="2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 (1)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w w:val="97"/>
              </w:rPr>
              <w:t>Non-contingent underwriting discount (3.0% of gross proceeds from offering)</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2"/>
          </w:tcPr>
          <w:p>
            <w:pPr>
              <w:jc w:val="right"/>
              <w:ind w:right="180"/>
              <w:spacing w:after="0"/>
              <w:rPr>
                <w:sz w:val="20"/>
                <w:szCs w:val="20"/>
                <w:color w:val="auto"/>
              </w:rPr>
            </w:pPr>
            <w:r>
              <w:rPr>
                <w:rFonts w:ascii="Arial" w:cs="Arial" w:eastAsia="Arial" w:hAnsi="Arial"/>
                <w:sz w:val="18"/>
                <w:szCs w:val="18"/>
                <w:color w:val="auto"/>
              </w:rPr>
              <w:t>1,500,000(2)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1,725,000(2)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Deferred underwriting discount (2.0% of gross proceeds from offering)</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1,000,000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1,150,000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2"/>
          </w:tcPr>
          <w:p>
            <w:pPr>
              <w:jc w:val="right"/>
              <w:ind w:right="380"/>
              <w:spacing w:after="0"/>
              <w:rPr>
                <w:sz w:val="20"/>
                <w:szCs w:val="20"/>
                <w:color w:val="auto"/>
              </w:rPr>
            </w:pPr>
            <w:r>
              <w:rPr>
                <w:rFonts w:ascii="Arial" w:cs="Arial" w:eastAsia="Arial" w:hAnsi="Arial"/>
                <w:sz w:val="18"/>
                <w:szCs w:val="18"/>
                <w:color w:val="auto"/>
              </w:rPr>
              <w:t>305,000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2"/>
          </w:tcPr>
          <w:p>
            <w:pPr>
              <w:jc w:val="right"/>
              <w:ind w:right="220"/>
              <w:spacing w:after="0"/>
              <w:rPr>
                <w:sz w:val="20"/>
                <w:szCs w:val="20"/>
                <w:color w:val="auto"/>
              </w:rPr>
            </w:pPr>
            <w:r>
              <w:rPr>
                <w:rFonts w:ascii="Arial" w:cs="Arial" w:eastAsia="Arial" w:hAnsi="Arial"/>
                <w:sz w:val="18"/>
                <w:szCs w:val="18"/>
                <w:color w:val="auto"/>
              </w:rPr>
              <w:t>305,000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Nasdaq listing fee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2"/>
          </w:tcPr>
          <w:p>
            <w:pPr>
              <w:jc w:val="right"/>
              <w:ind w:right="380"/>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2"/>
          </w:tcPr>
          <w:p>
            <w:pPr>
              <w:jc w:val="right"/>
              <w:ind w:right="22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53,500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SEC/FINRA Expenses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2"/>
          </w:tcPr>
          <w:p>
            <w:pPr>
              <w:jc w:val="right"/>
              <w:ind w:right="380"/>
              <w:spacing w:after="0"/>
              <w:rPr>
                <w:sz w:val="20"/>
                <w:szCs w:val="20"/>
                <w:color w:val="auto"/>
              </w:rPr>
            </w:pPr>
            <w:r>
              <w:rPr>
                <w:rFonts w:ascii="Arial" w:cs="Arial" w:eastAsia="Arial" w:hAnsi="Arial"/>
                <w:sz w:val="18"/>
                <w:szCs w:val="18"/>
                <w:color w:val="auto"/>
              </w:rPr>
              <w:t>25,731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2"/>
          </w:tcPr>
          <w:p>
            <w:pPr>
              <w:jc w:val="right"/>
              <w:ind w:right="220"/>
              <w:spacing w:after="0"/>
              <w:rPr>
                <w:sz w:val="20"/>
                <w:szCs w:val="20"/>
                <w:color w:val="auto"/>
              </w:rPr>
            </w:pPr>
            <w:r>
              <w:rPr>
                <w:rFonts w:ascii="Arial" w:cs="Arial" w:eastAsia="Arial" w:hAnsi="Arial"/>
                <w:sz w:val="18"/>
                <w:szCs w:val="18"/>
                <w:color w:val="auto"/>
              </w:rPr>
              <w:t>25,731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20,769</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20,769</w:t>
            </w:r>
          </w:p>
        </w:tc>
        <w:tc>
          <w:tcPr>
            <w:tcW w:w="0" w:type="dxa"/>
            <w:vAlign w:val="bottom"/>
          </w:tcPr>
          <w:p>
            <w:pPr>
              <w:spacing w:after="0"/>
              <w:rPr>
                <w:sz w:val="1"/>
                <w:szCs w:val="1"/>
                <w:color w:val="auto"/>
              </w:rPr>
            </w:pPr>
          </w:p>
        </w:tc>
      </w:tr>
      <w:tr>
        <w:trPr>
          <w:trHeight w:val="207"/>
        </w:trPr>
        <w:tc>
          <w:tcPr>
            <w:tcW w:w="5980" w:type="dxa"/>
            <w:vAlign w:val="bottom"/>
            <w:gridSpan w:val="2"/>
          </w:tcPr>
          <w:p>
            <w:pPr>
              <w:spacing w:after="0" w:line="206" w:lineRule="exact"/>
              <w:rPr>
                <w:sz w:val="20"/>
                <w:szCs w:val="20"/>
                <w:color w:val="auto"/>
              </w:rPr>
            </w:pPr>
            <w:r>
              <w:rPr>
                <w:rFonts w:ascii="Arial" w:cs="Arial" w:eastAsia="Arial" w:hAnsi="Arial"/>
                <w:sz w:val="18"/>
                <w:szCs w:val="18"/>
                <w:color w:val="auto"/>
              </w:rPr>
              <w:t>Total offering expenses</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2,975,000</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3,350,000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9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5980" w:type="dxa"/>
            <w:vAlign w:val="bottom"/>
            <w:gridSpan w:val="2"/>
          </w:tcPr>
          <w:p>
            <w:pPr>
              <w:spacing w:after="0"/>
              <w:rPr>
                <w:sz w:val="20"/>
                <w:szCs w:val="20"/>
                <w:color w:val="auto"/>
              </w:rPr>
            </w:pPr>
            <w:r>
              <w:rPr>
                <w:rFonts w:ascii="Arial" w:cs="Arial" w:eastAsia="Arial" w:hAnsi="Arial"/>
                <w:sz w:val="18"/>
                <w:szCs w:val="18"/>
                <w:color w:val="auto"/>
              </w:rPr>
              <w:t>Net proceeds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0" w:type="dxa"/>
            <w:vAlign w:val="bottom"/>
            <w:gridSpan w:val="2"/>
          </w:tcPr>
          <w:p>
            <w:pPr>
              <w:jc w:val="right"/>
              <w:ind w:right="380"/>
              <w:spacing w:after="0"/>
              <w:rPr>
                <w:sz w:val="20"/>
                <w:szCs w:val="20"/>
                <w:color w:val="auto"/>
              </w:rPr>
            </w:pPr>
            <w:r>
              <w:rPr>
                <w:rFonts w:ascii="Arial" w:cs="Arial" w:eastAsia="Arial" w:hAnsi="Arial"/>
                <w:sz w:val="18"/>
                <w:szCs w:val="18"/>
                <w:color w:val="auto"/>
              </w:rPr>
              <w:t>49,525,000</w:t>
            </w:r>
          </w:p>
        </w:tc>
        <w:tc>
          <w:tcPr>
            <w:tcW w:w="38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2360" w:type="dxa"/>
            <w:vAlign w:val="bottom"/>
            <w:gridSpan w:val="2"/>
          </w:tcPr>
          <w:p>
            <w:pPr>
              <w:jc w:val="right"/>
              <w:ind w:right="220"/>
              <w:spacing w:after="0"/>
              <w:rPr>
                <w:sz w:val="20"/>
                <w:szCs w:val="20"/>
                <w:color w:val="auto"/>
              </w:rPr>
            </w:pPr>
            <w:r>
              <w:rPr>
                <w:rFonts w:ascii="Arial" w:cs="Arial" w:eastAsia="Arial" w:hAnsi="Arial"/>
                <w:sz w:val="18"/>
                <w:szCs w:val="18"/>
                <w:color w:val="auto"/>
              </w:rPr>
              <w:t>56,875,000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96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Held in the trust account(3)</w:t>
            </w: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0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50,000,000</w:t>
            </w:r>
          </w:p>
        </w:tc>
        <w:tc>
          <w:tcPr>
            <w:tcW w:w="3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31"/>
              <w:spacing w:after="0" w:line="194" w:lineRule="exact"/>
              <w:rPr>
                <w:sz w:val="20"/>
                <w:szCs w:val="20"/>
                <w:color w:val="auto"/>
              </w:rPr>
            </w:pPr>
            <w:r>
              <w:rPr>
                <w:rFonts w:ascii="Arial" w:cs="Arial" w:eastAsia="Arial" w:hAnsi="Arial"/>
                <w:sz w:val="18"/>
                <w:szCs w:val="18"/>
                <w:color w:val="auto"/>
                <w:w w:val="79"/>
              </w:rPr>
              <w:t>$</w:t>
            </w:r>
          </w:p>
        </w:tc>
        <w:tc>
          <w:tcPr>
            <w:tcW w:w="21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57,500,000</w:t>
            </w: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Not held in the trust account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0" w:type="dxa"/>
            <w:vAlign w:val="bottom"/>
            <w:gridSpan w:val="2"/>
          </w:tcPr>
          <w:p>
            <w:pPr>
              <w:jc w:val="right"/>
              <w:ind w:right="380"/>
              <w:spacing w:after="0"/>
              <w:rPr>
                <w:sz w:val="20"/>
                <w:szCs w:val="20"/>
                <w:color w:val="auto"/>
              </w:rPr>
            </w:pPr>
            <w:r>
              <w:rPr>
                <w:rFonts w:ascii="Arial" w:cs="Arial" w:eastAsia="Arial" w:hAnsi="Arial"/>
                <w:sz w:val="18"/>
                <w:szCs w:val="18"/>
                <w:color w:val="auto"/>
              </w:rPr>
              <w:t>525,000</w:t>
            </w:r>
          </w:p>
        </w:tc>
        <w:tc>
          <w:tcPr>
            <w:tcW w:w="38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2360" w:type="dxa"/>
            <w:vAlign w:val="bottom"/>
            <w:gridSpan w:val="2"/>
          </w:tcPr>
          <w:p>
            <w:pPr>
              <w:jc w:val="right"/>
              <w:ind w:right="220"/>
              <w:spacing w:after="0"/>
              <w:rPr>
                <w:sz w:val="20"/>
                <w:szCs w:val="20"/>
                <w:color w:val="auto"/>
              </w:rPr>
            </w:pPr>
            <w:r>
              <w:rPr>
                <w:rFonts w:ascii="Arial" w:cs="Arial" w:eastAsia="Arial" w:hAnsi="Arial"/>
                <w:sz w:val="18"/>
                <w:szCs w:val="18"/>
                <w:color w:val="auto"/>
              </w:rPr>
              <w:t>525,000</w:t>
            </w: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5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5960" w:type="dxa"/>
            <w:vAlign w:val="bottom"/>
          </w:tcPr>
          <w:p>
            <w:pPr>
              <w:spacing w:after="0" w:line="201" w:lineRule="exact"/>
              <w:rPr>
                <w:sz w:val="20"/>
                <w:szCs w:val="20"/>
                <w:color w:val="auto"/>
              </w:rPr>
            </w:pPr>
            <w:r>
              <w:rPr>
                <w:rFonts w:ascii="Arial" w:cs="Arial" w:eastAsia="Arial" w:hAnsi="Arial"/>
                <w:sz w:val="18"/>
                <w:szCs w:val="18"/>
                <w:color w:val="auto"/>
                <w:w w:val="96"/>
              </w:rPr>
              <w:t>Use of net proceeds not held in the trust account and amounts available from</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980" w:type="dxa"/>
            <w:vAlign w:val="bottom"/>
            <w:gridSpan w:val="2"/>
          </w:tcPr>
          <w:p>
            <w:pPr>
              <w:spacing w:after="0"/>
              <w:rPr>
                <w:sz w:val="20"/>
                <w:szCs w:val="20"/>
                <w:color w:val="auto"/>
              </w:rPr>
            </w:pPr>
            <w:r>
              <w:rPr>
                <w:rFonts w:ascii="Arial" w:cs="Arial" w:eastAsia="Arial" w:hAnsi="Arial"/>
                <w:sz w:val="18"/>
                <w:szCs w:val="18"/>
                <w:color w:val="auto"/>
              </w:rPr>
              <w:t>interest income earned on the trust account (4)(5)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0"/>
              </w:rPr>
              <w:t>Legal, accounting and other third party expenses attendant to the search for target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w w:val="93"/>
              </w:rPr>
              <w:t>businesses and to the due diligence investigation, structuring and negotiation of</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our initial business combination</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150,000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w w:val="92"/>
              </w:rPr>
              <w:t>Due diligence of prospective target businesses by officers, directors and sponsor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2"/>
          </w:tcPr>
          <w:p>
            <w:pPr>
              <w:jc w:val="right"/>
              <w:ind w:right="380"/>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 relating to SEC reporting obligations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40,000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60" w:type="dxa"/>
            <w:vAlign w:val="bottom"/>
          </w:tcPr>
          <w:p>
            <w:pPr>
              <w:spacing w:after="0" w:line="201" w:lineRule="exact"/>
              <w:rPr>
                <w:sz w:val="20"/>
                <w:szCs w:val="20"/>
                <w:color w:val="auto"/>
              </w:rPr>
            </w:pPr>
            <w:r>
              <w:rPr>
                <w:rFonts w:ascii="Arial" w:cs="Arial" w:eastAsia="Arial" w:hAnsi="Arial"/>
                <w:sz w:val="18"/>
                <w:szCs w:val="18"/>
                <w:color w:val="auto"/>
                <w:w w:val="94"/>
              </w:rPr>
              <w:t>Payment of administrative fee to Magna Management LLC ($10,000 per month</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980" w:type="dxa"/>
            <w:vAlign w:val="bottom"/>
            <w:gridSpan w:val="2"/>
          </w:tcPr>
          <w:p>
            <w:pPr>
              <w:spacing w:after="0"/>
              <w:rPr>
                <w:sz w:val="20"/>
                <w:szCs w:val="20"/>
                <w:color w:val="auto"/>
              </w:rPr>
            </w:pPr>
            <w:r>
              <w:rPr>
                <w:rFonts w:ascii="Arial" w:cs="Arial" w:eastAsia="Arial" w:hAnsi="Arial"/>
                <w:sz w:val="18"/>
                <w:szCs w:val="18"/>
                <w:color w:val="auto"/>
              </w:rPr>
              <w:t>for up to 21 months), subject to deferral as described herein</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gridSpan w:val="2"/>
          </w:tcPr>
          <w:p>
            <w:pPr>
              <w:jc w:val="right"/>
              <w:ind w:right="380"/>
              <w:spacing w:after="0"/>
              <w:rPr>
                <w:sz w:val="20"/>
                <w:szCs w:val="20"/>
                <w:color w:val="auto"/>
              </w:rPr>
            </w:pPr>
            <w:r>
              <w:rPr>
                <w:rFonts w:ascii="Arial" w:cs="Arial" w:eastAsia="Arial" w:hAnsi="Arial"/>
                <w:sz w:val="18"/>
                <w:szCs w:val="18"/>
                <w:color w:val="auto"/>
              </w:rPr>
              <w:t>210,000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gridSpan w:val="2"/>
          </w:tcPr>
          <w:p>
            <w:pPr>
              <w:jc w:val="right"/>
              <w:ind w:right="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Working capital to cover miscellaneous expenses, D&amp;O insurance, general</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corporate purposes, liquidation obligations and reserves</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115,000</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96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2020" w:type="dxa"/>
            <w:vAlign w:val="bottom"/>
          </w:tcPr>
          <w:p>
            <w:pPr>
              <w:jc w:val="right"/>
              <w:spacing w:after="0"/>
              <w:rPr>
                <w:sz w:val="20"/>
                <w:szCs w:val="20"/>
                <w:color w:val="auto"/>
              </w:rPr>
            </w:pPr>
            <w:r>
              <w:rPr>
                <w:rFonts w:ascii="Arial" w:cs="Arial" w:eastAsia="Arial" w:hAnsi="Arial"/>
                <w:sz w:val="18"/>
                <w:szCs w:val="18"/>
                <w:b w:val="1"/>
                <w:bCs w:val="1"/>
                <w:color w:val="auto"/>
              </w:rPr>
              <w:t>525,000</w:t>
            </w:r>
          </w:p>
        </w:tc>
        <w:tc>
          <w:tcPr>
            <w:tcW w:w="3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144780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47800" cy="17145"/>
                    </a:xfrm>
                    <a:prstGeom prst="rect">
                      <a:avLst/>
                    </a:prstGeom>
                    <a:noFill/>
                  </pic:spPr>
                </pic:pic>
              </a:graphicData>
            </a:graphic>
          </wp:anchor>
        </w:drawing>
      </w:r>
    </w:p>
    <w:p>
      <w:pPr>
        <w:spacing w:after="0" w:line="311" w:lineRule="exact"/>
        <w:rPr>
          <w:sz w:val="20"/>
          <w:szCs w:val="20"/>
          <w:color w:val="auto"/>
        </w:rPr>
      </w:pPr>
    </w:p>
    <w:p>
      <w:pPr>
        <w:jc w:val="both"/>
        <w:ind w:left="360" w:hanging="233"/>
        <w:spacing w:after="0" w:line="257" w:lineRule="auto"/>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portion of the offering expenses, including the SEC registration fee, the FINRA filing fee, the non-refundable portion of the Nasdaq listing fee and a portion of the legal and audit fees, have been paid from the funds we received as loans from our insiders described below. These funds will be repaid out of the proceeds of this offering available to us.</w:t>
      </w:r>
    </w:p>
    <w:p>
      <w:pPr>
        <w:spacing w:after="0" w:line="188" w:lineRule="exact"/>
        <w:rPr>
          <w:rFonts w:ascii="Arial" w:cs="Arial" w:eastAsia="Arial" w:hAnsi="Arial"/>
          <w:sz w:val="18"/>
          <w:szCs w:val="18"/>
          <w:color w:val="auto"/>
        </w:rPr>
      </w:pPr>
    </w:p>
    <w:p>
      <w:pPr>
        <w:ind w:left="360" w:hanging="233"/>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discounts or commissions will be paid with respect to the purchase of the private units.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45" w:name="page46"/>
    <w:bookmarkEnd w:id="45"/>
    <w:p>
      <w:pPr>
        <w:jc w:val="both"/>
        <w:ind w:left="360" w:hanging="233"/>
        <w:spacing w:after="0" w:line="257" w:lineRule="auto"/>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funds held in the trust account may, but need not, be used to pay our expenses relating to completing our initial business combination, including a deferred underwriting commission payable to Chardan Capital Markets, LLC in an amount equal to 2% of the total gross proceeds raised in the offering described below.</w:t>
      </w:r>
    </w:p>
    <w:p>
      <w:pPr>
        <w:spacing w:after="0" w:line="188" w:lineRule="exact"/>
        <w:rPr>
          <w:rFonts w:ascii="Arial" w:cs="Arial" w:eastAsia="Arial" w:hAnsi="Arial"/>
          <w:sz w:val="18"/>
          <w:szCs w:val="18"/>
          <w:color w:val="auto"/>
        </w:rPr>
      </w:pPr>
    </w:p>
    <w:p>
      <w:pPr>
        <w:jc w:val="both"/>
        <w:ind w:left="360" w:hanging="233"/>
        <w:spacing w:after="0" w:line="254" w:lineRule="auto"/>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of proceeds not held in the trust account will remain constant at approximately $525,000 even if the over-allotment option is exercised. In addition, interest income earned on the amounts held in the trust account (after payment of taxes owed on such interest income) will be available to us to pay for our working capital requirements. We estimate the interest earned on the trust account will be approximately $87,500 over a 21-month period assuming an interest rate of approximately 0.1% per year.</w:t>
      </w:r>
    </w:p>
    <w:p>
      <w:pPr>
        <w:spacing w:after="0" w:line="190" w:lineRule="exact"/>
        <w:rPr>
          <w:rFonts w:ascii="Arial" w:cs="Arial" w:eastAsia="Arial" w:hAnsi="Arial"/>
          <w:sz w:val="18"/>
          <w:szCs w:val="18"/>
          <w:color w:val="auto"/>
        </w:rPr>
      </w:pPr>
    </w:p>
    <w:p>
      <w:pPr>
        <w:jc w:val="both"/>
        <w:ind w:left="360" w:hanging="233"/>
        <w:spacing w:after="0" w:line="304" w:lineRule="auto"/>
        <w:tabs>
          <w:tab w:leader="none" w:pos="3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that business combination. We do not anticipate any change in the categories of our intended use of proceeds.</w:t>
      </w:r>
    </w:p>
    <w:p>
      <w:pPr>
        <w:spacing w:after="0" w:line="1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insiders (and/or their designees) have committed that they will purchase the private units (for an aggregate purchase price of $2,500,000) from us on a private placement basis simultaneously with the consummation of this offering. Our insiders have also agreed that if the over-allotment option is exercised by the underwriters in full or in part, they (and/or their designees) will purchase from us at a price of $10.00 per unit the number of private units (up to a maximum of 22,500 private units) that is necessary to maintain in the trust account an amount equal to $10.00 per share of common stock sold to the public in this offering. All of the proceeds we receive from these purchases will be placed in the trust account described below.</w:t>
      </w:r>
    </w:p>
    <w:p>
      <w:pPr>
        <w:spacing w:after="0" w:line="18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$50,000,000, or $57,500,000 if the over-allotment option is exercised in full, of net proceeds of this offering and the sale of the private units will be placed in a trust account in the United States at Morgan Stanley Bank, N.A., maintained by Continental Stock Transfer &amp; Trust Company, as trustee. The funds held in the trust account will be invested only in United States government treasury bills, bonds or notes having a maturity of 180 days or less, or in money market funds meeting the applicable conditions under Rule 2a-7 promulgated under the Investment Company Act of 1940 and that invest solely in U.S. treasuries, so that we are not deemed to be an investment company under the Investment Company Act. Except with respect to (1) interest earned on the funds held in the trust account that may be released to us to pay our income or other tax obligations and (2) interest earned on the funds held in the trust account that may be released to us for our working capital requirements, the proceeds will not be released from the trust account until the earlier of the completion of our initial business combination or our redemption of 100% of the outstanding public shares if we have not completed a business combination in the required time period. The proceeds held in the trust account may be used as consideration to pay the sellers of a target business with which we complete our initial business combination to the extent not used to pay converting stockholders. Any amounts not paid as consideration to the sellers of the target business may be used to finance operations of the target business.</w:t>
      </w:r>
    </w:p>
    <w:p>
      <w:pPr>
        <w:spacing w:after="0" w:line="18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payment to Magna Management LLC, a company owned by our insiders, of a monthly fee of $10,000 is for general and administrative services including office space, utilities and secretarial support.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This arrangement is being agreed to by Magna Management LLC for our benefit. We believe that the fee charged by Magna Management LLC is at least as favorable as we could have obtained from an unaffiliated person. This arrangement will terminate upon completion of our initial business combination or the distribution of the trust account to our public stockholders. Other than the $10,000 per month fee, no compensation of any kind (including finder’s fees, consulting fees or other similar compensation) will be paid to our insiders, members of our management team or any of our or their respective affiliates, for services rendered to us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Since the role of present management after our initial business combination is uncertain, we have no ability to determine what remuneration, if any, will be paid to those persons after our initial business combination.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6" w:name="page47"/>
    <w:bookmarkEnd w:id="46"/>
    <w:p>
      <w:pPr>
        <w:jc w:val="both"/>
        <w:spacing w:after="0" w:line="287" w:lineRule="auto"/>
        <w:rPr>
          <w:sz w:val="20"/>
          <w:szCs w:val="20"/>
          <w:color w:val="auto"/>
        </w:rPr>
      </w:pPr>
      <w:r>
        <w:rPr>
          <w:rFonts w:ascii="Arial" w:cs="Arial" w:eastAsia="Arial" w:hAnsi="Arial"/>
          <w:sz w:val="16"/>
          <w:szCs w:val="16"/>
          <w:color w:val="auto"/>
        </w:rPr>
        <w:t>Regardless of whether the over-allotment option is exercised in full, the net proceeds from this offering available to us out of trust for our working capital requirements in searching for our initial business combination will be approximately $525,000. In addition, interest earned on the funds held in the trust account (after payment of taxes owed on such interest income) may be released to us to fund our working capital requirements in searching for our initial business combination. We intend to use the after-tax interest earned for miscellaneous expenses such as paying fees to consultants to assist us with our search for a target business and for director and officer liability insurance premiums, with the balance being held in reserve in the event due diligence, legal, accounting and other expenses of structuring and negotiating business combinations exceed our estimates, as well as for reimbursement of any out-of-pocket expenses incurred by our insiders, officers and directors in connection with activities on our behalf as described below.</w:t>
      </w:r>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allocation of the net proceeds available to us outside of the trust account, along with the interest earned on the funds held in the trust account available to us, represents our best estimate of the intended uses of these funds. In the event that our assumptions prove to be inaccurate, we may reallocate some of such proceeds within the above described categories. If our estimate of the costs of undertaking due diligence and negotiating our initial business combination is less than the actual amount necessary to do so, or the amount of interest available to us from the trust account is insufficient as a result of the current low interest rate environment, we may be required to raise additional capital, the amount, availability and cost of which is currently unascertainable. In this event, we could seek such additional capital through loans or additional investments from our insiders, members of our management team or third parties, but our insiders, members of our management team or third parties are not under any obligation to advance funds to, or invest in, us.</w:t>
      </w:r>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will likely use substantially all of the net proceeds of this offering, including the funds held in the trust account, in connection with our initial business combination and to pay our expenses relating thereto, including the deferred underwriting commission payable to Chardan Capital Markets, LLC in an amount equal to 2% of the total gross proceeds raised in the offering upon consummation of our initial business combination. To the extent that our capital stock is used in whole or in part as consideration to effect our initial business combination, the proceeds held in the trust account which are not used to consummate a business combination will be disbursed to the combined company and will, along with any other net proceeds not expended,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the extent we are unable to consummate a business combination, we will pay the costs of liquidation from our remaining assets outside of the trust account. If such funds are insufficient, our insiders have agreed to pay the funds necessary to complete such liquidation (currently anticipated to be no more than $15,000) and have agreed not to seek repayment of such expenses.</w:t>
      </w:r>
    </w:p>
    <w:p>
      <w:pPr>
        <w:spacing w:after="0" w:line="188" w:lineRule="exact"/>
        <w:rPr>
          <w:sz w:val="20"/>
          <w:szCs w:val="20"/>
          <w:color w:val="auto"/>
        </w:rPr>
      </w:pPr>
    </w:p>
    <w:p>
      <w:pPr>
        <w:jc w:val="both"/>
        <w:spacing w:after="0" w:line="349" w:lineRule="auto"/>
        <w:rPr>
          <w:sz w:val="20"/>
          <w:szCs w:val="20"/>
          <w:color w:val="auto"/>
        </w:rPr>
      </w:pPr>
      <w:r>
        <w:rPr>
          <w:rFonts w:ascii="Arial" w:cs="Arial" w:eastAsia="Arial" w:hAnsi="Arial"/>
          <w:sz w:val="14"/>
          <w:szCs w:val="14"/>
          <w:color w:val="auto"/>
        </w:rPr>
        <w:t>As of September 11, 2015, a related party had loaned to us $35,000 to be used to pay a portion of the expenses of this offering referenced in the line items above for the SEC registration fee, FINRA filing fee, the non-refundable portion of the Nasdaq listing fee and a portion of the legal and accounting fees and expenses. In addition, an unrelated party had loaned to us $55,000 to cover expenses related to this offering. The loans are payable without interest on the earlier of (i) the consummation of the Proposed Public Offering or (ii) the date on which the Company determines not to proceed with the Proposed Public Offering.</w:t>
      </w:r>
    </w:p>
    <w:p>
      <w:pPr>
        <w:spacing w:after="0" w:line="13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believe that, upon consummation of this offering, we will have sufficient available funds (which includes amounts that may be released to us from the trust account) to operate for up to the next 21 months, assuming that our initial business combination is not consummated during that time. However, if necessary, in order to meet our working capital needs following the consummation of this offering, our insiders, officers and directors (and/or their designees)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$200,000 of the notes may be converted upon consummation of our business combination into additional private units at a price of $10.00 per unit. Our stockholders have approved the issuance of the private units upon conversion of such notes, to the extent the holder wishes to so convert such notes at the time of the consummation of our initial business combination. If we do not complete a business combination, any loans and advances from our insiders, officers and directors or their affiliates, will be repaid only from amounts remaining outside our trust account, if any.</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public stockholder will be entitled to receive funds from the trust account only in the event of (1) our redemption of 100% of the outstanding public shares if we have not completed a business combination in the required time period, (2) if that public stockholder elects to convert public shares in connection with a stockholder vote or (3) if that public stockholder sells shares to us in any tender offer in connection with a proposed business combination. In no other circumstances will a public stockholder have any right or interest of any kind to or in the trust account.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5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have not paid any cash dividends on our shares of common stock to date and do not intend to pay cash dividends prior to the completion of our initial business combination. The payment of cash dividends subsequent to the completion of our initial business combination will be dependent upon our revenues and earnings, if any, capital requirements and general financial condition subsequent to completion of our initial business combination. The payment of any dividends subsequent to our initial business combination will be within the discretion of our board of directors at such time. It is the present intention of our board of directors to retain all earnings, if any, for use in our business operations and, accordingly, our board of directors does not anticipate declaring any dividends in the foreseeable future. In addition, our board of directors is not currently contemplating and does not anticipate declaring any stock dividends in the foreseeable future, except if we increase the size of the offering, including pursuant to Rule 462(b) under the Securities Act, in which case we will effect a stock dividend immediately prior to the consummation of the offering in such amount as to maintain our insiders’ ownership at an aggregate of 20.0% of our issued and outstanding shares of our common stock upon the consummation of this offering (excluding ownership of the private units). Further, if we incur any indebtedness in connection with our initial business combination, our ability to declare dividends may be limited by restrictive covenants we may agree to in connection therewith.</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DILUTION</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difference between the public offering price per share (assuming no value is attributed to the warrants included in the units we are offering pursuant to this prospectus) and the pro forma net tangible book value per share after this offering constitutes the dilution to investors in this offering. Net tangible book value per share is determined by dividing our net tangible book value, which is our total tangible assets less total liabilities (including the value of shares of common stock which may be converted into cash), by the number of outstanding shares of common stock.</w:t>
      </w:r>
    </w:p>
    <w:p>
      <w:pPr>
        <w:spacing w:after="0" w:line="17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At September 11, 2015, our net tangible book value was $(85,000), or approximately ($0.07) per share. After giving effect to the sale of 5,000,000 (or 5,750,000 if the underwriters exercise their over-allotment option in full) shares of common stock included in the units we are offering by this prospectus, and the deduction of underwriting discounts and estimated expenses of this offering, and the sale of the private units, our pro forma net tangible book value at September 11, 2015 would have been $5,000,007 or $2.44 (or $2.20 if the underwriters exercise their over-allotment option in full) per share, representing an immediate increase in net tangible book value of $2.51 (or $2.27 if the underwriters exercise their over-allotment option in full) per share to our insiders and an immediate dilution of 75.6% (or 78.0% if the underwriters exercise their over-allotment option in full) per share or $7.56 (or $7.80 if the underwriters exercise their over-allotment option in full) to new investors not exercising their conversion rights. For purposes of presentation, our pro forma net tangible book value after this offering is $44,549,050 (or $51,899,050 if the underwriters exercise their over-allotment option in full) less than it otherwise would have been because if we effect our initial business combination, the conversion rights of the public stockholders (but not our insiders) may result in the conversion or tender of up to 4,454,905 (or 5,189,905 if the underwriters exercise their over-allotment option in full) shares sold in this offering.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280" w:type="dxa"/>
            <w:vAlign w:val="bottom"/>
            <w:gridSpan w:val="16"/>
          </w:tcPr>
          <w:p>
            <w:pPr>
              <w:spacing w:after="0"/>
              <w:rPr>
                <w:sz w:val="20"/>
                <w:szCs w:val="20"/>
                <w:color w:val="auto"/>
              </w:rPr>
            </w:pPr>
            <w:r>
              <w:rPr>
                <w:rFonts w:ascii="Arial" w:cs="Arial" w:eastAsia="Arial" w:hAnsi="Arial"/>
                <w:sz w:val="18"/>
                <w:szCs w:val="18"/>
                <w:color w:val="auto"/>
              </w:rPr>
              <w:t>The following table illustrates the dilution to our public stockholders on a per-share basis.</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5"/>
          </w:tcPr>
          <w:p>
            <w:pPr>
              <w:jc w:val="right"/>
              <w:ind w:right="600"/>
              <w:spacing w:after="0"/>
              <w:rPr>
                <w:sz w:val="20"/>
                <w:szCs w:val="20"/>
                <w:color w:val="auto"/>
              </w:rPr>
            </w:pPr>
            <w:r>
              <w:rPr>
                <w:rFonts w:ascii="Arial" w:cs="Arial" w:eastAsia="Arial" w:hAnsi="Arial"/>
                <w:sz w:val="18"/>
                <w:szCs w:val="18"/>
                <w:color w:val="auto"/>
              </w:rPr>
              <w:t>With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6"/>
          </w:tcPr>
          <w:p>
            <w:pPr>
              <w:jc w:val="center"/>
              <w:ind w:right="200"/>
              <w:spacing w:after="0"/>
              <w:rPr>
                <w:sz w:val="20"/>
                <w:szCs w:val="20"/>
                <w:color w:val="auto"/>
              </w:rPr>
            </w:pPr>
            <w:r>
              <w:rPr>
                <w:rFonts w:ascii="Arial" w:cs="Arial" w:eastAsia="Arial" w:hAnsi="Arial"/>
                <w:sz w:val="18"/>
                <w:szCs w:val="18"/>
                <w:color w:val="auto"/>
                <w:w w:val="94"/>
              </w:rPr>
              <w:t>Without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7"/>
          </w:tcPr>
          <w:p>
            <w:pPr>
              <w:jc w:val="right"/>
              <w:ind w:right="220"/>
              <w:spacing w:after="0"/>
              <w:rPr>
                <w:sz w:val="20"/>
                <w:szCs w:val="20"/>
                <w:color w:val="auto"/>
              </w:rPr>
            </w:pPr>
            <w:r>
              <w:rPr>
                <w:rFonts w:ascii="Arial" w:cs="Arial" w:eastAsia="Arial" w:hAnsi="Arial"/>
                <w:sz w:val="18"/>
                <w:szCs w:val="18"/>
                <w:color w:val="auto"/>
                <w:w w:val="96"/>
              </w:rPr>
              <w:t>Over-Allotment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7"/>
          </w:tcPr>
          <w:p>
            <w:pPr>
              <w:jc w:val="center"/>
              <w:ind w:right="20"/>
              <w:spacing w:after="0"/>
              <w:rPr>
                <w:sz w:val="20"/>
                <w:szCs w:val="20"/>
                <w:color w:val="auto"/>
              </w:rPr>
            </w:pPr>
            <w:r>
              <w:rPr>
                <w:rFonts w:ascii="Arial" w:cs="Arial" w:eastAsia="Arial" w:hAnsi="Arial"/>
                <w:sz w:val="18"/>
                <w:szCs w:val="18"/>
                <w:color w:val="auto"/>
                <w:w w:val="94"/>
              </w:rPr>
              <w:t>Over-Allotment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5"/>
          </w:tcPr>
          <w:p>
            <w:pPr>
              <w:jc w:val="right"/>
              <w:ind w:right="560"/>
              <w:spacing w:after="0"/>
              <w:rPr>
                <w:sz w:val="20"/>
                <w:szCs w:val="20"/>
                <w:color w:val="auto"/>
              </w:rPr>
            </w:pPr>
            <w:r>
              <w:rPr>
                <w:rFonts w:ascii="Arial" w:cs="Arial" w:eastAsia="Arial" w:hAnsi="Arial"/>
                <w:sz w:val="18"/>
                <w:szCs w:val="18"/>
                <w:color w:val="auto"/>
                <w:w w:val="90"/>
              </w:rPr>
              <w:t>Option</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2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00" w:type="dxa"/>
            <w:vAlign w:val="bottom"/>
            <w:gridSpan w:val="5"/>
          </w:tcPr>
          <w:p>
            <w:pPr>
              <w:spacing w:after="0"/>
              <w:rPr>
                <w:sz w:val="20"/>
                <w:szCs w:val="20"/>
                <w:color w:val="auto"/>
              </w:rPr>
            </w:pPr>
            <w:r>
              <w:rPr>
                <w:rFonts w:ascii="Arial" w:cs="Arial" w:eastAsia="Arial" w:hAnsi="Arial"/>
                <w:sz w:val="18"/>
                <w:szCs w:val="18"/>
                <w:color w:val="auto"/>
                <w:w w:val="89"/>
              </w:rPr>
              <w:t>Net tangible book value before this offering</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71"/>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4"/>
          </w:tcPr>
          <w:p>
            <w:pPr>
              <w:ind w:left="120"/>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260" w:type="dxa"/>
            <w:vAlign w:val="bottom"/>
            <w:gridSpan w:val="11"/>
            <w:shd w:val="clear" w:color="auto" w:fill="CCEEFF"/>
          </w:tcPr>
          <w:p>
            <w:pPr>
              <w:spacing w:after="0" w:line="174" w:lineRule="exact"/>
              <w:rPr>
                <w:sz w:val="20"/>
                <w:szCs w:val="20"/>
                <w:color w:val="auto"/>
              </w:rPr>
            </w:pPr>
            <w:r>
              <w:rPr>
                <w:rFonts w:ascii="Arial" w:cs="Arial" w:eastAsia="Arial" w:hAnsi="Arial"/>
                <w:sz w:val="18"/>
                <w:szCs w:val="18"/>
                <w:color w:val="auto"/>
              </w:rPr>
              <w:t>Increase attributable to public stockholders and private investors</w:t>
            </w: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line="174" w:lineRule="exact"/>
              <w:rPr>
                <w:sz w:val="20"/>
                <w:szCs w:val="20"/>
                <w:color w:val="auto"/>
              </w:rPr>
            </w:pPr>
            <w:r>
              <w:rPr>
                <w:rFonts w:ascii="Arial" w:cs="Arial" w:eastAsia="Arial" w:hAnsi="Arial"/>
                <w:sz w:val="18"/>
                <w:szCs w:val="18"/>
                <w:color w:val="auto"/>
                <w:w w:val="85"/>
              </w:rPr>
              <w:t>2.</w:t>
            </w:r>
            <w:r>
              <w:rPr>
                <w:rFonts w:ascii="Arial" w:cs="Arial" w:eastAsia="Arial" w:hAnsi="Arial"/>
                <w:sz w:val="18"/>
                <w:szCs w:val="18"/>
                <w:u w:val="single" w:color="auto"/>
                <w:color w:val="auto"/>
                <w:w w:val="85"/>
              </w:rPr>
              <w:t>51</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tcBorders>
              <w:right w:val="single" w:sz="8" w:color="CCEEFF"/>
            </w:tcBorders>
            <w:gridSpan w:val="4"/>
            <w:shd w:val="clear" w:color="auto" w:fill="CCEEFF"/>
          </w:tcPr>
          <w:p>
            <w:pPr>
              <w:jc w:val="right"/>
              <w:ind w:right="351"/>
              <w:spacing w:after="0" w:line="174" w:lineRule="exact"/>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27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Borders>
              <w:top w:val="single" w:sz="8" w:color="CCEEFF"/>
            </w:tcBorders>
            <w:gridSpan w:val="13"/>
          </w:tcPr>
          <w:p>
            <w:pPr>
              <w:spacing w:after="0"/>
              <w:rPr>
                <w:sz w:val="20"/>
                <w:szCs w:val="20"/>
                <w:color w:val="auto"/>
              </w:rPr>
            </w:pPr>
            <w:r>
              <w:rPr>
                <w:rFonts w:ascii="Arial" w:cs="Arial" w:eastAsia="Arial" w:hAnsi="Arial"/>
                <w:sz w:val="18"/>
                <w:szCs w:val="18"/>
                <w:color w:val="auto"/>
                <w:w w:val="91"/>
              </w:rPr>
              <w:t>Pro forma net tangible book value after this offering and the sale of the private units</w:t>
            </w:r>
          </w:p>
        </w:tc>
        <w:tc>
          <w:tcPr>
            <w:tcW w:w="10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20" w:type="dxa"/>
            <w:vAlign w:val="bottom"/>
            <w:tcBorders>
              <w:top w:val="single" w:sz="8" w:color="CCEEFF"/>
            </w:tcBorders>
            <w:gridSpan w:val="4"/>
          </w:tcPr>
          <w:p>
            <w:pPr>
              <w:ind w:left="100"/>
              <w:spacing w:after="0"/>
              <w:rPr>
                <w:sz w:val="20"/>
                <w:szCs w:val="20"/>
                <w:color w:val="auto"/>
              </w:rPr>
            </w:pPr>
            <w:r>
              <w:rPr>
                <w:rFonts w:ascii="Arial" w:cs="Arial" w:eastAsia="Arial" w:hAnsi="Arial"/>
                <w:sz w:val="18"/>
                <w:szCs w:val="18"/>
                <w:color w:val="auto"/>
                <w:w w:val="85"/>
              </w:rPr>
              <w:t>2.44</w:t>
            </w: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100" w:type="dxa"/>
            <w:vAlign w:val="bottom"/>
            <w:tcBorders>
              <w:top w:val="single" w:sz="8" w:color="CCEEFF"/>
            </w:tcBorders>
            <w:gridSpan w:val="3"/>
            <w:shd w:val="clear" w:color="auto" w:fill="CCEEFF"/>
          </w:tcPr>
          <w:p>
            <w:pPr>
              <w:spacing w:after="0" w:line="206" w:lineRule="exact"/>
              <w:rPr>
                <w:sz w:val="20"/>
                <w:szCs w:val="20"/>
                <w:color w:val="auto"/>
              </w:rPr>
            </w:pPr>
            <w:r>
              <w:rPr>
                <w:rFonts w:ascii="Arial" w:cs="Arial" w:eastAsia="Arial" w:hAnsi="Arial"/>
                <w:sz w:val="18"/>
                <w:szCs w:val="18"/>
                <w:color w:val="auto"/>
              </w:rPr>
              <w:t>Dilution to new investors</w:t>
            </w:r>
          </w:p>
        </w:tc>
        <w:tc>
          <w:tcPr>
            <w:tcW w:w="7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5"/>
            <w:shd w:val="clear" w:color="auto" w:fill="CCEEFF"/>
          </w:tcPr>
          <w:p>
            <w:pPr>
              <w:ind w:left="740"/>
              <w:spacing w:after="0"/>
              <w:rPr>
                <w:sz w:val="20"/>
                <w:szCs w:val="20"/>
                <w:color w:val="auto"/>
              </w:rPr>
            </w:pPr>
            <w:r>
              <w:rPr>
                <w:rFonts w:ascii="Arial" w:cs="Arial" w:eastAsia="Arial" w:hAnsi="Arial"/>
                <w:sz w:val="18"/>
                <w:szCs w:val="18"/>
                <w:color w:val="auto"/>
                <w:w w:val="79"/>
              </w:rPr>
              <w:t>7.56</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left w:val="single" w:sz="8" w:color="CCEEFF"/>
            </w:tcBorders>
            <w:shd w:val="clear" w:color="auto" w:fill="CCEEFF"/>
          </w:tcPr>
          <w:p>
            <w:pPr>
              <w:spacing w:after="0"/>
              <w:rPr>
                <w:sz w:val="17"/>
                <w:szCs w:val="17"/>
                <w:color w:val="auto"/>
              </w:rPr>
            </w:pPr>
          </w:p>
        </w:tc>
        <w:tc>
          <w:tcPr>
            <w:tcW w:w="72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00" w:type="dxa"/>
            <w:vAlign w:val="bottom"/>
            <w:gridSpan w:val="5"/>
          </w:tcPr>
          <w:p>
            <w:pPr>
              <w:spacing w:after="0"/>
              <w:rPr>
                <w:sz w:val="20"/>
                <w:szCs w:val="20"/>
                <w:color w:val="auto"/>
              </w:rPr>
            </w:pPr>
            <w:r>
              <w:rPr>
                <w:rFonts w:ascii="Arial" w:cs="Arial" w:eastAsia="Arial" w:hAnsi="Arial"/>
                <w:sz w:val="18"/>
                <w:szCs w:val="18"/>
                <w:color w:val="auto"/>
                <w:w w:val="99"/>
              </w:rPr>
              <w:t>Percentage of dilution to new investors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7"/>
          </w:tcPr>
          <w:p>
            <w:pPr>
              <w:ind w:left="740"/>
              <w:spacing w:after="0"/>
              <w:rPr>
                <w:sz w:val="20"/>
                <w:szCs w:val="20"/>
                <w:color w:val="auto"/>
              </w:rPr>
            </w:pPr>
            <w:r>
              <w:rPr>
                <w:rFonts w:ascii="Arial" w:cs="Arial" w:eastAsia="Arial" w:hAnsi="Arial"/>
                <w:sz w:val="18"/>
                <w:szCs w:val="18"/>
                <w:color w:val="auto"/>
              </w:rPr>
              <w:t>75.6%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0"/>
        </w:trPr>
        <w:tc>
          <w:tcPr>
            <w:tcW w:w="7280" w:type="dxa"/>
            <w:vAlign w:val="bottom"/>
            <w:gridSpan w:val="16"/>
            <w:vMerge w:val="restart"/>
          </w:tcPr>
          <w:p>
            <w:pPr>
              <w:spacing w:after="0"/>
              <w:rPr>
                <w:sz w:val="20"/>
                <w:szCs w:val="20"/>
                <w:color w:val="auto"/>
              </w:rPr>
            </w:pPr>
            <w:r>
              <w:rPr>
                <w:rFonts w:ascii="Arial" w:cs="Arial" w:eastAsia="Arial" w:hAnsi="Arial"/>
                <w:sz w:val="18"/>
                <w:szCs w:val="18"/>
                <w:color w:val="auto"/>
                <w:w w:val="99"/>
              </w:rPr>
              <w:t>The following table sets forth information with respect to our insiders and the new investors:</w:t>
            </w: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7280" w:type="dxa"/>
            <w:vAlign w:val="bottom"/>
            <w:gridSpan w:val="16"/>
            <w:vMerge w:val="continue"/>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color w:val="auto"/>
                <w:w w:val="93"/>
              </w:rPr>
              <w:t>Without Over-allotment</w:t>
            </w: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10"/>
          </w:tcPr>
          <w:p>
            <w:pPr>
              <w:jc w:val="right"/>
              <w:ind w:right="260"/>
              <w:spacing w:after="0"/>
              <w:rPr>
                <w:sz w:val="20"/>
                <w:szCs w:val="20"/>
                <w:color w:val="auto"/>
              </w:rPr>
            </w:pPr>
            <w:r>
              <w:rPr>
                <w:rFonts w:ascii="Arial" w:cs="Arial" w:eastAsia="Arial" w:hAnsi="Arial"/>
                <w:sz w:val="14"/>
                <w:szCs w:val="14"/>
                <w:color w:val="auto"/>
                <w:w w:val="95"/>
              </w:rPr>
              <w:t>With Over-allotment</w:t>
            </w: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80" w:type="dxa"/>
            <w:vAlign w:val="bottom"/>
            <w:gridSpan w:val="4"/>
          </w:tcPr>
          <w:p>
            <w:pPr>
              <w:jc w:val="right"/>
              <w:ind w:right="660"/>
              <w:spacing w:after="0" w:line="140" w:lineRule="exact"/>
              <w:rPr>
                <w:sz w:val="20"/>
                <w:szCs w:val="20"/>
                <w:color w:val="auto"/>
              </w:rPr>
            </w:pPr>
            <w:r>
              <w:rPr>
                <w:rFonts w:ascii="Arial" w:cs="Arial" w:eastAsia="Arial" w:hAnsi="Arial"/>
                <w:sz w:val="14"/>
                <w:szCs w:val="14"/>
                <w:color w:val="auto"/>
              </w:rPr>
              <w:t>Shares Purchased</w:t>
            </w:r>
          </w:p>
        </w:tc>
        <w:tc>
          <w:tcPr>
            <w:tcW w:w="160" w:type="dxa"/>
            <w:vAlign w:val="bottom"/>
          </w:tcPr>
          <w:p>
            <w:pPr>
              <w:spacing w:after="0"/>
              <w:rPr>
                <w:sz w:val="12"/>
                <w:szCs w:val="12"/>
                <w:color w:val="auto"/>
              </w:rPr>
            </w:pPr>
          </w:p>
        </w:tc>
        <w:tc>
          <w:tcPr>
            <w:tcW w:w="2000" w:type="dxa"/>
            <w:vAlign w:val="bottom"/>
            <w:gridSpan w:val="5"/>
          </w:tcPr>
          <w:p>
            <w:pPr>
              <w:jc w:val="right"/>
              <w:ind w:right="609"/>
              <w:spacing w:after="0" w:line="140" w:lineRule="exact"/>
              <w:rPr>
                <w:sz w:val="20"/>
                <w:szCs w:val="20"/>
                <w:color w:val="auto"/>
              </w:rPr>
            </w:pPr>
            <w:r>
              <w:rPr>
                <w:rFonts w:ascii="Arial" w:cs="Arial" w:eastAsia="Arial" w:hAnsi="Arial"/>
                <w:sz w:val="14"/>
                <w:szCs w:val="14"/>
                <w:color w:val="auto"/>
              </w:rPr>
              <w:t>Total Consideration</w:t>
            </w: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88"/>
              </w:rPr>
              <w:t>Average</w:t>
            </w:r>
          </w:p>
        </w:tc>
        <w:tc>
          <w:tcPr>
            <w:tcW w:w="2160" w:type="dxa"/>
            <w:vAlign w:val="bottom"/>
            <w:gridSpan w:val="4"/>
          </w:tcPr>
          <w:p>
            <w:pPr>
              <w:jc w:val="right"/>
              <w:ind w:right="589"/>
              <w:spacing w:after="0" w:line="140" w:lineRule="exact"/>
              <w:rPr>
                <w:sz w:val="20"/>
                <w:szCs w:val="20"/>
                <w:color w:val="auto"/>
              </w:rPr>
            </w:pPr>
            <w:r>
              <w:rPr>
                <w:rFonts w:ascii="Arial" w:cs="Arial" w:eastAsia="Arial" w:hAnsi="Arial"/>
                <w:sz w:val="14"/>
                <w:szCs w:val="14"/>
                <w:color w:val="auto"/>
              </w:rPr>
              <w:t>Shares Purchased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7"/>
          </w:tcPr>
          <w:p>
            <w:pPr>
              <w:ind w:left="240"/>
              <w:spacing w:after="0" w:line="140" w:lineRule="exact"/>
              <w:rPr>
                <w:sz w:val="20"/>
                <w:szCs w:val="20"/>
                <w:color w:val="auto"/>
              </w:rPr>
            </w:pPr>
            <w:r>
              <w:rPr>
                <w:rFonts w:ascii="Arial" w:cs="Arial" w:eastAsia="Arial" w:hAnsi="Arial"/>
                <w:sz w:val="14"/>
                <w:szCs w:val="14"/>
                <w:color w:val="auto"/>
                <w:w w:val="90"/>
              </w:rPr>
              <w:t>Total Consideration</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vMerge w:val="restart"/>
          </w:tcPr>
          <w:p>
            <w:pPr>
              <w:jc w:val="center"/>
              <w:ind w:right="220"/>
              <w:spacing w:after="0"/>
              <w:rPr>
                <w:sz w:val="20"/>
                <w:szCs w:val="20"/>
                <w:color w:val="auto"/>
              </w:rPr>
            </w:pPr>
            <w:r>
              <w:rPr>
                <w:rFonts w:ascii="Arial" w:cs="Arial" w:eastAsia="Arial" w:hAnsi="Arial"/>
                <w:sz w:val="14"/>
                <w:szCs w:val="14"/>
                <w:color w:val="auto"/>
                <w:w w:val="88"/>
              </w:rPr>
              <w:t>Average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20"/>
              <w:spacing w:after="0" w:line="147" w:lineRule="exact"/>
              <w:rPr>
                <w:sz w:val="20"/>
                <w:szCs w:val="20"/>
                <w:color w:val="auto"/>
              </w:rPr>
            </w:pPr>
            <w:r>
              <w:rPr>
                <w:rFonts w:ascii="Arial" w:cs="Arial" w:eastAsia="Arial" w:hAnsi="Arial"/>
                <w:sz w:val="14"/>
                <w:szCs w:val="14"/>
                <w:color w:val="auto"/>
                <w:w w:val="89"/>
              </w:rPr>
              <w:t>Price per</w:t>
            </w: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center"/>
              <w:ind w:right="220"/>
              <w:spacing w:after="0" w:line="147" w:lineRule="exact"/>
              <w:rPr>
                <w:sz w:val="20"/>
                <w:szCs w:val="20"/>
                <w:color w:val="auto"/>
              </w:rPr>
            </w:pPr>
            <w:r>
              <w:rPr>
                <w:rFonts w:ascii="Arial" w:cs="Arial" w:eastAsia="Arial" w:hAnsi="Arial"/>
                <w:sz w:val="14"/>
                <w:szCs w:val="14"/>
                <w:color w:val="auto"/>
                <w:w w:val="89"/>
              </w:rPr>
              <w:t>Price per</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Number</w:t>
            </w:r>
          </w:p>
        </w:tc>
        <w:tc>
          <w:tcPr>
            <w:tcW w:w="1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94"/>
              </w:rPr>
              <w:t>Percentage</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Amount</w:t>
            </w:r>
          </w:p>
        </w:tc>
        <w:tc>
          <w:tcPr>
            <w:tcW w:w="1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89"/>
              </w:rPr>
              <w:t>Percentage</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color w:val="auto"/>
                <w:w w:val="85"/>
              </w:rPr>
              <w:t>Share</w:t>
            </w:r>
          </w:p>
        </w:tc>
        <w:tc>
          <w:tcPr>
            <w:tcW w:w="1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Number</w:t>
            </w:r>
          </w:p>
        </w:tc>
        <w:tc>
          <w:tcPr>
            <w:tcW w:w="1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94"/>
              </w:rPr>
              <w:t>Percentage</w:t>
            </w: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ind w:right="191"/>
              <w:spacing w:after="0"/>
              <w:rPr>
                <w:sz w:val="20"/>
                <w:szCs w:val="20"/>
                <w:color w:val="auto"/>
              </w:rPr>
            </w:pPr>
            <w:r>
              <w:rPr>
                <w:rFonts w:ascii="Arial" w:cs="Arial" w:eastAsia="Arial" w:hAnsi="Arial"/>
                <w:sz w:val="14"/>
                <w:szCs w:val="14"/>
                <w:color w:val="auto"/>
              </w:rPr>
              <w:t>Amount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gridSpan w:val="2"/>
          </w:tcPr>
          <w:p>
            <w:pPr>
              <w:spacing w:after="0"/>
              <w:rPr>
                <w:sz w:val="14"/>
                <w:szCs w:val="14"/>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83"/>
              </w:rPr>
              <w:t>Percentage</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31"/>
              <w:spacing w:after="0"/>
              <w:rPr>
                <w:sz w:val="20"/>
                <w:szCs w:val="20"/>
                <w:color w:val="auto"/>
              </w:rPr>
            </w:pPr>
            <w:r>
              <w:rPr>
                <w:rFonts w:ascii="Arial" w:cs="Arial" w:eastAsia="Arial" w:hAnsi="Arial"/>
                <w:sz w:val="14"/>
                <w:szCs w:val="14"/>
                <w:color w:val="auto"/>
                <w:w w:val="85"/>
              </w:rPr>
              <w:t>Share</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Insider shares</w:t>
            </w:r>
          </w:p>
        </w:tc>
        <w:tc>
          <w:tcPr>
            <w:tcW w:w="90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1,250,000(1)</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19.23%</w:t>
            </w:r>
          </w:p>
        </w:tc>
        <w:tc>
          <w:tcPr>
            <w:tcW w:w="160" w:type="dxa"/>
            <w:vAlign w:val="bottom"/>
            <w:shd w:val="clear" w:color="auto" w:fill="CCEEFF"/>
          </w:tcPr>
          <w:p>
            <w:pPr>
              <w:jc w:val="right"/>
              <w:ind w:right="9"/>
              <w:spacing w:after="0" w:line="140"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25,000</w:t>
            </w:r>
          </w:p>
        </w:tc>
        <w:tc>
          <w:tcPr>
            <w:tcW w:w="16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0.05%</w:t>
            </w:r>
          </w:p>
        </w:tc>
        <w:tc>
          <w:tcPr>
            <w:tcW w:w="12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0.02</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1,437,500</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19.27%</w:t>
            </w:r>
          </w:p>
        </w:tc>
        <w:tc>
          <w:tcPr>
            <w:tcW w:w="60" w:type="dxa"/>
            <w:vAlign w:val="bottom"/>
            <w:gridSpan w:val="2"/>
            <w:shd w:val="clear" w:color="auto" w:fill="CCEEFF"/>
          </w:tcPr>
          <w:p>
            <w:pPr>
              <w:spacing w:after="0"/>
              <w:rPr>
                <w:sz w:val="12"/>
                <w:szCs w:val="12"/>
                <w:color w:val="auto"/>
              </w:rPr>
            </w:pPr>
          </w:p>
        </w:tc>
        <w:tc>
          <w:tcPr>
            <w:tcW w:w="180" w:type="dxa"/>
            <w:vAlign w:val="bottom"/>
            <w:shd w:val="clear" w:color="auto" w:fill="CCEEFF"/>
          </w:tcPr>
          <w:p>
            <w:pPr>
              <w:jc w:val="right"/>
              <w:ind w:right="20"/>
              <w:spacing w:after="0" w:line="140" w:lineRule="exact"/>
              <w:rPr>
                <w:sz w:val="20"/>
                <w:szCs w:val="20"/>
                <w:color w:val="auto"/>
              </w:rPr>
            </w:pPr>
            <w:r>
              <w:rPr>
                <w:rFonts w:ascii="Arial" w:cs="Arial" w:eastAsia="Arial" w:hAnsi="Arial"/>
                <w:sz w:val="14"/>
                <w:szCs w:val="14"/>
                <w:color w:val="auto"/>
                <w:w w:val="76"/>
              </w:rPr>
              <w:t>$</w:t>
            </w:r>
          </w:p>
        </w:tc>
        <w:tc>
          <w:tcPr>
            <w:tcW w:w="860" w:type="dxa"/>
            <w:vAlign w:val="bottom"/>
            <w:gridSpan w:val="3"/>
            <w:shd w:val="clear" w:color="auto" w:fill="CCEEFF"/>
          </w:tcPr>
          <w:p>
            <w:pPr>
              <w:jc w:val="right"/>
              <w:spacing w:after="0" w:line="140" w:lineRule="exact"/>
              <w:rPr>
                <w:sz w:val="20"/>
                <w:szCs w:val="20"/>
                <w:color w:val="auto"/>
              </w:rPr>
            </w:pPr>
            <w:r>
              <w:rPr>
                <w:rFonts w:ascii="Arial" w:cs="Arial" w:eastAsia="Arial" w:hAnsi="Arial"/>
                <w:sz w:val="14"/>
                <w:szCs w:val="14"/>
                <w:color w:val="auto"/>
              </w:rPr>
              <w:t>25,000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spacing w:after="0" w:line="140" w:lineRule="exact"/>
              <w:rPr>
                <w:sz w:val="20"/>
                <w:szCs w:val="20"/>
                <w:color w:val="auto"/>
              </w:rPr>
            </w:pPr>
            <w:r>
              <w:rPr>
                <w:rFonts w:ascii="Arial" w:cs="Arial" w:eastAsia="Arial" w:hAnsi="Arial"/>
                <w:sz w:val="14"/>
                <w:szCs w:val="14"/>
                <w:color w:val="auto"/>
              </w:rPr>
              <w:t>0.04%</w:t>
            </w:r>
          </w:p>
        </w:tc>
        <w:tc>
          <w:tcPr>
            <w:tcW w:w="12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line="140"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0.02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4"/>
                <w:szCs w:val="14"/>
                <w:color w:val="auto"/>
              </w:rPr>
              <w:t>Private shares</w:t>
            </w:r>
          </w:p>
        </w:tc>
        <w:tc>
          <w:tcPr>
            <w:tcW w:w="108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250,000(2)</w:t>
            </w:r>
          </w:p>
        </w:tc>
        <w:tc>
          <w:tcPr>
            <w:tcW w:w="100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3.85</w:t>
            </w:r>
          </w:p>
        </w:tc>
        <w:tc>
          <w:tcPr>
            <w:tcW w:w="16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4"/>
                <w:szCs w:val="14"/>
                <w:color w:val="auto"/>
              </w:rPr>
              <w:t>2,500,000</w:t>
            </w: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4.76</w:t>
            </w: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10.00</w:t>
            </w:r>
          </w:p>
        </w:tc>
        <w:tc>
          <w:tcPr>
            <w:tcW w:w="120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272,500(3)</w:t>
            </w:r>
          </w:p>
        </w:tc>
        <w:tc>
          <w:tcPr>
            <w:tcW w:w="960" w:type="dxa"/>
            <w:vAlign w:val="bottom"/>
            <w:gridSpan w:val="2"/>
          </w:tcPr>
          <w:p>
            <w:pPr>
              <w:jc w:val="right"/>
              <w:ind w:right="89"/>
              <w:spacing w:after="0" w:line="147" w:lineRule="exact"/>
              <w:rPr>
                <w:sz w:val="20"/>
                <w:szCs w:val="20"/>
                <w:color w:val="auto"/>
              </w:rPr>
            </w:pPr>
            <w:r>
              <w:rPr>
                <w:rFonts w:ascii="Arial" w:cs="Arial" w:eastAsia="Arial" w:hAnsi="Arial"/>
                <w:sz w:val="14"/>
                <w:szCs w:val="14"/>
                <w:color w:val="auto"/>
              </w:rPr>
              <w:t>3.65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4"/>
          </w:tcPr>
          <w:p>
            <w:pPr>
              <w:jc w:val="right"/>
              <w:ind w:right="100"/>
              <w:spacing w:after="0" w:line="147" w:lineRule="exact"/>
              <w:rPr>
                <w:sz w:val="20"/>
                <w:szCs w:val="20"/>
                <w:color w:val="auto"/>
              </w:rPr>
            </w:pPr>
            <w:r>
              <w:rPr>
                <w:rFonts w:ascii="Arial" w:cs="Arial" w:eastAsia="Arial" w:hAnsi="Arial"/>
                <w:sz w:val="14"/>
                <w:szCs w:val="14"/>
                <w:color w:val="auto"/>
              </w:rPr>
              <w:t>2,725,000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gridSpan w:val="3"/>
          </w:tcPr>
          <w:p>
            <w:pPr>
              <w:jc w:val="right"/>
              <w:ind w:right="120"/>
              <w:spacing w:after="0" w:line="147" w:lineRule="exact"/>
              <w:rPr>
                <w:sz w:val="20"/>
                <w:szCs w:val="20"/>
                <w:color w:val="auto"/>
              </w:rPr>
            </w:pPr>
            <w:r>
              <w:rPr>
                <w:rFonts w:ascii="Arial" w:cs="Arial" w:eastAsia="Arial" w:hAnsi="Arial"/>
                <w:sz w:val="14"/>
                <w:szCs w:val="14"/>
                <w:color w:val="auto"/>
              </w:rPr>
              <w:t>4.52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right"/>
              <w:ind w:right="120"/>
              <w:spacing w:after="0" w:line="147"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4"/>
                <w:szCs w:val="14"/>
                <w:color w:val="auto"/>
              </w:rPr>
              <w:t>New investors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5,000,000</w:t>
            </w: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76.92</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50,000,000</w:t>
            </w:r>
          </w:p>
        </w:tc>
        <w:tc>
          <w:tcPr>
            <w:tcW w:w="160" w:type="dxa"/>
            <w:vAlign w:val="bottom"/>
            <w:tcBorders>
              <w:right w:val="single" w:sz="8" w:color="CCEEFF"/>
            </w:tcBorders>
            <w:shd w:val="clear" w:color="auto" w:fill="CCEEFF"/>
          </w:tcPr>
          <w:p>
            <w:pPr>
              <w:spacing w:after="0"/>
              <w:rPr>
                <w:sz w:val="13"/>
                <w:szCs w:val="1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95.19</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10.00</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5,750,000</w:t>
            </w: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77.08</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57,500,000</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95.44</w:t>
            </w:r>
          </w:p>
        </w:tc>
        <w:tc>
          <w:tcPr>
            <w:tcW w:w="12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6,500,000</w:t>
            </w:r>
          </w:p>
        </w:tc>
        <w:tc>
          <w:tcPr>
            <w:tcW w:w="18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100.00</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52,525,000</w:t>
            </w: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7,460,000</w:t>
            </w:r>
          </w:p>
        </w:tc>
        <w:tc>
          <w:tcPr>
            <w:tcW w:w="180" w:type="dxa"/>
            <w:vAlign w:val="bottom"/>
          </w:tcPr>
          <w:p>
            <w:pPr>
              <w:spacing w:after="0"/>
              <w:rPr>
                <w:sz w:val="17"/>
                <w:szCs w:val="17"/>
                <w:color w:val="auto"/>
              </w:rPr>
            </w:pPr>
          </w:p>
        </w:tc>
        <w:tc>
          <w:tcPr>
            <w:tcW w:w="960" w:type="dxa"/>
            <w:vAlign w:val="bottom"/>
            <w:gridSpan w:val="2"/>
          </w:tcPr>
          <w:p>
            <w:pPr>
              <w:jc w:val="right"/>
              <w:ind w:right="89"/>
              <w:spacing w:after="0"/>
              <w:rPr>
                <w:sz w:val="20"/>
                <w:szCs w:val="20"/>
                <w:color w:val="auto"/>
              </w:rPr>
            </w:pPr>
            <w:r>
              <w:rPr>
                <w:rFonts w:ascii="Arial" w:cs="Arial" w:eastAsia="Arial" w:hAnsi="Arial"/>
                <w:sz w:val="14"/>
                <w:szCs w:val="14"/>
                <w:color w:val="auto"/>
              </w:rPr>
              <w:t>100.00</w:t>
            </w:r>
          </w:p>
        </w:tc>
        <w:tc>
          <w:tcPr>
            <w:tcW w:w="2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4"/>
          </w:tcPr>
          <w:p>
            <w:pPr>
              <w:jc w:val="right"/>
              <w:ind w:right="100"/>
              <w:spacing w:after="0"/>
              <w:rPr>
                <w:sz w:val="20"/>
                <w:szCs w:val="20"/>
                <w:color w:val="auto"/>
              </w:rPr>
            </w:pPr>
            <w:r>
              <w:rPr>
                <w:rFonts w:ascii="Arial" w:cs="Arial" w:eastAsia="Arial" w:hAnsi="Arial"/>
                <w:sz w:val="14"/>
                <w:szCs w:val="14"/>
                <w:color w:val="auto"/>
              </w:rPr>
              <w:t>60,250,000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4"/>
                <w:szCs w:val="14"/>
                <w:color w:val="auto"/>
                <w:w w:val="88"/>
              </w:rPr>
              <w:t>100.00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360" w:hanging="233"/>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Assumes over-allotment is not exercised and the forfeiture of an aggregate of 187,500 insider shares.</w:t>
      </w:r>
    </w:p>
    <w:p>
      <w:pPr>
        <w:spacing w:after="0" w:line="219" w:lineRule="exact"/>
        <w:rPr>
          <w:rFonts w:ascii="Arial" w:cs="Arial" w:eastAsia="Arial" w:hAnsi="Arial"/>
          <w:sz w:val="18"/>
          <w:szCs w:val="18"/>
          <w:color w:val="auto"/>
        </w:rPr>
      </w:pPr>
    </w:p>
    <w:p>
      <w:pPr>
        <w:ind w:left="360" w:hanging="233"/>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250,000 private shares underlying the private units issued simultaneously with the consummation of this offering.</w:t>
      </w:r>
    </w:p>
    <w:p>
      <w:pPr>
        <w:spacing w:after="0" w:line="219" w:lineRule="exact"/>
        <w:rPr>
          <w:rFonts w:ascii="Arial" w:cs="Arial" w:eastAsia="Arial" w:hAnsi="Arial"/>
          <w:sz w:val="18"/>
          <w:szCs w:val="18"/>
          <w:color w:val="auto"/>
        </w:rPr>
      </w:pPr>
    </w:p>
    <w:p>
      <w:pPr>
        <w:ind w:left="360" w:hanging="233"/>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272,500 private shares underlying the private units issued simultaneously with the consummation of this offering.</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The pro forma net tangible book value per share after the offering and the sale of the private units is calculated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2"/>
          </w:tcPr>
          <w:p>
            <w:pPr>
              <w:jc w:val="right"/>
              <w:ind w:right="671"/>
              <w:spacing w:after="0"/>
              <w:rPr>
                <w:sz w:val="20"/>
                <w:szCs w:val="20"/>
                <w:color w:val="auto"/>
              </w:rPr>
            </w:pPr>
            <w:r>
              <w:rPr>
                <w:rFonts w:ascii="Arial" w:cs="Arial" w:eastAsia="Arial" w:hAnsi="Arial"/>
                <w:sz w:val="18"/>
                <w:szCs w:val="18"/>
                <w:color w:val="auto"/>
                <w:w w:val="96"/>
              </w:rPr>
              <w:t>Without Over-Allotment</w:t>
            </w:r>
          </w:p>
        </w:tc>
        <w:tc>
          <w:tcPr>
            <w:tcW w:w="120" w:type="dxa"/>
            <w:vAlign w:val="bottom"/>
          </w:tcPr>
          <w:p>
            <w:pPr>
              <w:spacing w:after="0"/>
              <w:rPr>
                <w:sz w:val="20"/>
                <w:szCs w:val="20"/>
                <w:color w:val="auto"/>
              </w:rPr>
            </w:pPr>
          </w:p>
        </w:tc>
        <w:tc>
          <w:tcPr>
            <w:tcW w:w="2500" w:type="dxa"/>
            <w:vAlign w:val="bottom"/>
            <w:gridSpan w:val="2"/>
          </w:tcPr>
          <w:p>
            <w:pPr>
              <w:jc w:val="right"/>
              <w:ind w:right="311"/>
              <w:spacing w:after="0"/>
              <w:rPr>
                <w:sz w:val="20"/>
                <w:szCs w:val="20"/>
                <w:color w:val="auto"/>
              </w:rPr>
            </w:pPr>
            <w:r>
              <w:rPr>
                <w:rFonts w:ascii="Arial" w:cs="Arial" w:eastAsia="Arial" w:hAnsi="Arial"/>
                <w:sz w:val="18"/>
                <w:szCs w:val="18"/>
                <w:color w:val="auto"/>
                <w:w w:val="94"/>
              </w:rPr>
              <w:t>With Over-Allotment Option</w:t>
            </w:r>
          </w:p>
        </w:tc>
        <w:tc>
          <w:tcPr>
            <w:tcW w:w="0" w:type="dxa"/>
            <w:vAlign w:val="bottom"/>
          </w:tcPr>
          <w:p>
            <w:pPr>
              <w:spacing w:after="0"/>
              <w:rPr>
                <w:sz w:val="1"/>
                <w:szCs w:val="1"/>
                <w:color w:val="auto"/>
              </w:rPr>
            </w:pPr>
          </w:p>
        </w:tc>
      </w:tr>
      <w:tr>
        <w:trPr>
          <w:trHeight w:val="221"/>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w:t>
            </w: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00" w:type="dxa"/>
            <w:vAlign w:val="bottom"/>
          </w:tcPr>
          <w:p>
            <w:pPr>
              <w:spacing w:after="0"/>
              <w:rPr>
                <w:sz w:val="20"/>
                <w:szCs w:val="20"/>
                <w:color w:val="auto"/>
              </w:rPr>
            </w:pPr>
            <w:r>
              <w:rPr>
                <w:rFonts w:ascii="Arial" w:cs="Arial" w:eastAsia="Arial" w:hAnsi="Arial"/>
                <w:sz w:val="18"/>
                <w:szCs w:val="18"/>
                <w:color w:val="auto"/>
              </w:rPr>
              <w:t>Net tangible book value before the offering</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580" w:type="dxa"/>
            <w:vAlign w:val="bottom"/>
            <w:gridSpan w:val="2"/>
          </w:tcPr>
          <w:p>
            <w:pPr>
              <w:jc w:val="right"/>
              <w:ind w:right="411"/>
              <w:spacing w:after="0"/>
              <w:rPr>
                <w:sz w:val="20"/>
                <w:szCs w:val="20"/>
                <w:color w:val="auto"/>
              </w:rPr>
            </w:pPr>
            <w:r>
              <w:rPr>
                <w:rFonts w:ascii="Arial" w:cs="Arial" w:eastAsia="Arial" w:hAnsi="Arial"/>
                <w:sz w:val="18"/>
                <w:szCs w:val="18"/>
                <w:color w:val="auto"/>
              </w:rPr>
              <w:t>(85,000)</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2500" w:type="dxa"/>
            <w:vAlign w:val="bottom"/>
            <w:gridSpan w:val="2"/>
          </w:tcPr>
          <w:p>
            <w:pPr>
              <w:jc w:val="right"/>
              <w:ind w:right="71"/>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13"/>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this offering and private placement of private units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471"/>
              <w:spacing w:after="0"/>
              <w:rPr>
                <w:sz w:val="20"/>
                <w:szCs w:val="20"/>
                <w:color w:val="auto"/>
              </w:rPr>
            </w:pPr>
            <w:r>
              <w:rPr>
                <w:rFonts w:ascii="Arial" w:cs="Arial" w:eastAsia="Arial" w:hAnsi="Arial"/>
                <w:sz w:val="18"/>
                <w:szCs w:val="18"/>
                <w:color w:val="auto"/>
              </w:rPr>
              <w:t>49,525,000</w:t>
            </w:r>
          </w:p>
        </w:tc>
        <w:tc>
          <w:tcPr>
            <w:tcW w:w="12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56,875,000</w:t>
            </w:r>
          </w:p>
        </w:tc>
        <w:tc>
          <w:tcPr>
            <w:tcW w:w="0" w:type="dxa"/>
            <w:vAlign w:val="bottom"/>
          </w:tcPr>
          <w:p>
            <w:pPr>
              <w:spacing w:after="0"/>
              <w:rPr>
                <w:sz w:val="1"/>
                <w:szCs w:val="1"/>
                <w:color w:val="auto"/>
              </w:rPr>
            </w:pPr>
          </w:p>
        </w:tc>
      </w:tr>
      <w:tr>
        <w:trPr>
          <w:trHeight w:val="201"/>
        </w:trPr>
        <w:tc>
          <w:tcPr>
            <w:tcW w:w="5900" w:type="dxa"/>
            <w:vAlign w:val="bottom"/>
          </w:tcPr>
          <w:p>
            <w:pPr>
              <w:spacing w:after="0" w:line="201" w:lineRule="exact"/>
              <w:rPr>
                <w:sz w:val="20"/>
                <w:szCs w:val="20"/>
                <w:color w:val="auto"/>
              </w:rPr>
            </w:pPr>
            <w:r>
              <w:rPr>
                <w:rFonts w:ascii="Arial" w:cs="Arial" w:eastAsia="Arial" w:hAnsi="Arial"/>
                <w:sz w:val="18"/>
                <w:szCs w:val="18"/>
                <w:color w:val="auto"/>
                <w:w w:val="96"/>
              </w:rPr>
              <w:t>Plus: Offering costs accrued for and paid in advance, excluded tangible book</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900" w:type="dxa"/>
            <w:vAlign w:val="bottom"/>
          </w:tcPr>
          <w:p>
            <w:pPr>
              <w:ind w:left="160"/>
              <w:spacing w:after="0"/>
              <w:rPr>
                <w:sz w:val="20"/>
                <w:szCs w:val="20"/>
                <w:color w:val="auto"/>
              </w:rPr>
            </w:pPr>
            <w:r>
              <w:rPr>
                <w:rFonts w:ascii="Arial" w:cs="Arial" w:eastAsia="Arial" w:hAnsi="Arial"/>
                <w:sz w:val="18"/>
                <w:szCs w:val="18"/>
                <w:color w:val="auto"/>
              </w:rPr>
              <w:t>value before this offering</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108,957</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108,957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Plus: Proceeds from sale of unit purchase option to underwriters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471"/>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6"/>
        </w:trPr>
        <w:tc>
          <w:tcPr>
            <w:tcW w:w="5900" w:type="dxa"/>
            <w:vAlign w:val="bottom"/>
          </w:tcPr>
          <w:p>
            <w:pPr>
              <w:spacing w:after="0"/>
              <w:rPr>
                <w:sz w:val="20"/>
                <w:szCs w:val="20"/>
                <w:color w:val="auto"/>
              </w:rPr>
            </w:pPr>
            <w:r>
              <w:rPr>
                <w:rFonts w:ascii="Arial" w:cs="Arial" w:eastAsia="Arial" w:hAnsi="Arial"/>
                <w:sz w:val="18"/>
                <w:szCs w:val="18"/>
                <w:color w:val="auto"/>
              </w:rPr>
              <w:t>Less: Proceeds held in the trust account subject to conversion/tender</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gridSpan w:val="2"/>
          </w:tcPr>
          <w:p>
            <w:pPr>
              <w:jc w:val="right"/>
              <w:ind w:right="411"/>
              <w:spacing w:after="0"/>
              <w:rPr>
                <w:sz w:val="20"/>
                <w:szCs w:val="20"/>
                <w:color w:val="auto"/>
              </w:rPr>
            </w:pPr>
            <w:r>
              <w:rPr>
                <w:rFonts w:ascii="Arial" w:cs="Arial" w:eastAsia="Arial" w:hAnsi="Arial"/>
                <w:sz w:val="18"/>
                <w:szCs w:val="18"/>
                <w:color w:val="auto"/>
              </w:rPr>
              <w:t>(44,549,050)</w:t>
            </w:r>
          </w:p>
        </w:tc>
        <w:tc>
          <w:tcPr>
            <w:tcW w:w="120" w:type="dxa"/>
            <w:vAlign w:val="bottom"/>
          </w:tcPr>
          <w:p>
            <w:pPr>
              <w:spacing w:after="0"/>
              <w:rPr>
                <w:sz w:val="19"/>
                <w:szCs w:val="19"/>
                <w:color w:val="auto"/>
              </w:rPr>
            </w:pPr>
          </w:p>
        </w:tc>
        <w:tc>
          <w:tcPr>
            <w:tcW w:w="2500" w:type="dxa"/>
            <w:vAlign w:val="bottom"/>
            <w:gridSpan w:val="2"/>
          </w:tcPr>
          <w:p>
            <w:pPr>
              <w:jc w:val="right"/>
              <w:ind w:right="71"/>
              <w:spacing w:after="0"/>
              <w:rPr>
                <w:sz w:val="20"/>
                <w:szCs w:val="20"/>
                <w:color w:val="auto"/>
              </w:rPr>
            </w:pPr>
            <w:r>
              <w:rPr>
                <w:rFonts w:ascii="Arial" w:cs="Arial" w:eastAsia="Arial" w:hAnsi="Arial"/>
                <w:sz w:val="18"/>
                <w:szCs w:val="18"/>
                <w:color w:val="auto"/>
              </w:rPr>
              <w:t>(51,899,050)</w:t>
            </w:r>
          </w:p>
        </w:tc>
        <w:tc>
          <w:tcPr>
            <w:tcW w:w="0" w:type="dxa"/>
            <w:vAlign w:val="bottom"/>
          </w:tcPr>
          <w:p>
            <w:pPr>
              <w:spacing w:after="0"/>
              <w:rPr>
                <w:sz w:val="1"/>
                <w:szCs w:val="1"/>
                <w:color w:val="auto"/>
              </w:rPr>
            </w:pPr>
          </w:p>
        </w:tc>
      </w:tr>
      <w:tr>
        <w:trPr>
          <w:trHeight w:val="20"/>
        </w:trPr>
        <w:tc>
          <w:tcPr>
            <w:tcW w:w="59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jc w:val="right"/>
              <w:ind w:right="251"/>
              <w:spacing w:after="0"/>
              <w:rPr>
                <w:sz w:val="20"/>
                <w:szCs w:val="20"/>
                <w:color w:val="auto"/>
              </w:rPr>
            </w:pPr>
            <w:r>
              <w:rPr>
                <w:rFonts w:ascii="Arial" w:cs="Arial" w:eastAsia="Arial" w:hAnsi="Arial"/>
                <w:sz w:val="18"/>
                <w:szCs w:val="18"/>
                <w:color w:val="auto"/>
                <w:w w:val="90"/>
              </w:rPr>
              <w:t>(1)</w:t>
            </w:r>
          </w:p>
        </w:tc>
        <w:tc>
          <w:tcPr>
            <w:tcW w:w="12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90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5,000,007</w:t>
            </w:r>
          </w:p>
        </w:tc>
        <w:tc>
          <w:tcPr>
            <w:tcW w:w="5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5,000,007</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Denominator</w:t>
            </w: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9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outstanding prior to this offering</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51"/>
              <w:spacing w:after="0"/>
              <w:rPr>
                <w:sz w:val="20"/>
                <w:szCs w:val="20"/>
                <w:color w:val="auto"/>
              </w:rPr>
            </w:pPr>
            <w:r>
              <w:rPr>
                <w:rFonts w:ascii="Arial" w:cs="Arial" w:eastAsia="Arial" w:hAnsi="Arial"/>
                <w:sz w:val="18"/>
                <w:szCs w:val="18"/>
                <w:color w:val="auto"/>
              </w:rPr>
              <w:t>1,250,000(2)</w:t>
            </w:r>
          </w:p>
        </w:tc>
        <w:tc>
          <w:tcPr>
            <w:tcW w:w="12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1,437,500(1)</w:t>
            </w:r>
          </w:p>
        </w:tc>
        <w:tc>
          <w:tcPr>
            <w:tcW w:w="0" w:type="dxa"/>
            <w:vAlign w:val="bottom"/>
          </w:tcPr>
          <w:p>
            <w:pPr>
              <w:spacing w:after="0"/>
              <w:rPr>
                <w:sz w:val="1"/>
                <w:szCs w:val="1"/>
                <w:color w:val="auto"/>
              </w:rPr>
            </w:pPr>
          </w:p>
        </w:tc>
      </w:tr>
      <w:tr>
        <w:trPr>
          <w:trHeight w:val="213"/>
        </w:trPr>
        <w:tc>
          <w:tcPr>
            <w:tcW w:w="5900" w:type="dxa"/>
            <w:vAlign w:val="bottom"/>
          </w:tcPr>
          <w:p>
            <w:pPr>
              <w:spacing w:after="0"/>
              <w:rPr>
                <w:sz w:val="20"/>
                <w:szCs w:val="20"/>
                <w:color w:val="auto"/>
              </w:rPr>
            </w:pPr>
            <w:r>
              <w:rPr>
                <w:rFonts w:ascii="Arial" w:cs="Arial" w:eastAsia="Arial" w:hAnsi="Arial"/>
                <w:sz w:val="18"/>
                <w:szCs w:val="18"/>
                <w:color w:val="auto"/>
              </w:rPr>
              <w:t>Shares of common stock to be sold in this offering</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5,000,000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5,750,000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to be sold in private placement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900" w:type="dxa"/>
            <w:vAlign w:val="bottom"/>
          </w:tcPr>
          <w:p>
            <w:pPr>
              <w:spacing w:after="0"/>
              <w:rPr>
                <w:sz w:val="20"/>
                <w:szCs w:val="20"/>
                <w:color w:val="auto"/>
              </w:rPr>
            </w:pPr>
            <w:r>
              <w:rPr>
                <w:rFonts w:ascii="Arial" w:cs="Arial" w:eastAsia="Arial" w:hAnsi="Arial"/>
                <w:sz w:val="18"/>
                <w:szCs w:val="18"/>
                <w:color w:val="auto"/>
              </w:rPr>
              <w:t>Less: Shares subject to conversion/tender</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gridSpan w:val="2"/>
          </w:tcPr>
          <w:p>
            <w:pPr>
              <w:jc w:val="right"/>
              <w:ind w:right="411"/>
              <w:spacing w:after="0"/>
              <w:rPr>
                <w:sz w:val="20"/>
                <w:szCs w:val="20"/>
                <w:color w:val="auto"/>
              </w:rPr>
            </w:pPr>
            <w:r>
              <w:rPr>
                <w:rFonts w:ascii="Arial" w:cs="Arial" w:eastAsia="Arial" w:hAnsi="Arial"/>
                <w:sz w:val="18"/>
                <w:szCs w:val="18"/>
                <w:color w:val="auto"/>
              </w:rPr>
              <w:t>(4,454,905)</w:t>
            </w:r>
          </w:p>
        </w:tc>
        <w:tc>
          <w:tcPr>
            <w:tcW w:w="120" w:type="dxa"/>
            <w:vAlign w:val="bottom"/>
          </w:tcPr>
          <w:p>
            <w:pPr>
              <w:spacing w:after="0"/>
              <w:rPr>
                <w:sz w:val="19"/>
                <w:szCs w:val="19"/>
                <w:color w:val="auto"/>
              </w:rPr>
            </w:pPr>
          </w:p>
        </w:tc>
        <w:tc>
          <w:tcPr>
            <w:tcW w:w="2500" w:type="dxa"/>
            <w:vAlign w:val="bottom"/>
            <w:gridSpan w:val="2"/>
          </w:tcPr>
          <w:p>
            <w:pPr>
              <w:jc w:val="right"/>
              <w:ind w:right="71"/>
              <w:spacing w:after="0"/>
              <w:rPr>
                <w:sz w:val="20"/>
                <w:szCs w:val="20"/>
                <w:color w:val="auto"/>
              </w:rPr>
            </w:pPr>
            <w:r>
              <w:rPr>
                <w:rFonts w:ascii="Arial" w:cs="Arial" w:eastAsia="Arial" w:hAnsi="Arial"/>
                <w:sz w:val="18"/>
                <w:szCs w:val="18"/>
                <w:color w:val="auto"/>
              </w:rPr>
              <w:t>(5,189,905)</w:t>
            </w:r>
          </w:p>
        </w:tc>
        <w:tc>
          <w:tcPr>
            <w:tcW w:w="0" w:type="dxa"/>
            <w:vAlign w:val="bottom"/>
          </w:tcPr>
          <w:p>
            <w:pPr>
              <w:spacing w:after="0"/>
              <w:rPr>
                <w:sz w:val="1"/>
                <w:szCs w:val="1"/>
                <w:color w:val="auto"/>
              </w:rPr>
            </w:pPr>
          </w:p>
        </w:tc>
      </w:tr>
      <w:tr>
        <w:trPr>
          <w:trHeight w:val="233"/>
        </w:trPr>
        <w:tc>
          <w:tcPr>
            <w:tcW w:w="59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2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2,045,095</w:t>
            </w:r>
          </w:p>
        </w:tc>
        <w:tc>
          <w:tcPr>
            <w:tcW w:w="560" w:type="dxa"/>
            <w:vAlign w:val="bottom"/>
            <w:tcBorders>
              <w:top w:val="single" w:sz="8" w:color="CCEEFF"/>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90"/>
              </w:rPr>
              <w:t>(3)</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2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2,270,095</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1"/>
              </w:rPr>
              <w:t>(2)</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169545</wp:posOffset>
            </wp:positionV>
            <wp:extent cx="144780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47800" cy="17145"/>
                    </a:xfrm>
                    <a:prstGeom prst="rect">
                      <a:avLst/>
                    </a:prstGeom>
                    <a:noFill/>
                  </pic:spPr>
                </pic:pic>
              </a:graphicData>
            </a:graphic>
          </wp:anchor>
        </w:drawing>
      </w:r>
    </w:p>
    <w:p>
      <w:pPr>
        <w:spacing w:after="0" w:line="328" w:lineRule="exact"/>
        <w:rPr>
          <w:sz w:val="20"/>
          <w:szCs w:val="20"/>
          <w:color w:val="auto"/>
        </w:rPr>
      </w:pPr>
    </w:p>
    <w:p>
      <w:pPr>
        <w:ind w:left="460" w:hanging="347"/>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Reflects the forfeiture of an aggregate of 187,500 insider shares.</w:t>
      </w:r>
    </w:p>
    <w:p>
      <w:pPr>
        <w:spacing w:after="0" w:line="17" w:lineRule="exact"/>
        <w:rPr>
          <w:rFonts w:ascii="Arial" w:cs="Arial" w:eastAsia="Arial" w:hAnsi="Arial"/>
          <w:sz w:val="18"/>
          <w:szCs w:val="18"/>
          <w:color w:val="auto"/>
        </w:rPr>
      </w:pPr>
    </w:p>
    <w:p>
      <w:pPr>
        <w:ind w:left="460" w:hanging="347"/>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Does not include the units underlying the unit purchase option available to the underwriters.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52" w:lineRule="exact"/>
        <w:rPr>
          <w:sz w:val="20"/>
          <w:szCs w:val="20"/>
          <w:color w:val="auto"/>
        </w:rPr>
      </w:pPr>
    </w:p>
    <w:p>
      <w:pPr>
        <w:ind w:right="200"/>
        <w:spacing w:after="0" w:line="267" w:lineRule="auto"/>
        <w:rPr>
          <w:sz w:val="20"/>
          <w:szCs w:val="20"/>
          <w:color w:val="auto"/>
        </w:rPr>
      </w:pPr>
      <w:r>
        <w:rPr>
          <w:rFonts w:ascii="Arial" w:cs="Arial" w:eastAsia="Arial" w:hAnsi="Arial"/>
          <w:sz w:val="18"/>
          <w:szCs w:val="18"/>
          <w:color w:val="auto"/>
        </w:rPr>
        <w:t>The following table sets forth our capitalization at September 11, 2015 and as adjusted to give effect to the sale of our units offered by this prospectus and the private units and the application of the estimated net proceeds derived from the sale of such securities: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40" w:type="dxa"/>
            <w:vAlign w:val="bottom"/>
            <w:gridSpan w:val="7"/>
          </w:tcPr>
          <w:p>
            <w:pPr>
              <w:jc w:val="right"/>
              <w:ind w:right="1100"/>
              <w:spacing w:after="0"/>
              <w:rPr>
                <w:sz w:val="20"/>
                <w:szCs w:val="20"/>
                <w:color w:val="auto"/>
              </w:rPr>
            </w:pPr>
            <w:r>
              <w:rPr>
                <w:rFonts w:ascii="Arial" w:cs="Arial" w:eastAsia="Arial" w:hAnsi="Arial"/>
                <w:sz w:val="18"/>
                <w:szCs w:val="18"/>
                <w:color w:val="auto"/>
              </w:rPr>
              <w:t>September 11, 2015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3"/>
          </w:tcPr>
          <w:p>
            <w:pPr>
              <w:ind w:left="220"/>
              <w:spacing w:after="0"/>
              <w:rPr>
                <w:sz w:val="20"/>
                <w:szCs w:val="20"/>
                <w:color w:val="auto"/>
              </w:rPr>
            </w:pPr>
            <w:r>
              <w:rPr>
                <w:rFonts w:ascii="Arial" w:cs="Arial" w:eastAsia="Arial" w:hAnsi="Arial"/>
                <w:sz w:val="18"/>
                <w:szCs w:val="18"/>
                <w:color w:val="auto"/>
              </w:rPr>
              <w:t>Actual</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w w:val="92"/>
              </w:rPr>
              <w:t>As Adjusted (1)</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vMerge w:val="restart"/>
          </w:tcPr>
          <w:p>
            <w:pPr>
              <w:spacing w:after="0"/>
              <w:rPr>
                <w:sz w:val="19"/>
                <w:szCs w:val="19"/>
                <w:color w:val="auto"/>
              </w:rPr>
            </w:pPr>
          </w:p>
        </w:tc>
        <w:tc>
          <w:tcPr>
            <w:tcW w:w="226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payable to related &amp; unrelated parties (2)</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90,000</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60" w:type="dxa"/>
            <w:vAlign w:val="bottom"/>
            <w:tcBorders>
              <w:bottom w:val="single" w:sz="8" w:color="CCEEFF"/>
            </w:tcBorders>
            <w:gridSpan w:val="2"/>
          </w:tcPr>
          <w:p>
            <w:pPr>
              <w:spacing w:after="0" w:line="204" w:lineRule="exact"/>
              <w:rPr>
                <w:sz w:val="20"/>
                <w:szCs w:val="20"/>
                <w:color w:val="auto"/>
              </w:rPr>
            </w:pPr>
            <w:r>
              <w:rPr>
                <w:rFonts w:ascii="Arial" w:cs="Arial" w:eastAsia="Arial" w:hAnsi="Arial"/>
                <w:sz w:val="18"/>
                <w:szCs w:val="18"/>
                <w:color w:val="auto"/>
              </w:rPr>
              <w:t>Deferred underwriting commissions payable</w:t>
            </w:r>
          </w:p>
        </w:tc>
        <w:tc>
          <w:tcPr>
            <w:tcW w:w="3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60" w:type="dxa"/>
            <w:vAlign w:val="bottom"/>
            <w:gridSpan w:val="2"/>
            <w:shd w:val="clear" w:color="auto" w:fill="CCEEFF"/>
          </w:tcPr>
          <w:p>
            <w:pPr>
              <w:spacing w:after="0" w:line="204" w:lineRule="exact"/>
              <w:rPr>
                <w:sz w:val="20"/>
                <w:szCs w:val="20"/>
                <w:color w:val="auto"/>
              </w:rPr>
            </w:pPr>
            <w:r>
              <w:rPr>
                <w:rFonts w:ascii="Arial" w:cs="Arial" w:eastAsia="Arial" w:hAnsi="Arial"/>
                <w:sz w:val="18"/>
                <w:szCs w:val="18"/>
                <w:color w:val="auto"/>
              </w:rPr>
              <w:t>Common stock, $.001 par value; 0 and 4,454,905 shares which are subject to conversion/tender</w:t>
            </w:r>
          </w:p>
        </w:tc>
        <w:tc>
          <w:tcPr>
            <w:tcW w:w="3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44,549,050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88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$.001 par value, 1,000,000 shares authorized; none issued and outstanding</w:t>
            </w:r>
          </w:p>
        </w:tc>
        <w:tc>
          <w:tcPr>
            <w:tcW w:w="3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860" w:type="dxa"/>
            <w:vAlign w:val="bottom"/>
            <w:gridSpan w:val="2"/>
          </w:tcPr>
          <w:p>
            <w:pPr>
              <w:spacing w:after="0" w:line="201" w:lineRule="exact"/>
              <w:rPr>
                <w:sz w:val="20"/>
                <w:szCs w:val="20"/>
                <w:color w:val="auto"/>
              </w:rPr>
            </w:pPr>
            <w:r>
              <w:rPr>
                <w:rFonts w:ascii="Arial" w:cs="Arial" w:eastAsia="Arial" w:hAnsi="Arial"/>
                <w:sz w:val="18"/>
                <w:szCs w:val="18"/>
                <w:color w:val="auto"/>
                <w:w w:val="92"/>
              </w:rPr>
              <w:t>Common stock, $.001 par value, 50,000,000 shares authorized; 1,437,500 shares issued and outstanding,</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80" w:type="dxa"/>
            <w:vAlign w:val="bottom"/>
            <w:gridSpan w:val="3"/>
          </w:tcPr>
          <w:p>
            <w:pPr>
              <w:spacing w:after="0"/>
              <w:rPr>
                <w:sz w:val="20"/>
                <w:szCs w:val="20"/>
                <w:color w:val="auto"/>
              </w:rPr>
            </w:pPr>
            <w:r>
              <w:rPr>
                <w:rFonts w:ascii="Arial" w:cs="Arial" w:eastAsia="Arial" w:hAnsi="Arial"/>
                <w:sz w:val="18"/>
                <w:szCs w:val="18"/>
                <w:color w:val="auto"/>
                <w:w w:val="99"/>
              </w:rPr>
              <w:t>actual; 2,045,095(3) shares issued and outstanding (excluding 4,454,905 shares subject to possible</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880" w:type="dxa"/>
            <w:vAlign w:val="bottom"/>
            <w:gridSpan w:val="3"/>
          </w:tcPr>
          <w:p>
            <w:pPr>
              <w:spacing w:after="0"/>
              <w:rPr>
                <w:sz w:val="20"/>
                <w:szCs w:val="20"/>
                <w:color w:val="auto"/>
              </w:rPr>
            </w:pPr>
            <w:r>
              <w:rPr>
                <w:rFonts w:ascii="Arial" w:cs="Arial" w:eastAsia="Arial" w:hAnsi="Arial"/>
                <w:sz w:val="18"/>
                <w:szCs w:val="18"/>
                <w:color w:val="auto"/>
              </w:rPr>
              <w:t>conversion/tender), as adjusted</w:t>
            </w:r>
          </w:p>
        </w:tc>
        <w:tc>
          <w:tcPr>
            <w:tcW w:w="30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1,438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2,045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23,562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4,999,005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(1,043)</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60" w:type="dxa"/>
            <w:vAlign w:val="bottom"/>
            <w:tcBorders>
              <w:top w:val="single" w:sz="8" w:color="CCEEFF"/>
            </w:tcBorders>
            <w:gridSpan w:val="2"/>
            <w:shd w:val="clear" w:color="auto" w:fill="CCEEFF"/>
          </w:tcPr>
          <w:p>
            <w:pPr>
              <w:spacing w:after="0" w:line="206" w:lineRule="exact"/>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23,957</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60" w:type="dxa"/>
            <w:vAlign w:val="bottom"/>
            <w:gridSpan w:val="2"/>
          </w:tcPr>
          <w:p>
            <w:pPr>
              <w:spacing w:after="0" w:line="204" w:lineRule="exact"/>
              <w:rPr>
                <w:sz w:val="20"/>
                <w:szCs w:val="20"/>
                <w:color w:val="auto"/>
              </w:rPr>
            </w:pPr>
            <w:r>
              <w:rPr>
                <w:rFonts w:ascii="Arial" w:cs="Arial" w:eastAsia="Arial" w:hAnsi="Arial"/>
                <w:sz w:val="18"/>
                <w:szCs w:val="18"/>
                <w:color w:val="auto"/>
              </w:rPr>
              <w:t>Total capitalization</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113,957</w:t>
            </w:r>
          </w:p>
        </w:tc>
        <w:tc>
          <w:tcPr>
            <w:tcW w:w="3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50,549,057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20" w:type="dxa"/>
            <w:vAlign w:val="bottom"/>
          </w:tcPr>
          <w:p>
            <w:pPr>
              <w:spacing w:after="0"/>
              <w:rPr>
                <w:sz w:val="22"/>
                <w:szCs w:val="22"/>
                <w:color w:val="auto"/>
              </w:rPr>
            </w:pPr>
          </w:p>
        </w:tc>
        <w:tc>
          <w:tcPr>
            <w:tcW w:w="2260" w:type="dxa"/>
            <w:vAlign w:val="bottom"/>
            <w:tcBorders>
              <w:bottom w:val="single" w:sz="8" w:color="auto"/>
            </w:tcBorders>
          </w:tcPr>
          <w:p>
            <w:pPr>
              <w:spacing w:after="0"/>
              <w:rPr>
                <w:sz w:val="22"/>
                <w:szCs w:val="22"/>
                <w:color w:val="auto"/>
              </w:rPr>
            </w:pPr>
          </w:p>
        </w:tc>
        <w:tc>
          <w:tcPr>
            <w:tcW w:w="5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360" w:hanging="233"/>
        <w:spacing w:after="0"/>
        <w:tabs>
          <w:tab w:leader="none" w:pos="3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Includes the $2,500,000 in aggregate we will receive from the sale of the private units. Assumes the over-allotment option has not been exercised.</w:t>
      </w:r>
    </w:p>
    <w:p>
      <w:pPr>
        <w:spacing w:after="0" w:line="28" w:lineRule="exact"/>
        <w:rPr>
          <w:rFonts w:ascii="Arial" w:cs="Arial" w:eastAsia="Arial" w:hAnsi="Arial"/>
          <w:sz w:val="17"/>
          <w:szCs w:val="17"/>
          <w:color w:val="auto"/>
        </w:rPr>
      </w:pPr>
    </w:p>
    <w:p>
      <w:pPr>
        <w:ind w:left="360" w:hanging="233"/>
        <w:spacing w:after="0" w:line="247" w:lineRule="auto"/>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Notes payable to related party of $35,000 and unrelated party of $55,000 are promissory notes issued in the aggregate amount of $90,000. The loans are payable without interest no later than the date on which our offering is consummated.</w:t>
      </w:r>
    </w:p>
    <w:p>
      <w:pPr>
        <w:ind w:left="360" w:hanging="233"/>
        <w:spacing w:after="0" w:line="254" w:lineRule="auto"/>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 and an aggregate of 187,500 insider shares have been forfeited by our insiders as a result thereof.</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were formed on April 23, 2015 for the purpose of entering into a merger, share exchange, asset acquisition, stock purchase, recapitalization, reorganization or other similar business combination with one or more target businesses. Our efforts to identify a prospective target business will not be limited to any particular industry or geographic region, although we intend to focus on target businesses operating in the technology, media and telecommunications industries. We intend to utilize cash derived from the proceeds of this offering and the private placement of the private units, our securities, debt or a combination of cash, securities and debt, in effecting our initial business combination. The issuance of additional shares of common stock or preferred stock in our initial business combination:</w:t>
      </w:r>
    </w:p>
    <w:p>
      <w:pPr>
        <w:spacing w:after="0" w:line="195" w:lineRule="exact"/>
        <w:rPr>
          <w:sz w:val="20"/>
          <w:szCs w:val="20"/>
          <w:color w:val="auto"/>
        </w:rPr>
      </w:pPr>
    </w:p>
    <w:p>
      <w:pPr>
        <w:ind w:left="580" w:hanging="333"/>
        <w:spacing w:after="0"/>
        <w:tabs>
          <w:tab w:leader="none" w:pos="5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may significantly dilute the equity interest of our investors in this offering who would not have pre-emption rights in respect of any such issuance;</w:t>
      </w:r>
    </w:p>
    <w:p>
      <w:pPr>
        <w:spacing w:after="0" w:line="231" w:lineRule="exact"/>
        <w:rPr>
          <w:rFonts w:ascii="Arial" w:cs="Arial" w:eastAsia="Arial" w:hAnsi="Arial"/>
          <w:sz w:val="17"/>
          <w:szCs w:val="17"/>
          <w:color w:val="auto"/>
        </w:rPr>
      </w:pPr>
    </w:p>
    <w:p>
      <w:pPr>
        <w:ind w:left="580" w:hanging="333"/>
        <w:spacing w:after="0" w:line="267"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subordinate the rights of holders of shares of common stock if we issue shares of preferred stock with rights senior to those afforded to our shares of common stock;</w:t>
      </w:r>
    </w:p>
    <w:p>
      <w:pPr>
        <w:spacing w:after="0" w:line="179" w:lineRule="exact"/>
        <w:rPr>
          <w:rFonts w:ascii="Arial" w:cs="Arial" w:eastAsia="Arial" w:hAnsi="Arial"/>
          <w:sz w:val="18"/>
          <w:szCs w:val="18"/>
          <w:color w:val="auto"/>
        </w:rPr>
      </w:pPr>
    </w:p>
    <w:p>
      <w:pPr>
        <w:jc w:val="both"/>
        <w:ind w:left="580" w:hanging="333"/>
        <w:spacing w:after="0" w:line="257"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will likely cause a change in control if a substantial number of our shares of common stock are issued, which may affect, among other things, our ability to use our net operating loss carry forwards, if any, and most likely will also result in the resignation or removal of our present officers and directors; and</w:t>
      </w:r>
    </w:p>
    <w:p>
      <w:pPr>
        <w:spacing w:after="0" w:line="188" w:lineRule="exact"/>
        <w:rPr>
          <w:rFonts w:ascii="Arial" w:cs="Arial" w:eastAsia="Arial" w:hAnsi="Arial"/>
          <w:sz w:val="18"/>
          <w:szCs w:val="18"/>
          <w:color w:val="auto"/>
        </w:rPr>
      </w:pPr>
    </w:p>
    <w:p>
      <w:pPr>
        <w:ind w:left="580" w:hanging="333"/>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securities.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Similarly, if we issue debt securities, it could result in:</w:t>
      </w:r>
    </w:p>
    <w:p>
      <w:pPr>
        <w:spacing w:after="0" w:line="220" w:lineRule="exact"/>
        <w:rPr>
          <w:sz w:val="20"/>
          <w:szCs w:val="20"/>
          <w:color w:val="auto"/>
        </w:rPr>
      </w:pPr>
    </w:p>
    <w:p>
      <w:pPr>
        <w:ind w:left="580" w:hanging="333"/>
        <w:spacing w:after="0"/>
        <w:tabs>
          <w:tab w:leader="none" w:pos="5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default and foreclosure on our assets if our operating revenues after our initial business combination are insufficient to pay our debt obligations;</w:t>
      </w:r>
    </w:p>
    <w:p>
      <w:pPr>
        <w:spacing w:after="0" w:line="231" w:lineRule="exact"/>
        <w:rPr>
          <w:rFonts w:ascii="Arial" w:cs="Arial" w:eastAsia="Arial" w:hAnsi="Arial"/>
          <w:sz w:val="17"/>
          <w:szCs w:val="17"/>
          <w:color w:val="auto"/>
        </w:rPr>
      </w:pPr>
    </w:p>
    <w:p>
      <w:pPr>
        <w:jc w:val="both"/>
        <w:ind w:left="580" w:hanging="333"/>
        <w:spacing w:after="0" w:line="257"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have made all principal and interest payments when due if the debt security contains covenants that required the maintenance of certain financial ratios or reserves and we breach any such covenant without a waiver or renegotiation of that covenant;</w:t>
      </w:r>
    </w:p>
    <w:p>
      <w:pPr>
        <w:spacing w:after="0" w:line="188" w:lineRule="exact"/>
        <w:rPr>
          <w:rFonts w:ascii="Arial" w:cs="Arial" w:eastAsia="Arial" w:hAnsi="Arial"/>
          <w:sz w:val="18"/>
          <w:szCs w:val="18"/>
          <w:color w:val="auto"/>
        </w:rPr>
      </w:pPr>
    </w:p>
    <w:p>
      <w:pPr>
        <w:ind w:left="580" w:hanging="333"/>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219" w:lineRule="exact"/>
        <w:rPr>
          <w:rFonts w:ascii="Arial" w:cs="Arial" w:eastAsia="Arial" w:hAnsi="Arial"/>
          <w:sz w:val="18"/>
          <w:szCs w:val="18"/>
          <w:color w:val="auto"/>
        </w:rPr>
      </w:pPr>
    </w:p>
    <w:p>
      <w:pPr>
        <w:ind w:left="580" w:hanging="333"/>
        <w:spacing w:after="0" w:line="267"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obtain additional financing, if necessary, if the debt security contains covenants restricting our ability to obtain additional financing while such security is outstanding; and</w:t>
      </w:r>
    </w:p>
    <w:p>
      <w:pPr>
        <w:spacing w:after="0" w:line="179" w:lineRule="exact"/>
        <w:rPr>
          <w:rFonts w:ascii="Arial" w:cs="Arial" w:eastAsia="Arial" w:hAnsi="Arial"/>
          <w:sz w:val="18"/>
          <w:szCs w:val="18"/>
          <w:color w:val="auto"/>
        </w:rPr>
      </w:pPr>
    </w:p>
    <w:p>
      <w:pPr>
        <w:ind w:left="580" w:hanging="333"/>
        <w:spacing w:after="0" w:line="267"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80"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We have neither engaged in any operations nor generated any revenues to date. Our entire activity since inception has been to prepare for our proposed fundraising through an offering of our equity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22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indicated in the accompanying financial statements, at September 11, 2015, we had $5,000 in cash and a working capital deficiency of $85,000. Management’s plans to address this uncertainty through this offering are discussed above. Our plans to raise capital or to consummate our initial business combination may not be successful. These factors, among others, raise substantial doubt about our ability to continue as a going concern.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52" w:name="page53"/>
    <w:bookmarkEnd w:id="52"/>
    <w:p>
      <w:pPr>
        <w:jc w:val="both"/>
        <w:spacing w:after="0" w:line="250" w:lineRule="auto"/>
        <w:rPr>
          <w:sz w:val="20"/>
          <w:szCs w:val="20"/>
          <w:color w:val="auto"/>
        </w:rPr>
      </w:pPr>
      <w:r>
        <w:rPr>
          <w:rFonts w:ascii="Arial" w:cs="Arial" w:eastAsia="Arial" w:hAnsi="Arial"/>
          <w:sz w:val="18"/>
          <w:szCs w:val="18"/>
          <w:color w:val="auto"/>
        </w:rPr>
        <w:t>Our liquidity needs have been satisfied to date through receipt of $25,000 from the sale of the insider shares and loans from insiders, a related party and an unrelated party in an aggregate amount of $90,000 that are more fully described below. Our expenses through the date of this prospectus have been $1,043. We estimate that the net proceeds from (1) the sale of the units in this offering, after deducting offering expenses of approximately $475,000 and underwriting discounts and commissions of $2,500,000 (or $2,875,000 if the over-allotment option is exercised in full) and (2) the sale of the private units for an aggregate purchase price of $2,500,000 (or $2,750,000 if the over-allotment option is exercised in full), will be $49,525,000 (or $56,875,000 if the over-allotment option is exercised in full). $50,000,000 (or $57,500,000 if the over-allotment option is exercised in full), which includes $1,000,000 of deferred underwriting commissions ($1,150,000 if the underwriter’s over-allotment option is exercised in full) will be held in the trust account. The remaining $525,000 will not be held in the trust account.</w:t>
      </w:r>
    </w:p>
    <w:p>
      <w:pPr>
        <w:spacing w:after="0" w:line="19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intend to use substantially all of the net proceeds of this offering, including the funds held in the trust account, in connection with our initial business combination and to pay our expenses relating thereto, including a deferred underwriting commission payable to Chardan Capital Markets, LLC in an amount equal to 2.0% of the total gross proceeds raised in the offering upon consummation of our initial business combination. To the extent that our capital stock is used in whole or in part as consideration to effect our initial business 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initial business combination if the funds available to us outside of the trust account were insufficient to cover such expenses.</w:t>
      </w:r>
    </w:p>
    <w:p>
      <w:pPr>
        <w:spacing w:after="0" w:line="17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believe that, upon consummation of this offering, the $525,000 of net proceeds not held in the trust account and the interest earned on the trust account balance (net of income, and other tax obligations) that may be released to us to fund our working capital requirements, which we anticipate will be approximately $87,500, will be sufficient to allow us to operate for at least the next 21 months, assuming that a business combination is not consummated during that time. Over this time period, we will be using these funds for identifying and evaluating prospective business combination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consummate our initial business combination with and structuring, negotiating and consummating the business combination. We anticipate that we will incur approximately:</w:t>
      </w:r>
    </w:p>
    <w:p>
      <w:pPr>
        <w:spacing w:after="0" w:line="167" w:lineRule="exact"/>
        <w:rPr>
          <w:sz w:val="20"/>
          <w:szCs w:val="20"/>
          <w:color w:val="auto"/>
        </w:rPr>
      </w:pPr>
    </w:p>
    <w:p>
      <w:pPr>
        <w:ind w:left="580" w:hanging="333"/>
        <w:spacing w:after="0" w:line="267"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$150,000 of expenses for the search for target businesses and for the legal, accounting and other third-party expenses attendant to the due diligence investigations, structuring and negotiating of our initial business combination;</w:t>
      </w:r>
    </w:p>
    <w:p>
      <w:pPr>
        <w:spacing w:after="0" w:line="179" w:lineRule="exact"/>
        <w:rPr>
          <w:rFonts w:ascii="Arial" w:cs="Arial" w:eastAsia="Arial" w:hAnsi="Arial"/>
          <w:sz w:val="18"/>
          <w:szCs w:val="18"/>
          <w:color w:val="auto"/>
        </w:rPr>
      </w:pPr>
    </w:p>
    <w:p>
      <w:pPr>
        <w:ind w:left="580" w:hanging="333"/>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$10,000 of expenses for the due diligence and investigation of a target business by our officers, directors and insiders;</w:t>
      </w:r>
    </w:p>
    <w:p>
      <w:pPr>
        <w:spacing w:after="0" w:line="219" w:lineRule="exact"/>
        <w:rPr>
          <w:rFonts w:ascii="Arial" w:cs="Arial" w:eastAsia="Arial" w:hAnsi="Arial"/>
          <w:sz w:val="18"/>
          <w:szCs w:val="18"/>
          <w:color w:val="auto"/>
        </w:rPr>
      </w:pPr>
    </w:p>
    <w:p>
      <w:pPr>
        <w:ind w:left="580" w:hanging="333"/>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$40,000 of expenses in legal and accounting fees relating to our SEC reporting obligations;</w:t>
      </w:r>
    </w:p>
    <w:p>
      <w:pPr>
        <w:spacing w:after="0" w:line="219" w:lineRule="exact"/>
        <w:rPr>
          <w:rFonts w:ascii="Arial" w:cs="Arial" w:eastAsia="Arial" w:hAnsi="Arial"/>
          <w:sz w:val="18"/>
          <w:szCs w:val="18"/>
          <w:color w:val="auto"/>
        </w:rPr>
      </w:pPr>
    </w:p>
    <w:p>
      <w:pPr>
        <w:ind w:left="580" w:hanging="333"/>
        <w:spacing w:after="0" w:line="267"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$210,000 for the payment of the administrative fee to Magna Management LLC (of $10,000 per month for up to 21 months), subject to deferral as described herein;</w:t>
      </w:r>
    </w:p>
    <w:p>
      <w:pPr>
        <w:spacing w:after="0" w:line="179" w:lineRule="exact"/>
        <w:rPr>
          <w:rFonts w:ascii="Arial" w:cs="Arial" w:eastAsia="Arial" w:hAnsi="Arial"/>
          <w:sz w:val="18"/>
          <w:szCs w:val="18"/>
          <w:color w:val="auto"/>
        </w:rPr>
      </w:pPr>
    </w:p>
    <w:p>
      <w:pPr>
        <w:ind w:left="580" w:hanging="333"/>
        <w:spacing w:after="0" w:line="267"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$115,000 for general working capital that will be used for miscellaneous expenses, liquidation obligations and reserves, including director and officer liability insurance premiums.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If our estimates of the costs of undertaking due diligence and negotiating our initial business combination are less than the actual amount necessary to do so, or the amount of interest available to us from the trust account is less than we expect as a result of the current interest rate environment, we may have insufficient funds available to operate our business prior to our initial business combination. Moreover, we may need to obtain additional financing either to consummate our initial business combination or because we become obligated to convert a significant number of our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Related Party Transactions</w:t>
      </w:r>
    </w:p>
    <w:p>
      <w:pPr>
        <w:spacing w:after="0" w:line="226"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As of September 11, 2015, a related party had loaned to us $35,000 to cover expenses related to this offering. The loan is payable without interest on the earlier of (i) the consummation of the Proposed Public Offering or (ii) the date on which the Company determines not to proceed with the Proposed Public Offering.</w:t>
      </w:r>
    </w:p>
    <w:p>
      <w:pPr>
        <w:spacing w:after="0" w:line="13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are obligated, commencing on the date of this prospectus, to pay Magna Management LLC, a company owned by our insiders, a monthly fee of $10,000 for general and administrative services.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w:t>
      </w:r>
    </w:p>
    <w:p>
      <w:pPr>
        <w:spacing w:after="0" w:line="1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insiders (and/or their designees) have committed that they will purchase an aggregate of 250,000 private units at $10.00 per private unit (for a total purchase price of $2,500,000) from us. These purchases will take place on a private placement basis simultaneously with the consummation of this offering. Our insiders have also agreed that if the over-allotment option is exercised by the underwriters in full or in part, they will purchase from us at a price of $10.00 per unit the number of private units (up to a maximum of 22,500 private units) that is necessary to maintain in the trust account an amount equal to $10.00 per share of common stock sold to the public in this offering. These additional private units will be purchased in a private placement that will occur simultaneously with the purchase of units resulting from the exercise of the over-allotment option.</w:t>
      </w:r>
    </w:p>
    <w:p>
      <w:pPr>
        <w:spacing w:after="0" w:line="17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do not believe we will need to raise additional funds following this offering in order to meet the expenditures required for operating our business. However, in order to finance transaction costs in connection with an intended initial business combination, our insiders, officers, directors or their affiliates may, but are not obligated to, loan us funds as may be required. In the event that the initial business combination does not close, we may use a portion of the working capital held outside the trust account to repay such loaned amounts, but no proceeds from our trust account would be used for such repayment. Such loans would be evidenced by promissory notes. The notes would either be paid upon consummation of our initial business combination, without interest, or, at the lender’s discretion, up to $200,000 of the notes may be converted upon consummation of our business combination into additional private units at a price of $10.00 per unit. If we do not complete a business combination, any other outstanding loans from our insiders, officers and directors or their affiliates, will be repaid only from amounts remaining outside our trust account, if any. We believe the purchase price of these units will approximate the fair value of such units when issued. However, if it is determined that, at the time of issuance, the fair value of such units exceeds the purchase price, we would record compensation expense for the excess of the fair value of the units on the day of issuance over the purchase price in accordance with ASC 718 — Compensation — Stock Compensation.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Controls and Procedures</w:t>
      </w:r>
    </w:p>
    <w:p>
      <w:pPr>
        <w:spacing w:after="0" w:line="22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are not currently required to maintain an effective system of internal control as defined by Section 404 of the Sarbanes-Oxley Act. We will be required to comply with the internal control requirements of the Sarbanes-Oxley Act for the fiscal year ending December 31, 2016. As of the date of this prospectus, we have not completed an assessment, nor has our independent registered public accounting firm tested our systems, of internal control. We expect to assess the internal control of our target business or businesses prior to the completion of our initial business combination and, if necessary, to implement and test additional controls as we may determine are necessary in order to state that we maintain an effective system of internal control. A target business may not be in compliance with the provisions of the Sarbanes-Oxley Act regarding the adequacy of internal control. Target businesses we may consider for our initial business combination may have internal controls that need improvement in areas such as: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54" w:name="page55"/>
    <w:bookmarkEnd w:id="54"/>
    <w:p>
      <w:pPr>
        <w:ind w:left="580" w:hanging="333"/>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staffing for financial, accounting and external reporting areas, including segregation of duties;</w:t>
      </w:r>
    </w:p>
    <w:p>
      <w:pPr>
        <w:spacing w:after="0" w:line="219" w:lineRule="exact"/>
        <w:rPr>
          <w:rFonts w:ascii="Arial" w:cs="Arial" w:eastAsia="Arial" w:hAnsi="Arial"/>
          <w:sz w:val="18"/>
          <w:szCs w:val="18"/>
          <w:color w:val="auto"/>
        </w:rPr>
      </w:pPr>
    </w:p>
    <w:p>
      <w:pPr>
        <w:ind w:left="580" w:hanging="333"/>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219" w:lineRule="exact"/>
        <w:rPr>
          <w:rFonts w:ascii="Arial" w:cs="Arial" w:eastAsia="Arial" w:hAnsi="Arial"/>
          <w:sz w:val="18"/>
          <w:szCs w:val="18"/>
          <w:color w:val="auto"/>
        </w:rPr>
      </w:pPr>
    </w:p>
    <w:p>
      <w:pPr>
        <w:ind w:left="580" w:hanging="333"/>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219" w:lineRule="exact"/>
        <w:rPr>
          <w:rFonts w:ascii="Arial" w:cs="Arial" w:eastAsia="Arial" w:hAnsi="Arial"/>
          <w:sz w:val="18"/>
          <w:szCs w:val="18"/>
          <w:color w:val="auto"/>
        </w:rPr>
      </w:pPr>
    </w:p>
    <w:p>
      <w:pPr>
        <w:ind w:left="580" w:hanging="333"/>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219" w:lineRule="exact"/>
        <w:rPr>
          <w:rFonts w:ascii="Arial" w:cs="Arial" w:eastAsia="Arial" w:hAnsi="Arial"/>
          <w:sz w:val="18"/>
          <w:szCs w:val="18"/>
          <w:color w:val="auto"/>
        </w:rPr>
      </w:pPr>
    </w:p>
    <w:p>
      <w:pPr>
        <w:ind w:left="580" w:hanging="333"/>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documentation of processes, assumptions and conclusions underlying significant estimates; and</w:t>
      </w:r>
    </w:p>
    <w:p>
      <w:pPr>
        <w:spacing w:after="0" w:line="219" w:lineRule="exact"/>
        <w:rPr>
          <w:rFonts w:ascii="Arial" w:cs="Arial" w:eastAsia="Arial" w:hAnsi="Arial"/>
          <w:sz w:val="18"/>
          <w:szCs w:val="18"/>
          <w:color w:val="auto"/>
        </w:rPr>
      </w:pPr>
    </w:p>
    <w:p>
      <w:pPr>
        <w:ind w:left="580" w:hanging="333"/>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2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When required by Section 404 and once our management’s report on internal control is complete, we will retain our independent registered public accounting firm to audit and render an opinion on such report. This independent registered public accounting firm may identify additional issues concerning a target business’s internal control while performing its audit of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net proceeds of this offering and the sale of the private units held in the trust account will be invested in U.S. government treasury bills with a maturity of 180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Commitments and Contractual Obligations; Quarterly Results</w:t>
      </w:r>
    </w:p>
    <w:p>
      <w:pPr>
        <w:spacing w:after="0" w:line="226"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As of September 11, 2015, we did not have any off-balance sheet arrangements as defined in Item 303(a)(4)(ii) of Regulation S-K and did not have any commitments or contractual obligations. No unaudited quarterly operating data is included in this prospectus as we have conducted no operations to date.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2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PROPOSED BUSINESS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a blank check company formed under the laws of the State of Delaware on April 23, 2015. We were formed for the purpose of entering into a merger, share exchange, asset acquisition, stock purchase, recapitalization, reorganization or other similar business combination, with one or more target businesses. To date, our efforts have been limited to organizational activities as well as activities related to this offering. Our efforts to identify a prospective target business will not be limited to any particular industry or geographic region, although we intend to focus our search on target businesses operating in the technology, media and telecommunications industries. We have not selected any target business for our initial business combination and we have not (nor has anyone on our behalf), directly or indirectly, engaged in any substantive discussions with a target business with respect to a business combination transaction with us.</w:t>
      </w:r>
    </w:p>
    <w:p>
      <w:pPr>
        <w:spacing w:after="0" w:line="16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believe our management team is well positioned to take advantage of investment opportunities in the technology, media and telecommunications industries, and that our contacts and sources in this sector will allow us to generate attractive business combination opportunities. Our management has extensive experience in the technology, media and telecommunications industries as managers, principals, advisors or directors of companies operating in or providing services to those industries. They also have extensive experience in identifying, negotiating with and conducting due diligence on companies targeted for acquisition and consummating acquisitions in the technology, media and telecommunications industries. Prior to the consummation of our initial business combination, we intend to leverage the industry experience of our executive officers, including their extensive contacts, relationships and access to acquisition opportunities, by focusing our efforts on identifying a prospective target business or businesses operating in or providing services to the technology, media and telecommunications industries, although we will not be limited to the technology, media and telecommunications industries.</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Subsequent to the consummation of our initial business combination, we believe that the strengths of our management team, particularly their extensive operations experience in the technology, media and telecommunications industries, will be valuable to any business in the technology, media and telecommunications industries with which we consummate our initial business combination, although the specific roles, if any, they may have following our initial business combination cannot be determined at this time.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competitive strengths to be the following: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Status as a public company</w:t>
      </w:r>
    </w:p>
    <w:p>
      <w:pPr>
        <w:spacing w:after="0" w:line="22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believe our structure will make us an attractive business combination partner to target businesses. As an existing public company, we offer a target business an alternative to the traditional initial public offering through a merger or other business combination. In this situation, the owners of the target business would exchange their shares of stock in the target business for shares of our stock or for a combination of shares of our stock and cash, allowing us to tailor the consideration to the specific needs of the sellers. We believe target businesses might find this method a more certain and cost effective method to becoming a public company than the typical initial public offering. In a typical initial public offering, there are additional expenses incurred in marketing, roadshow and public reporting efforts that will likely not be present to the same extent in connection with a business combination with us. Furthermore, once the business combination is consummated, the target business will have effectively become public, whereas an initial public offering is always subject to the underwriters’ ability to complete the offering, as well as general market conditions that could prevent the offering from occurring. Once public, we believe the target business would then have greater access to capital and an additional means of providing management incentives consistent with stockholders’ interests than it would have as a privately-held company. It can offer further benefits by augmenting a company’s profile among potential new customers and vendors and aid in attracting talented employees.</w:t>
      </w:r>
    </w:p>
    <w:p>
      <w:pPr>
        <w:spacing w:after="0" w:line="18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While we believe that our status as a public company will make us an attractive business partner, some potential target businesses may view the inherent limitations in our status as a blank check company, such as our lack of an operating history and our requirements to seek stockholder approval of any proposed initial business combination and provide holders of public shares the opportunity to convert their shares into cash from the trust account, as a deterrent and may prefer to effect a business combination with a more established entity or with a private company.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color w:val="auto"/>
        </w:rPr>
        <w:t>Transaction flexibility</w:t>
      </w:r>
    </w:p>
    <w:p>
      <w:pPr>
        <w:spacing w:after="0" w:line="22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offer a target business a variety of options such as providing the owners of a target business with shares in a public company and a public means to sell such shares, providing cash for stock, and providing capital for the potential growth and expansion of its operations or strengthening its balance sheet by reducing its debt ratio. Because we are able to consummate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since we have no specific business combination under consideration, we have not taken any steps to secure third party financing and it may not be available to 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Weaknesses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competitive weaknesses to be the following: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Limited Financial Resources</w:t>
      </w:r>
    </w:p>
    <w:p>
      <w:pPr>
        <w:spacing w:after="0" w:line="220" w:lineRule="exact"/>
        <w:rPr>
          <w:sz w:val="20"/>
          <w:szCs w:val="20"/>
          <w:color w:val="auto"/>
        </w:rPr>
      </w:pPr>
    </w:p>
    <w:p>
      <w:pPr>
        <w:jc w:val="both"/>
        <w:ind w:left="640"/>
        <w:spacing w:after="0" w:line="257" w:lineRule="auto"/>
        <w:rPr>
          <w:sz w:val="20"/>
          <w:szCs w:val="20"/>
          <w:color w:val="auto"/>
        </w:rPr>
      </w:pPr>
      <w:r>
        <w:rPr>
          <w:rFonts w:ascii="Arial" w:cs="Arial" w:eastAsia="Arial" w:hAnsi="Arial"/>
          <w:sz w:val="18"/>
          <w:szCs w:val="18"/>
          <w:color w:val="auto"/>
        </w:rPr>
        <w:t>Our financial reserves will be relatively limited when contrasted with those of venture capital firms, leveraged buyout firms and operating businesses competing for acquisitions. In addition, our financial resources could be reduced because of our obligation to convert shares held by our public stockholders as well as any tender offer we conduct.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Lack of experience with blank check companies</w:t>
      </w:r>
    </w:p>
    <w:p>
      <w:pPr>
        <w:spacing w:after="0" w:line="220" w:lineRule="exact"/>
        <w:rPr>
          <w:sz w:val="20"/>
          <w:szCs w:val="20"/>
          <w:color w:val="auto"/>
        </w:rPr>
      </w:pPr>
    </w:p>
    <w:p>
      <w:pPr>
        <w:jc w:val="both"/>
        <w:ind w:left="640"/>
        <w:spacing w:after="0" w:line="257" w:lineRule="auto"/>
        <w:rPr>
          <w:sz w:val="20"/>
          <w:szCs w:val="20"/>
          <w:color w:val="auto"/>
        </w:rPr>
      </w:pPr>
      <w:r>
        <w:rPr>
          <w:rFonts w:ascii="Arial" w:cs="Arial" w:eastAsia="Arial" w:hAnsi="Arial"/>
          <w:sz w:val="18"/>
          <w:szCs w:val="18"/>
          <w:color w:val="auto"/>
        </w:rPr>
        <w:t>Our management team is not experienced in pursuing business combinations on behalf of blank check companies. Other blank check companies may be sponsored and managed by individuals with prior experience in completing business combinations between blank check companies and target businesses. Our managements’ lack of experience may not be viewed favorably by target businesses.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Limited technical and human resources</w:t>
      </w:r>
    </w:p>
    <w:p>
      <w:pPr>
        <w:spacing w:after="0" w:line="220" w:lineRule="exact"/>
        <w:rPr>
          <w:sz w:val="20"/>
          <w:szCs w:val="20"/>
          <w:color w:val="auto"/>
        </w:rPr>
      </w:pPr>
    </w:p>
    <w:p>
      <w:pPr>
        <w:jc w:val="both"/>
        <w:ind w:left="640"/>
        <w:spacing w:after="0" w:line="257" w:lineRule="auto"/>
        <w:rPr>
          <w:sz w:val="20"/>
          <w:szCs w:val="20"/>
          <w:color w:val="auto"/>
        </w:rPr>
      </w:pPr>
      <w:r>
        <w:rPr>
          <w:rFonts w:ascii="Arial" w:cs="Arial" w:eastAsia="Arial" w:hAnsi="Arial"/>
          <w:sz w:val="18"/>
          <w:szCs w:val="18"/>
          <w:color w:val="auto"/>
        </w:rPr>
        <w:t>As a blank check company, we have limited technical and human resources. Many venture capital funds, leveraged buyout firms and operating businesses possess greater technical and human resources than we do and thus we may be at a disadvantage when competing with them for target businesses.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Delay associated with stockholder approval or tender offer</w:t>
      </w:r>
    </w:p>
    <w:p>
      <w:pPr>
        <w:spacing w:after="0" w:line="220" w:lineRule="exact"/>
        <w:rPr>
          <w:sz w:val="20"/>
          <w:szCs w:val="20"/>
          <w:color w:val="auto"/>
        </w:rPr>
      </w:pPr>
    </w:p>
    <w:p>
      <w:pPr>
        <w:jc w:val="both"/>
        <w:ind w:left="640"/>
        <w:spacing w:after="0" w:line="252" w:lineRule="auto"/>
        <w:rPr>
          <w:sz w:val="20"/>
          <w:szCs w:val="20"/>
          <w:color w:val="auto"/>
        </w:rPr>
      </w:pPr>
      <w:r>
        <w:rPr>
          <w:rFonts w:ascii="Arial" w:cs="Arial" w:eastAsia="Arial" w:hAnsi="Arial"/>
          <w:sz w:val="18"/>
          <w:szCs w:val="18"/>
          <w:color w:val="auto"/>
        </w:rPr>
        <w:t>We may be required to seek stockholder approval of our initial business combination. If we are not required to obtain stockholder approval of an initial business combination, we will allow our stockholders to sell their shares to us pursuant to a tender offer. Both seeking stockholder approval and conducting a tender offer will delay the consummation of our initial business combination. Other companies competing with us for acquisition opportunities may not be subject to similar requirement, or may be able to satisfy such requirements more quickly than we can. As a result, we may be at a disadvantage in competing for these opportunities.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are not presently engaged in, and we will not engage in, any substantive commercial business for an indefinite period of time following this offering. We intend to utilize cash derived from the proceeds of this offering and the private placement of private units, our capital stock, debt or a combination of these in effecting our initial business combination. Although substantially all of the net proceeds of this offering and the private placement of private units are intended to be applied generally toward effecting a business combination as described in this prospectus, the proceeds are not otherwise being designated for any more specific purposes. Accordingly, investors in this offering are investing without first having an opportunity to evaluate the specific merits or risks of any one or more business combinations. Our initial business combination may involve the acquisition of, or merger with, a company which does not need substantial additional capital but which desires to establish a public trading market for its shares. In the alternative, we may seek to consummate a business combination with a company that may be financially unstable or in its early stages of development or growth. While we may seek to effect simultaneous business combinations with more than one target business, we will probably have the ability, as a result of our limited resources, to effect only a single business combination.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auto"/>
        </w:rPr>
        <w:t>We Have Not Identified a Target Business</w:t>
      </w:r>
    </w:p>
    <w:p>
      <w:pPr>
        <w:spacing w:after="0" w:line="2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not selected any target business for our initial business combination and we have not (nor has anyone on our behalf), directly or indirectly, engaged in any substantive discussions with a target business with respect to a business combination transaction with us. As a result, we may not be able to locate a target business, and we may not be able to engage in a business combination with a target business on favorable terms or at all.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Target Businesses</w:t>
      </w:r>
    </w:p>
    <w:p>
      <w:pPr>
        <w:spacing w:after="0" w:line="22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While we have not yet identified any initial business combination candidates, we believe based on our management’s business knowledge and past experience that there are numerous business combination candidates. We anticipate that target business candidates will be brought to our attention from various unaffiliated sources, including investment bankers, venture capital funds, private equity funds, leveraged buyout funds, management buyout funds and other members of the financial community. Target businesses may be brought to our attention by such unaffiliated sources as a result of being solicited by us through calls or mailings. These sources may also introduce us to target businesses in which they think we may be interested on an unsolicited basis, since many of these sources will have read this prospectus and know what types of businesses we are targeting. Our officers and directors, as well as their affiliates, may also bring to our attention target business candidates that they become aware of through their business contacts as a result of formal or informal inquiries or discussions they may have, as well as attending trade shows or conventions. We may engage professional firms or other individuals that specialize in business acquisitions or mergers in the future, in which event we may pay a finder’s fee, consulting fee or other compensation to be determined in an arm’s length negotiation based on the terms of the transaction. In no event, however, will our insiders or any of the members of our management team be paid any finder’s fee, consulting fee or other compensation prior to, or for any services they render in order to effectuate, the consummation of our initial business combination (regardless of the type of transaction that it is). We have no present intention to enter into a business combination with a target business that is affiliated with any of our officers, directors, director nominees or insiders. However, we are not restricted from entering into any such transactions and may do so if (1) such transaction is approved by a majority of our disinterested and independent directors (if we have any at that time) and (2) we obtain an opinion from an independent investment banking firm that the business combination is fair to our unaffiliated stockholders from a financial point of view. As of the date of this prospectus, there are no affiliated entities that we would consider as a business combination target.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Selection of a Target Business and Structuring of Our Initial Business Combination</w:t>
      </w:r>
    </w:p>
    <w:p>
      <w:pPr>
        <w:spacing w:after="0" w:line="22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Subject to our management team’s fiduciary duties and the limitation that one or more target businesses have an aggregate fair market value of at least 80% of the value of the trust account (excluding any deferred underwriter’s fees and taxes payable on the income earned on the trust account) at the time of the execution of a definitive agreement for our initial business combination, as described below in more detail, our management will have virtually unrestricted flexibility in identifying and selecting a prospective target business. Additionally, there is no limitation on our ability to raise funds privately or through loans in connection with our initial business combination. We have not established any specific attributes or criteria (financial or otherwise) for prospective target businesses.</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Accordingly, there is no basis for investors in this offering to evaluate the possible merits or risks of the target business with which we may ultimately complete a business combination. To the extent we effect our initial business combination with a financially unstable company or an entity in its early stage of development or growth, including entities without established records of sales or earnings, we may be affected by numerous risks inherent in the business and operations of financially unstable and early stage or potential emerging growth companies. Although our management will endeavor to evaluate the risks inherent in a particular target business, we may not properly ascertain or assess all significant risk factors. In evaluating a prospective target business, our management may consider a variety of factors, including one or more of the following:</w:t>
      </w:r>
    </w:p>
    <w:p>
      <w:pPr>
        <w:spacing w:after="0" w:line="179" w:lineRule="exact"/>
        <w:rPr>
          <w:sz w:val="20"/>
          <w:szCs w:val="20"/>
          <w:color w:val="auto"/>
        </w:rPr>
      </w:pPr>
    </w:p>
    <w:p>
      <w:pPr>
        <w:ind w:left="580" w:hanging="333"/>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condition and results of operation;</w:t>
      </w:r>
    </w:p>
    <w:p>
      <w:pPr>
        <w:spacing w:after="0" w:line="219" w:lineRule="exact"/>
        <w:rPr>
          <w:rFonts w:ascii="Arial" w:cs="Arial" w:eastAsia="Arial" w:hAnsi="Arial"/>
          <w:sz w:val="18"/>
          <w:szCs w:val="18"/>
          <w:color w:val="auto"/>
        </w:rPr>
      </w:pPr>
    </w:p>
    <w:p>
      <w:pPr>
        <w:ind w:left="580" w:hanging="333"/>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growth potential;</w:t>
      </w:r>
    </w:p>
    <w:p>
      <w:pPr>
        <w:spacing w:after="0" w:line="219" w:lineRule="exact"/>
        <w:rPr>
          <w:rFonts w:ascii="Arial" w:cs="Arial" w:eastAsia="Arial" w:hAnsi="Arial"/>
          <w:sz w:val="18"/>
          <w:szCs w:val="18"/>
          <w:color w:val="auto"/>
        </w:rPr>
      </w:pPr>
    </w:p>
    <w:p>
      <w:pPr>
        <w:ind w:left="580" w:hanging="333"/>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brand recognition and potential;</w:t>
      </w:r>
    </w:p>
    <w:p>
      <w:pPr>
        <w:spacing w:after="0" w:line="219" w:lineRule="exact"/>
        <w:rPr>
          <w:rFonts w:ascii="Arial" w:cs="Arial" w:eastAsia="Arial" w:hAnsi="Arial"/>
          <w:sz w:val="18"/>
          <w:szCs w:val="18"/>
          <w:color w:val="auto"/>
        </w:rPr>
      </w:pPr>
    </w:p>
    <w:p>
      <w:pPr>
        <w:ind w:left="580" w:hanging="333"/>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return on equity or invested capital;</w:t>
      </w:r>
    </w:p>
    <w:p>
      <w:pPr>
        <w:spacing w:after="0" w:line="219" w:lineRule="exact"/>
        <w:rPr>
          <w:rFonts w:ascii="Arial" w:cs="Arial" w:eastAsia="Arial" w:hAnsi="Arial"/>
          <w:sz w:val="18"/>
          <w:szCs w:val="18"/>
          <w:color w:val="auto"/>
        </w:rPr>
      </w:pPr>
    </w:p>
    <w:p>
      <w:pPr>
        <w:ind w:left="580" w:hanging="333"/>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 capitalization or enterprise value;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58" w:name="page59"/>
    <w:bookmarkEnd w:id="58"/>
    <w:p>
      <w:pPr>
        <w:ind w:left="580" w:hanging="333"/>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experience and skill of management and availability of additional personnel;</w:t>
      </w:r>
    </w:p>
    <w:p>
      <w:pPr>
        <w:spacing w:after="0" w:line="246" w:lineRule="exact"/>
        <w:rPr>
          <w:rFonts w:ascii="Arial" w:cs="Arial" w:eastAsia="Arial" w:hAnsi="Arial"/>
          <w:sz w:val="18"/>
          <w:szCs w:val="18"/>
          <w:color w:val="auto"/>
        </w:rPr>
      </w:pPr>
    </w:p>
    <w:p>
      <w:pPr>
        <w:ind w:left="580" w:hanging="333"/>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capital requirements;</w:t>
      </w:r>
    </w:p>
    <w:p>
      <w:pPr>
        <w:spacing w:after="0" w:line="219" w:lineRule="exact"/>
        <w:rPr>
          <w:rFonts w:ascii="Arial" w:cs="Arial" w:eastAsia="Arial" w:hAnsi="Arial"/>
          <w:sz w:val="18"/>
          <w:szCs w:val="18"/>
          <w:color w:val="auto"/>
        </w:rPr>
      </w:pPr>
    </w:p>
    <w:p>
      <w:pPr>
        <w:ind w:left="580" w:hanging="333"/>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219" w:lineRule="exact"/>
        <w:rPr>
          <w:rFonts w:ascii="Arial" w:cs="Arial" w:eastAsia="Arial" w:hAnsi="Arial"/>
          <w:sz w:val="18"/>
          <w:szCs w:val="18"/>
          <w:color w:val="auto"/>
        </w:rPr>
      </w:pPr>
    </w:p>
    <w:p>
      <w:pPr>
        <w:ind w:left="580" w:hanging="333"/>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barriers to entry;</w:t>
      </w:r>
    </w:p>
    <w:p>
      <w:pPr>
        <w:spacing w:after="0" w:line="219" w:lineRule="exact"/>
        <w:rPr>
          <w:rFonts w:ascii="Arial" w:cs="Arial" w:eastAsia="Arial" w:hAnsi="Arial"/>
          <w:sz w:val="18"/>
          <w:szCs w:val="18"/>
          <w:color w:val="auto"/>
        </w:rPr>
      </w:pPr>
    </w:p>
    <w:p>
      <w:pPr>
        <w:ind w:left="580" w:hanging="333"/>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stage of development of the products, processes or services;</w:t>
      </w:r>
    </w:p>
    <w:p>
      <w:pPr>
        <w:spacing w:after="0" w:line="219" w:lineRule="exact"/>
        <w:rPr>
          <w:rFonts w:ascii="Arial" w:cs="Arial" w:eastAsia="Arial" w:hAnsi="Arial"/>
          <w:sz w:val="18"/>
          <w:szCs w:val="18"/>
          <w:color w:val="auto"/>
        </w:rPr>
      </w:pPr>
    </w:p>
    <w:p>
      <w:pPr>
        <w:ind w:left="580" w:hanging="333"/>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existing distribution and potential for expansion;</w:t>
      </w:r>
    </w:p>
    <w:p>
      <w:pPr>
        <w:spacing w:after="0" w:line="219" w:lineRule="exact"/>
        <w:rPr>
          <w:rFonts w:ascii="Arial" w:cs="Arial" w:eastAsia="Arial" w:hAnsi="Arial"/>
          <w:sz w:val="18"/>
          <w:szCs w:val="18"/>
          <w:color w:val="auto"/>
        </w:rPr>
      </w:pPr>
    </w:p>
    <w:p>
      <w:pPr>
        <w:ind w:left="580" w:hanging="333"/>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degree of current or potential market acceptance of the products, processes or services;</w:t>
      </w:r>
    </w:p>
    <w:p>
      <w:pPr>
        <w:spacing w:after="0" w:line="219" w:lineRule="exact"/>
        <w:rPr>
          <w:rFonts w:ascii="Arial" w:cs="Arial" w:eastAsia="Arial" w:hAnsi="Arial"/>
          <w:sz w:val="18"/>
          <w:szCs w:val="18"/>
          <w:color w:val="auto"/>
        </w:rPr>
      </w:pPr>
    </w:p>
    <w:p>
      <w:pPr>
        <w:ind w:left="580" w:hanging="333"/>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proprietary aspects of products and the extent of intellectual property or other protection for products or formulas;</w:t>
      </w:r>
    </w:p>
    <w:p>
      <w:pPr>
        <w:spacing w:after="0" w:line="219" w:lineRule="exact"/>
        <w:rPr>
          <w:rFonts w:ascii="Arial" w:cs="Arial" w:eastAsia="Arial" w:hAnsi="Arial"/>
          <w:sz w:val="18"/>
          <w:szCs w:val="18"/>
          <w:color w:val="auto"/>
        </w:rPr>
      </w:pPr>
    </w:p>
    <w:p>
      <w:pPr>
        <w:ind w:left="580" w:hanging="333"/>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impact of regulation on the business;</w:t>
      </w:r>
    </w:p>
    <w:p>
      <w:pPr>
        <w:spacing w:after="0" w:line="219" w:lineRule="exact"/>
        <w:rPr>
          <w:rFonts w:ascii="Arial" w:cs="Arial" w:eastAsia="Arial" w:hAnsi="Arial"/>
          <w:sz w:val="18"/>
          <w:szCs w:val="18"/>
          <w:color w:val="auto"/>
        </w:rPr>
      </w:pPr>
    </w:p>
    <w:p>
      <w:pPr>
        <w:ind w:left="580" w:hanging="333"/>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environment of the industry;</w:t>
      </w:r>
    </w:p>
    <w:p>
      <w:pPr>
        <w:spacing w:after="0" w:line="219" w:lineRule="exact"/>
        <w:rPr>
          <w:rFonts w:ascii="Arial" w:cs="Arial" w:eastAsia="Arial" w:hAnsi="Arial"/>
          <w:sz w:val="18"/>
          <w:szCs w:val="18"/>
          <w:color w:val="auto"/>
        </w:rPr>
      </w:pPr>
    </w:p>
    <w:p>
      <w:pPr>
        <w:ind w:left="580" w:hanging="333"/>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associated with effecting the business combination;</w:t>
      </w:r>
    </w:p>
    <w:p>
      <w:pPr>
        <w:spacing w:after="0" w:line="219" w:lineRule="exact"/>
        <w:rPr>
          <w:rFonts w:ascii="Arial" w:cs="Arial" w:eastAsia="Arial" w:hAnsi="Arial"/>
          <w:sz w:val="18"/>
          <w:szCs w:val="18"/>
          <w:color w:val="auto"/>
        </w:rPr>
      </w:pPr>
    </w:p>
    <w:p>
      <w:pPr>
        <w:ind w:left="580" w:hanging="333"/>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industry leadership, sustainability of market share and attractiveness of market industries in which a target business participates; and</w:t>
      </w:r>
    </w:p>
    <w:p>
      <w:pPr>
        <w:spacing w:after="0" w:line="219" w:lineRule="exact"/>
        <w:rPr>
          <w:rFonts w:ascii="Arial" w:cs="Arial" w:eastAsia="Arial" w:hAnsi="Arial"/>
          <w:sz w:val="18"/>
          <w:szCs w:val="18"/>
          <w:color w:val="auto"/>
        </w:rPr>
      </w:pPr>
    </w:p>
    <w:p>
      <w:pPr>
        <w:ind w:left="580" w:hanging="333"/>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macro competitive dynamics in the industry within which the company competes.</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criteria are not intended to be exhaustive. Our management may not consider any of the above criteria in evaluating a prospective target business. The retention of our officers and directors following the completion of any business combination will not be a material consideration in our evaluation of a prospective target business.</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Any evaluation relating to the merits of a particular business combination will be based, to the extent relevant, on the above factors as well as other considerations deemed relevant by our management in effecting a business combination consistent with our business objective. In evaluating a prospective target business, we will conduct an extensive due diligence review which will encompass, among other things, meetings with incumbent management and inspection of facilities, as well as review of financial and other information which is made available to us. This due diligence review will be conducted either by our management or by unaffiliated third parties we may engage, although we have no current intention to engage any such third parties.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time and costs required to select and evaluate a target business and to structure and complete our initial business combination remain to be determined. Any costs incurred with respect to the identification and evaluation of a prospective target business with which a business combination is not ultimately completed will result in a loss to us and reduce the amount of capital available to otherwise complete a business combination.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Market Value of Target Business</w:t>
      </w:r>
    </w:p>
    <w:p>
      <w:pPr>
        <w:spacing w:after="0" w:line="22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Pursuant to Nasdaq listing rules, our initial business combination must occur with one or more target businesses having an aggregate fair market value equal to at least 80% of the value of the funds in the trust account (excluding any deferred underwriter’s fees and taxes payable on the income earned on the trust account), which we refer to as the 80% test, at the time of the execution of a definitive agreement for our initial business combination, although we may structure a business combination with one or more target businesses whose fair market value significantly exceeds 80% of the trust account balance. We currently anticipate structuring a business combination to acquire 100% of the equity interests or assets of the target business or businesses. We may, however, structure a business combination where we merge directly with the target business or where we acquire less than 100% of such interests or assets of the target business in order to meet certain objectives of the target management team or stockholders or for other reasons, but we will only complete such business combination if the post-transaction company owns 50% or more of the outstanding voting securities of the target or otherwise owns a controlling interest in the target sufficient for it not to be required to register as an investment company under the Investment Company Act. Even if the post-transaction company owns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test. In order to consummate such an acquisition, we may issue a significant amount of our debt or equity securities to the sellers of such businesses and/or seek to raise additional funds through a private offering of debt or equity securities. Since we have no specific business combination under consideration, we have not entered into any such fund raising arrangement and have no current intention of doing so. The fair market value of the target will be determined by our board of directors based upon one or more standards generally accepted by the financial community (such as actual and potential sales, earnings, cash flow and/or book value). If our board is not able to independently determine that the target business has a sufficient fair market value, we will obtain an opinion from an unaffiliated, independent investment banking firm, or another independent entity that commonly renders valuation opinions on the type of target business we are seeking to acquire, with respect to the satisfaction of such criteria. We will not be required to obtain an opinion from an independent investment banking firm, or another independent entity that commonly renders valuation opinions on the type of target business we are seeking to acquire, as to the fair market value if our board of directors independently determines that the target business complies with the 80% threshold. However, if we seek to consummate an initial business combination with an entity that is affiliated with any of our officers, directors or insiders and are therefore required to obtain an opinion from an independent investment banking firm that the business combination is fair to our unaffiliated stockholders from a financial point of view, we may ask that banking firm to opine on whether the target business met the 80% fair market value test. Nevertheless, we are not required to do so and could determine not to do so without consent of our stockholders.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901" w:right="239" w:bottom="0" w:gutter="0" w:footer="0" w:header="0"/>
        </w:sectPr>
      </w:pPr>
    </w:p>
    <w:bookmarkStart w:id="59" w:name="page60"/>
    <w:bookmarkEnd w:id="59"/>
    <w:p>
      <w:pPr>
        <w:spacing w:after="0"/>
        <w:rPr>
          <w:sz w:val="20"/>
          <w:szCs w:val="20"/>
          <w:color w:val="auto"/>
        </w:rPr>
      </w:pPr>
      <w:r>
        <w:rPr>
          <w:rFonts w:ascii="Arial" w:cs="Arial" w:eastAsia="Arial" w:hAnsi="Arial"/>
          <w:sz w:val="18"/>
          <w:szCs w:val="18"/>
          <w:i w:val="1"/>
          <w:iCs w:val="1"/>
          <w:color w:val="auto"/>
        </w:rPr>
        <w:t>Lack of Business Diversification</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expect to complete only a single business combination, although this process may entail simultaneous business combinations with several operating businesses. Therefore, at least initially, the prospects for our success may be entirely dependent upon the future performance of a single business operation. Unlike other entities which may have the resources to complete several business combinations of entities operating in multiple industries or multiple areas of a single industry, it is probable that we will not have the resources to diversify our operations or benefit from the possible spreading of risks or offsetting of losses. By consummating our initial business combination with only a single entity, our lack of diversification may:</w:t>
      </w:r>
    </w:p>
    <w:p>
      <w:pPr>
        <w:spacing w:after="0" w:line="181" w:lineRule="exact"/>
        <w:rPr>
          <w:sz w:val="20"/>
          <w:szCs w:val="20"/>
          <w:color w:val="auto"/>
        </w:rPr>
      </w:pPr>
    </w:p>
    <w:p>
      <w:pPr>
        <w:ind w:left="580" w:hanging="333"/>
        <w:spacing w:after="0" w:line="267"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upon the particular industry in which we may operate subsequent to our initial business combination, and</w:t>
      </w:r>
    </w:p>
    <w:p>
      <w:pPr>
        <w:spacing w:after="0" w:line="179" w:lineRule="exact"/>
        <w:rPr>
          <w:rFonts w:ascii="Arial" w:cs="Arial" w:eastAsia="Arial" w:hAnsi="Arial"/>
          <w:sz w:val="18"/>
          <w:szCs w:val="18"/>
          <w:color w:val="auto"/>
        </w:rPr>
      </w:pPr>
    </w:p>
    <w:p>
      <w:pPr>
        <w:ind w:left="580" w:hanging="333"/>
        <w:spacing w:after="0" w:line="267"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result in our dependency upon the performance of a single operating business or the development or market acceptance of a single or limited number of products, processes or services.</w:t>
      </w:r>
    </w:p>
    <w:p>
      <w:pPr>
        <w:spacing w:after="0" w:line="1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we determine to simultaneously consummate our initial business combination with several businesses and such businesses are owned by different sellers, we will need for each of such sellers to agree that our purchase of its business is contingent on the simultaneous closings of the other combinations, which may make it more difficult for us, and delay our ability, to complete the business combination. With a business combination with several businesses, we could also face additional risks, including additional burdens and costs with respect to possible multiple negotiations and due diligence investigations and the additional risks associated with the subsequent assimilation of the operations and services or products of the target companies in a single operating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Limited Ability to Evaluate the Target Business’ Management Team</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Although we intend to scrutinize the management team of a prospective target business when evaluating the desirability of effecting our initial business combination, our assessment of the target business’ management team may not prove to be correct. In addition, the future management team may not have the necessary skills, qualifications or abilities to manage a public company. Furthermore, the future role of our officers and directors, if any, in the target business following our initial business combination remains to be determined. While it is possible that some of our key personnel will remain associated in senior management or advisory positions with us following our initial business combination, it is unlikely that they will devote their full time efforts to our affairs subsequent to our initial business combination. Moreover, they would only be able to remain with the company after the consummation of our initial business combination if they are able to negotiate employment or consulting agreements in connection with the business combination. Such negotiations would take place simultaneously with the negotiation of the business combination and could provide for them to receive compensation in the form of cash payments and/or our securities for services they would render to the company after the consummation of the business combination. While the personal and financial interests of our key personnel may influence their motivation in identifying and selecting a target business, their ability to remain with the company after the consummation of our initial business combination will not be the determining factor in our decision as to whether or not we will proceed with any potential business combination. Additionally, our officers and directors may not have significant experience or knowledge relating to the operations of the particular target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60" w:name="page61"/>
    <w:bookmarkEnd w:id="60"/>
    <w:p>
      <w:pPr>
        <w:jc w:val="both"/>
        <w:spacing w:after="0" w:line="257" w:lineRule="auto"/>
        <w:rPr>
          <w:sz w:val="20"/>
          <w:szCs w:val="20"/>
          <w:color w:val="auto"/>
        </w:rPr>
      </w:pPr>
      <w:r>
        <w:rPr>
          <w:rFonts w:ascii="Arial" w:cs="Arial" w:eastAsia="Arial" w:hAnsi="Arial"/>
          <w:sz w:val="18"/>
          <w:szCs w:val="18"/>
          <w:color w:val="auto"/>
        </w:rPr>
        <w:t>Following our initial business combination, we may seek to recruit additional managers to supplement the incumbent management of the target business. We may not have the ability to recruit additional managers, or that any such additional managers we do recruit will have the requisite skills, knowledge or experience necessary to enhance the incumbent management.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Approval of Business Combination</w:t>
      </w:r>
    </w:p>
    <w:p>
      <w:pPr>
        <w:spacing w:after="0" w:line="226"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In connection with any proposed business combination, we will either (1) seek stockholder approval of our initial business combination at a meeting called for such purpose at which public stockholders (but not our insiders, officers or directors) may seek to convert their shares of common stock, regardless of whether they vote for or against the proposed business combination, into a portion of the aggregate amount then on deposit in the trust account, or (2) provide our stockholders with the opportunity to sell their shares to us by means of a tender offer (and therefore avoid the need for a stockholder vote) for an amount equal to their pro rata share of the aggregate amount then on deposit in the trust account, in each case subject to the limitations described herein. If we determine to engage in a tender offer, such tender offer will be structured so that each stockholder may tender all of his, her or its shares rather than some pro rata portion of his, her or its shares. The decision as to whether we will seek stockholder approval of a proposed business combination or whether we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We anticipate that our business combination could be completed by way of a merger, share exchange, asset acquisition, stock purchase, recapitalization, reorganization or other similar transaction. Stockholder approval will not be required under Delaware law if the business combination is structured as an acquisition of assets of the target company, a share exchange with target company stockholders or a purchase of stock of the target company; however, Nasdaq rules would require us to obtain stockholder approval if we seek to issue shares representing 20% or more of our outstanding shares as consideration in a business combination. A merger of our company into a target company would require stockholder approval under Delaware law. A merger of a target company into our company would not require stockholder approval unless the merger results in a change to our certificate of incorporation, or if the shares issued in connection with the merger exceed 20% of our outstanding shares prior to the merger. A merger of a target company with a subsidiary of our company would not require stockholder approval unless the merger results in a change in our certificate of incorporation; however, Nasdaq rules would require us to obtain stockholder approval of such a transaction if we week to issue shares representing 20% or more of our outstanding shares as consideration.</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 stockholder vote is not required and we do not decide to hold a stockholder vote for business or other legal reasons, we will provide our stockholders with an opportunity to tender their shares to us pursuant to a tender offer pursuant to Rule 13e-4 and Regulation 14E of the Exchange Act, which regulate issuer tender offers, and we will file tender offer documents with the SEC which will contain substantially the same financial and other information about the initial business combination as is required under the SEC’s proxy rules.</w:t>
      </w:r>
    </w:p>
    <w:p>
      <w:pPr>
        <w:spacing w:after="0" w:line="18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In the event we allow stockholders to tender their shares pursuant to the tender offer rules, our tender offer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stockholders not tendering more than a specified number of public shares, which number will be based on the requirement that we may not purchase public shares in an amount that would cause our net tangible assets to be less than $5,000,001 (so that we are not subject to the SEC’s “penny stock” rules) or any greater net tangible asset or cash requirement which may be contained in the agreement relating to our initial business combination. If public stockholders tender more shares than we have offered to purchase, we will withdraw the tender offer and not complete the initial business combination.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61" w:name="page62"/>
    <w:bookmarkEnd w:id="61"/>
    <w:p>
      <w:pPr>
        <w:spacing w:after="0" w:line="252" w:lineRule="auto"/>
        <w:rPr>
          <w:sz w:val="20"/>
          <w:szCs w:val="20"/>
          <w:color w:val="auto"/>
        </w:rPr>
      </w:pPr>
      <w:r>
        <w:rPr>
          <w:rFonts w:ascii="Arial" w:cs="Arial" w:eastAsia="Arial" w:hAnsi="Arial"/>
          <w:sz w:val="18"/>
          <w:szCs w:val="18"/>
          <w:color w:val="auto"/>
        </w:rPr>
        <w:t>If, however, stockholder approval of the transaction is required by law or Nasdaq requirements, or we decide to obtain stockholder approval for business or other legal reasons, we will:</w:t>
      </w:r>
    </w:p>
    <w:p>
      <w:pPr>
        <w:spacing w:after="0" w:line="165" w:lineRule="exact"/>
        <w:rPr>
          <w:sz w:val="20"/>
          <w:szCs w:val="20"/>
          <w:color w:val="auto"/>
        </w:rPr>
      </w:pPr>
    </w:p>
    <w:p>
      <w:pPr>
        <w:ind w:left="640" w:hanging="313"/>
        <w:spacing w:after="0" w:line="267"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permit stockholders to convert their shares in conjunction with a proxy solicitation pursuant to Regulation 14A of the Exchange Act, which regulates the solicitation of proxies, and not pursuant to the tender offer rules, and</w:t>
      </w:r>
    </w:p>
    <w:p>
      <w:pPr>
        <w:spacing w:after="0" w:line="166" w:lineRule="exact"/>
        <w:rPr>
          <w:rFonts w:ascii="Arial" w:cs="Arial" w:eastAsia="Arial" w:hAnsi="Arial"/>
          <w:sz w:val="18"/>
          <w:szCs w:val="18"/>
          <w:color w:val="auto"/>
        </w:rPr>
      </w:pPr>
    </w:p>
    <w:p>
      <w:pPr>
        <w:ind w:left="640" w:hanging="313"/>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206"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In the event that we seek stockholder approval of our initial business combination, we will distribute proxy materials and, in connection therewith, provide stockholders with the conversion rights described above upon completion of the initial business combination.</w:t>
      </w:r>
    </w:p>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 As a result, if stockholders owning approximately 89.1% (or approximately 90.3% if the over-allotment option is exercised in full) or more of the shares of common stock sold in this offering exercise conversion rights, the business combination will not be consummated. However, the actual percentages will only be able to be determined once a target business is located and we can assess all of the assets and liabilities of the combined company (which would include the fee payable to Chardan Capital Markets, LLC in an amount equal to 2.0% of the total gross proceeds raised in the offering as described elsewhere in this prospectus, any out-of-pocket expenses incurred by our insiders, officers, directors or their affiliates in connection with certain activities on our behalf, such as identifying and investigating possible business targets and business combinations that have not been repaid at that time, as well as any other liabilities of ours and the liabilities of the target business) upon consummation of the proposed business combination, subject to the requirement that we must have at least $5,000,001 of net tangible assets upon closing of such business combination. As a result, the actual percentages of shares that can be converted may be significantly lower than our estimates. We chose our net tangible asset threshold of $5,000,001 to ensure that we would avoid being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converted) and may force us to seek third party financing which may not be available on terms acceptable to us or at all. Alternatively, we may not be able to consummate a business combination unless the number of shares of common stock seeking conversion rights is significantly less than the 89.1% (or 90.3% if the over-allotment option is exercised in full) indicated above. As a result, we may not be able to consummate such initial business combination and we may not be able to locate another suitable target within the applicable time period, if at all. Public stockholders may therefore have to wait 18 months from the closing of this offering (or 21 months from the closing of this offering if we have executed a letter of intent or definitive agreement for a business combination within 18 months from the closing of this offering but have not consummated the business combination with such 18-month period) in order to be able to receive a portion of the trust account.</w:t>
      </w:r>
    </w:p>
    <w:p>
      <w:pPr>
        <w:spacing w:after="0" w:line="38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insiders, officers and directors have agreed (1) to vote any shares of common stock owned by them in favor of any proposed business combination, (2) not to convert any shares of common stock into the right to receive cash from the trust account in connection with a stockholder vote to approve a proposed initial business combination or a vote to amend the provisions of our certificate of incorporation relating to stockholders’ rights or pre-business combination activity and (3) not sell any shares of common stock in any tender in connection with a proposed initial business combination.</w:t>
      </w:r>
    </w:p>
    <w:p>
      <w:pPr>
        <w:spacing w:after="0" w:line="17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None of our officers, directors, director nominees, insiders or their affiliates has committed to purchase units or shares of common stock in this offering or from persons in the open market or in private transactions. However, our officers, directors and their affiliates could purchase shares in this offering pursuant to the directed unit program. In addition, if we hold a meeting to approve a proposed business combination and a significant number of stockholders vote, or indicate an intention to vote, against such proposed business combination, our officers, directors, insiders or their affiliates could make such purchases in the open market or in private transactions in order to influence the vote. Notwithstanding the foregoing, our officers, directors, insiders or their affiliates will not make purchases of shares of common stock if the purchases would violate Section 9(a)(2) or Rule 10b-5 of the Exchange Act.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1"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Conversion Rights</w:t>
      </w:r>
    </w:p>
    <w:p>
      <w:pPr>
        <w:spacing w:after="0" w:line="22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any meeting called to approve an initial business combination, any public stockholder, whether voting for or against such proposed business combination, will be entitled to demand that his or her shares of common stock be converted for a full pro rata portion of the amount then in the trust account (initially $10.00 per share), plus any pro rata interest earned on the funds held in the trust account and not previously released to us or necessary to pay our taxes. Alternatively, we may provide our public stockholders with the opportunity to sell their shares of our common stock to us through a tender offer (and thereby avoid the need for a stockholder vote) for an amount equal to their pro rata share of the aggregate amount then on deposit in the trust account.</w:t>
      </w:r>
    </w:p>
    <w:p>
      <w:pPr>
        <w:spacing w:after="0" w:line="16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Notwithstanding the foregoing, a public stockholder, together with any affiliate of his or hers, or any other person with whom he or she is acting in concert or as a “group” (as defined in Section 13(d)(3) of the Exchange Act) will be restricted from seeking conversion rights with respect to 20% or more of the shares of common stock sold in this offering. Such a public stockholder would still be entitled to vote against a proposed business combination with respect to all shares of common stock owned by him or her, or his or her affiliates. We believe this restriction will prevent stockholders from accumulating large blocks of shares before the vote held to approve a proposed business combination and attempt to use the conversion right as a means to force us or our management to purchase their shares at a significant premium to the then current market price. By not allowing a stockholder to convert more than 20% of the shares of common stock sold in this offering, we believe we have limited the ability of a small group of stockholders to unreasonably attempt to block a transaction which is favored by our other public stockholders.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None of our insiders, officers or directors will have the right to receive cash from the trust account in connection with a stockholder vote to approve a proposed initial business combination or a vote to amend the provisions of our certificate of incorporation relating to stockholders’ rights or pre-business combination activity with respect to any shares of common stock owned by them, directly or indirectly, whether acquired prior to this offering or purchased by them in this offering or in the aftermarket.</w:t>
      </w:r>
    </w:p>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may also require public stockholders who wish to convert, whether they are a record holder or hold their shares in “street name,” to either tender their certificates to our transfer agent at any time through the vote on the business combination or to deliver their shares to the transfer agent electronically using Depository Trust Company’s DWAC (Deposit/Withdrawal At Custodian) System, at the holder’s option. The proxy solicitation materials that we will furnish to stockholders in connection with the vote for any proposed business combination will indicate whether we are requiring stockholders to satisfy such delivery requirements. Accordingly, a stockholder would have from the time the stockholder received our proxy statement through the vote on the business combination to deliver his or her shares if he or she wishes to seek to exercise his or her conversion rights. Under Delaware law and our bylaws, we are required to provide at least 10 days advance notice of any stockholder meeting, which would be the minimum amount of time a public stockholder would have to determine whether to exercise conversion rights.</w:t>
      </w:r>
    </w:p>
    <w:p>
      <w:pPr>
        <w:spacing w:after="0" w:line="19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There is a nominal cost associated with the above-referenced delivery process and the act of certificating the shares or delivering them through the DWAC System. The transfer agent will typically charge the tendering broker $45.00 and it would be up to the broker whether or not to pass this cost on to the holder. However, this fee would be incurred regardless of whether or not we require holders to deliver their shares prior to the vote on the business combination in order to exercise conversion rights. This is because a holder would need to deliver shares to exercise conversion rights regardless of the timing of when such delivery must be effectuated. However, in the event we require stockholders to deliver their shares prior to the vote on the proposed business combination and the proposed business combination is not consummated, this may result in an increased cost to stockholders.</w:t>
      </w:r>
    </w:p>
    <w:p>
      <w:pPr>
        <w:spacing w:after="0" w:line="16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foregoing is different from the procedures used by many blank check companies. Traditionally, in order to perfect conversion rights in connection with a blank check company’s business combination, the company would distribute proxy materials for the stockholders’ vote on an initial business combination, and a holder could simply vote against a proposed business combination and check a box on the proxy card indicating such holder was seeking to exercise his or her conversion rights. After the business combination was approved, the company would contact such stockholder to arrange for him or her to deliver his or her certificate to verify ownership. As a result, the stockholder then had an “option window” after the consummation of the business combination during which he or she could monitor the price of the company’s stock in the market. If the price rose above the conversion price, he or she could sell his or her shares in the open market before actually delivering his or her shares to the company for cancellation. As a result, the conversion rights, to which stockholders were aware they needed to commit before the stockholder meeting, would become a “continuing” right surviving past the consummation of the business combination until the holder delivered its certificate. The requirement for physical or electronic delivery prior to the meeting ensures that a holder’s election to convert his or her shares is irrevocable once the business combination is approved.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63" w:name="page64"/>
    <w:bookmarkEnd w:id="63"/>
    <w:p>
      <w:pPr>
        <w:jc w:val="both"/>
        <w:spacing w:after="0" w:line="304" w:lineRule="auto"/>
        <w:rPr>
          <w:sz w:val="20"/>
          <w:szCs w:val="20"/>
          <w:color w:val="auto"/>
        </w:rPr>
      </w:pPr>
      <w:r>
        <w:rPr>
          <w:rFonts w:ascii="Arial" w:cs="Arial" w:eastAsia="Arial" w:hAnsi="Arial"/>
          <w:sz w:val="16"/>
          <w:szCs w:val="16"/>
          <w:color w:val="auto"/>
        </w:rPr>
        <w:t>Any request to convert such shares once made, may be withdrawn at any time up to the vote on the proposed business combination. Furthermore, if a holder of a public share delivered his or her certificate in connection with an election of their conversion and subsequently decides prior to the vote on the proposed business combination not to elect to exercise such rights, he or she may simply request that the transfer agent return the certificate (physically or electronically).</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initial business combination is not approved or completed for any reason, then our public stockholders who elected to exercise their conversion rights would not be entitled to convert their shares for the applicable pro rata share of the trust account. In such case, we will promptly return any shares delivered by public 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if No Business Combination</w:t>
      </w:r>
    </w:p>
    <w:p>
      <w:pPr>
        <w:spacing w:after="0" w:line="22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If we do not complete a business combination within 18 months from the closing of this offering (or 21 months from the closing of this offering if we have entered into a letter of intent or definitive agreement for a business combination within 18 months from the closing of this offering but the business combination has not been completed within such 18-month period), we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At such time, the warrants will expire and holders of warrants will receive nothing upon a liquidation with respect to such warrants, and the warrants will be worthless.</w:t>
      </w:r>
    </w:p>
    <w:p>
      <w:pPr>
        <w:spacing w:after="0" w:line="16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redemptions are made to stockholders, any liability of stockholders with respect to a redemption is limited to the lesser of such stockholder’s pro rata share of the claim or the amount distributed to the stockholder, and any liability of the stockholder would be barred after the third anniversary of the dissolution.</w:t>
      </w:r>
    </w:p>
    <w:p>
      <w:pPr>
        <w:spacing w:after="0" w:line="17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 It is our intention to redeem our public shares as soon as reasonably possible following the 18th or 21st month from the closing of this offering and, therefore, we do not intend to comply with the above procedures. As such, our stockholders could potentially be liable for any claims to the extent of distributions received by them (but no more) and any liability of our stockholders may extend well beyond the third anniversary of such date.</w:t>
      </w:r>
    </w:p>
    <w:p>
      <w:pPr>
        <w:spacing w:after="0" w:line="1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seeking to complete an initial business combination, the only likely claims to arise would be from our vendors (such as lawyers, investment bankers, etc.) or prospective target businesses.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64" w:name="page65"/>
    <w:bookmarkEnd w:id="64"/>
    <w:p>
      <w:pPr>
        <w:jc w:val="both"/>
        <w:spacing w:after="0" w:line="280" w:lineRule="auto"/>
        <w:rPr>
          <w:sz w:val="20"/>
          <w:szCs w:val="20"/>
          <w:color w:val="auto"/>
        </w:rPr>
      </w:pPr>
      <w:r>
        <w:rPr>
          <w:rFonts w:ascii="Arial" w:cs="Arial" w:eastAsia="Arial" w:hAnsi="Arial"/>
          <w:sz w:val="16"/>
          <w:szCs w:val="16"/>
          <w:color w:val="auto"/>
        </w:rPr>
        <w:t>We will seek to have all third parties (including any vendors or other entities we engage after this offering) and any prospective target businesses enter into valid and enforceable agreements with us waiving any right, title, interest or claim of any kind they may have in or to any monies held in the trust account. The underwriters in this offering will execute such a waiver agreement. 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there is no guarantee that vendors, service providers and prospective target businesses will execute such agreements. In the event that a potential contracted party was to refuse to execute such a waiver, we will execute an agreement with that entity only if our management first determines that we would be unable to obtain, on a reasonable basis, substantially similar services or opportunities from another entity willing to execute such a waiver. Examples of instances where we may engage a third party that refused to execute a waiver would be the engagement of a third party consultant who cannot sign such an agreement due to regulatory restrictions, such as our auditors who are unable to sign due to independence requirements, or whose particular expertise or skills are believed by management to be superior to those of other consultants that would agree to execute a waiver or a situation in which management does not believe it would be able to find a provider of required services willing to provide the waiver. There is also no guarantee that, even if they execute such agreements with us, they will not seek recourse against the trust account. Our insiders have agreed that they will be jointly and severally liable to us if and to the extent any claims by a vendor for services rendered or products sold to us, or a prospective target business with which we have discussed entering into a transaction agreement, reduce the amount of funds in the trust account to below $10.00 per public share, except as to any claims by a third party who executed a valid and enforceable agreement with us waiving any right, title, interest or claim of any kind they may have in or to any monies held in the trust account and except as to any claims under our indemnity of the underwriters of this offering against certain liabilities, including liabilities under the Securities Act. Our board of directors has evaluated our insiders’ financial net worth and believes they will be able to satisfy any indemnification obligations that may arise. However, our insiders may not be able to satisfy their indemnification obligations, as we have not required our insiders to retain any assets to provide for their indemnification obligations, nor have we taken any further steps to ensure that they will be able to satisfy any indemnification obligations that arise. Moreover, our insiders will not be liable to our public stockholders and instead will only have liability to us. As a result, if we liquidate, the per-share distribution from the trust account could be less than approximately $10.00 due to claims or potential claims of creditors. We will distribute to all of our public stockholders, in proportion to their respective equity interests, an aggregate sum equal to the amount then held in the trust account, inclusive of any interest not previously released to us, (subject to our obligations under Delaware law to provide for claims of creditors as described below).</w:t>
      </w:r>
    </w:p>
    <w:p>
      <w:pPr>
        <w:spacing w:after="0" w:line="18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If we are unable to consummate an initial business combination and are forced to redeem 100% of our outstanding public shares for a portion of the funds held in the trust account, we anticipate notifying the trustee of the trust account to begin liquidating such assets promptly after such date and anticipate it will take no more than 10 business days to effectuate the redemption of our public shares. Our insiders have waived their rights to participate in any redemption with respect to their insider shares. We will pay the costs of any subsequent liquidation from our remaining assets outside of the trust account and from the interest income on the balance of the trust account (net income and other tax obligations) that may be released to us to fund our working capital requirements. If such funds are insufficient, our insiders have agreed to pay the funds necessary to complete such liquidation (currently anticipated to be no more than approximately $15,000) and have agreed not to seek repayment of such expenses. Each holder of public shares will receive a full pro rata portion of the amount then in the trust account, plus any pro rata interest earned on the funds held in the trust account and not previously released to us or necessary to pay our taxes. The proceeds deposited in the trust account could, however, become subject to claims of our creditors that are in preference to the claims of public stockholders.</w:t>
      </w:r>
    </w:p>
    <w:p>
      <w:pPr>
        <w:spacing w:after="0" w:line="17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Our public stockholders shall be entitled to receive funds from the trust account only in the event of our failure to complete our initial business combination in the required time period or if the stockholders seek to have us convert their respective shares of common stock upon a business combination which is actually completed by us. In no other circumstances shall a stockholder have any right or interest of any kind to or in the trust account.</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redemption or conversion amount received by public stockholders may be less than $10.00.</w:t>
      </w:r>
    </w:p>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 Claims may be brought against us for these reasons.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Certificate of Incorporation</w:t>
      </w:r>
    </w:p>
    <w:p>
      <w:pPr>
        <w:spacing w:after="0" w:line="22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certificate of incorporation contains certain requirements and restrictions relating to this offering that will apply to us until the consummation of our initial business combination. 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for our working capital requirements or to pay our franchise and income taxes, divided by the number of then outstanding public shares, in connection with any such vote. Our insiders have agreed to waive any conversion rights with respect to any insider shares, private shares and any public shares they may hold in connection with any vote to amend our certificate of incorporation. Specifically, our certificate of incorporation provides, among other things, that:</w:t>
      </w:r>
    </w:p>
    <w:p>
      <w:pPr>
        <w:spacing w:after="0" w:line="172" w:lineRule="exact"/>
        <w:rPr>
          <w:sz w:val="20"/>
          <w:szCs w:val="20"/>
          <w:color w:val="auto"/>
        </w:rPr>
      </w:pPr>
    </w:p>
    <w:p>
      <w:pPr>
        <w:jc w:val="both"/>
        <w:ind w:left="580" w:hanging="333"/>
        <w:spacing w:after="0" w:line="291" w:lineRule="auto"/>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prior to the consummation of our initial business combination, we shall either (1) seek stockholder approval of our initial business combination at a meeting called for such purpose at which public stockholders may seek to convert their shares of common stock, regardless of whether they vote for or against the proposed business combination, into a portion of the aggregate amount then on deposit in the trust account, or (2) provide our stockholders with the opportunity to sell their shares to us by means of a tender offer (and thereby avoid the need for a stockholder vote) for an amount equal to their pro rata share of the aggregate amount then on deposit in the trust account, in each case subject to the limitations described herein;</w:t>
      </w:r>
    </w:p>
    <w:p>
      <w:pPr>
        <w:spacing w:after="0" w:line="164" w:lineRule="exact"/>
        <w:rPr>
          <w:rFonts w:ascii="Arial" w:cs="Arial" w:eastAsia="Arial" w:hAnsi="Arial"/>
          <w:sz w:val="16"/>
          <w:szCs w:val="16"/>
          <w:color w:val="auto"/>
        </w:rPr>
      </w:pPr>
    </w:p>
    <w:p>
      <w:pPr>
        <w:jc w:val="both"/>
        <w:ind w:left="580" w:hanging="333"/>
        <w:spacing w:after="0" w:line="257"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w:t>
      </w:r>
    </w:p>
    <w:p>
      <w:pPr>
        <w:spacing w:after="0" w:line="188" w:lineRule="exact"/>
        <w:rPr>
          <w:rFonts w:ascii="Arial" w:cs="Arial" w:eastAsia="Arial" w:hAnsi="Arial"/>
          <w:sz w:val="18"/>
          <w:szCs w:val="18"/>
          <w:color w:val="auto"/>
        </w:rPr>
      </w:pPr>
    </w:p>
    <w:p>
      <w:pPr>
        <w:ind w:left="580" w:hanging="333"/>
        <w:spacing w:after="0" w:line="267"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our initial business combination is not consummated within 18 (or 21) months of the closing of this offering, then our existence will terminate and we will distribute all amounts in the trust account to all of our public holders of shares of common stock;</w:t>
      </w:r>
    </w:p>
    <w:p>
      <w:pPr>
        <w:spacing w:after="0" w:line="179" w:lineRule="exact"/>
        <w:rPr>
          <w:rFonts w:ascii="Arial" w:cs="Arial" w:eastAsia="Arial" w:hAnsi="Arial"/>
          <w:sz w:val="18"/>
          <w:szCs w:val="18"/>
          <w:color w:val="auto"/>
        </w:rPr>
      </w:pPr>
    </w:p>
    <w:p>
      <w:pPr>
        <w:ind w:left="580" w:hanging="333"/>
        <w:spacing w:after="0" w:line="267"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upon the consummation of this offering, $50,000,000, or $57,500,000 if the over-allotment option is exercised in full, shall be placed into the trust account;</w:t>
      </w:r>
    </w:p>
    <w:p>
      <w:pPr>
        <w:spacing w:after="0" w:line="179" w:lineRule="exact"/>
        <w:rPr>
          <w:rFonts w:ascii="Arial" w:cs="Arial" w:eastAsia="Arial" w:hAnsi="Arial"/>
          <w:sz w:val="18"/>
          <w:szCs w:val="18"/>
          <w:color w:val="auto"/>
        </w:rPr>
      </w:pPr>
    </w:p>
    <w:p>
      <w:pPr>
        <w:ind w:left="580" w:hanging="333"/>
        <w:spacing w:after="0" w:line="267"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not consummate any other business combination, merger, capital stock exchange, asset acquisition, stock purchase, reorganization or similar transaction prior to our initial business combination; and</w:t>
      </w:r>
    </w:p>
    <w:p>
      <w:pPr>
        <w:spacing w:after="0" w:line="179" w:lineRule="exact"/>
        <w:rPr>
          <w:rFonts w:ascii="Arial" w:cs="Arial" w:eastAsia="Arial" w:hAnsi="Arial"/>
          <w:sz w:val="18"/>
          <w:szCs w:val="18"/>
          <w:color w:val="auto"/>
        </w:rPr>
      </w:pPr>
    </w:p>
    <w:p>
      <w:pPr>
        <w:ind w:left="580" w:hanging="333"/>
        <w:spacing w:after="0" w:line="267"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shares of capital stock that would entitle the holders thereof to (i) receive funds from the trust account or (ii) vote on any initial business combination.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identifying, evaluating and selecting a target business, we may encounter intense competition from other entities having a business objective similar to ours. Many of these entities are well established and have extensive experience identifying and effecting business combinations directly or through affiliates. Many of these competitors possess greater technical, human and other resources than us and our financial resources will be relatively limited when contrasted with those of many of these competitors. While we believe there may be numerous potential target businesses that we could complete a business combination with utilizing the net proceeds of this offering, our ability to compete in completing a business combination with certain sizable target businesses may be limited by our available financial resources.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also may not be viewed favorably by certain target businesses:</w:t>
      </w:r>
    </w:p>
    <w:p>
      <w:pPr>
        <w:spacing w:after="0" w:line="220" w:lineRule="exact"/>
        <w:rPr>
          <w:sz w:val="20"/>
          <w:szCs w:val="20"/>
          <w:color w:val="auto"/>
        </w:rPr>
      </w:pPr>
    </w:p>
    <w:p>
      <w:pPr>
        <w:ind w:left="580" w:hanging="333"/>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obligation to seek stockholder approval of our initial business combination or engage in a tender offer may delay the completion of a transaction;</w:t>
      </w:r>
    </w:p>
    <w:p>
      <w:pPr>
        <w:spacing w:after="0" w:line="242" w:lineRule="exact"/>
        <w:rPr>
          <w:rFonts w:ascii="Arial" w:cs="Arial" w:eastAsia="Arial" w:hAnsi="Arial"/>
          <w:sz w:val="16"/>
          <w:szCs w:val="16"/>
          <w:color w:val="auto"/>
        </w:rPr>
      </w:pPr>
    </w:p>
    <w:p>
      <w:pPr>
        <w:ind w:left="580" w:hanging="333"/>
        <w:spacing w:after="0" w:line="267"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obligation to convert shares of common stock held by our public stockholders may reduce the resources available to us for our initial business combination;</w:t>
      </w:r>
    </w:p>
    <w:p>
      <w:pPr>
        <w:spacing w:after="0" w:line="179" w:lineRule="exact"/>
        <w:rPr>
          <w:rFonts w:ascii="Arial" w:cs="Arial" w:eastAsia="Arial" w:hAnsi="Arial"/>
          <w:sz w:val="18"/>
          <w:szCs w:val="18"/>
          <w:color w:val="auto"/>
        </w:rPr>
      </w:pPr>
    </w:p>
    <w:p>
      <w:pPr>
        <w:ind w:left="580" w:hanging="333"/>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outstanding warrants and unit purchase options, and the potential future dilution they represent;</w:t>
      </w:r>
    </w:p>
    <w:p>
      <w:pPr>
        <w:spacing w:after="0" w:line="219" w:lineRule="exact"/>
        <w:rPr>
          <w:rFonts w:ascii="Arial" w:cs="Arial" w:eastAsia="Arial" w:hAnsi="Arial"/>
          <w:sz w:val="18"/>
          <w:szCs w:val="18"/>
          <w:color w:val="auto"/>
        </w:rPr>
      </w:pPr>
    </w:p>
    <w:p>
      <w:pPr>
        <w:ind w:left="580" w:hanging="333"/>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obligation to pay the deferred underwriting commission to Chardan Capital Markets, LLC upon consummation of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66" w:name="page67"/>
    <w:bookmarkEnd w:id="66"/>
    <w:p>
      <w:pPr>
        <w:ind w:left="580" w:hanging="333"/>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obligation to either repay working capital loans that may be made to us by our insiders, officers, directors or their affiliates;</w:t>
      </w:r>
    </w:p>
    <w:p>
      <w:pPr>
        <w:spacing w:after="0" w:line="219" w:lineRule="exact"/>
        <w:rPr>
          <w:rFonts w:ascii="Arial" w:cs="Arial" w:eastAsia="Arial" w:hAnsi="Arial"/>
          <w:sz w:val="18"/>
          <w:szCs w:val="18"/>
          <w:color w:val="auto"/>
        </w:rPr>
      </w:pPr>
    </w:p>
    <w:p>
      <w:pPr>
        <w:ind w:left="580" w:hanging="333"/>
        <w:spacing w:after="0" w:line="267"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obligation to register the resale of the insider shares, as well as the private units (and underlying securities) and any shares issued to our insiders, officers, directors or their affiliates upon conversion of working capital loans; and</w:t>
      </w:r>
    </w:p>
    <w:p>
      <w:pPr>
        <w:spacing w:after="0" w:line="179" w:lineRule="exact"/>
        <w:rPr>
          <w:rFonts w:ascii="Arial" w:cs="Arial" w:eastAsia="Arial" w:hAnsi="Arial"/>
          <w:sz w:val="18"/>
          <w:szCs w:val="18"/>
          <w:color w:val="auto"/>
        </w:rPr>
      </w:pPr>
    </w:p>
    <w:p>
      <w:pPr>
        <w:ind w:left="580" w:hanging="333"/>
        <w:spacing w:after="0" w:line="267"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on the target business’ assets as a result of unknown liabilities under the securities laws or otherwise depending on developments involving us prior to the consummation of a business combination.</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Any of these factors may place us at a competitive disadvantage in successfully negotiating our initial business combination. Our management believes, however, that our status as a public entity and potential access to the United States public equity markets may give us a competitive advantage over privately-held entities having a similar business objective as ours in connection with an initial business combination with a target business with significant growth potential on favorable terms.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If we succeed in effecting our initial business combination, there will be, in all likelihood, intense competition from competitors of the target business.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Subsequent to our initial business combination, we may not have the resources or ability to compete effectively.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currently maintain our principal executive offices at 5 Hanover Square, New York, NY 10004. The cost for this space is included in the $10,000 per-month fee (subject to deferral as described herein) payable to Magna Management LLC, a company controlled by our insiders, for office space, utilities and secretarial services. Our agreement with Magna Management LLC provides that commencing on the date that our securities are first listed on the Nasdaq Capital Market and until we consummate a business combination, such office space, as well as utilities and secretarial services, will be made available to us as may be required from time to time. We believe that the fee charged by Magna Management LLC is at least as favorable as we could have obtained from an unaffiliated person. We consider our current office space, combined with the other office space otherwise available to our executive officers, adequate for our current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have two executive officers. These individuals are not obligated to devote any specific number of hours to our matters and intend to devote only as much time as they deem necessary to our affairs. The amount of time they will devote in any time period will vary based on whether a target business has been selected for the business combination and the stage of the business combination process the company is in. Accordingly, once a suitable target business to consummate our initial business combination with has been located, management will spend more time investigating such target business and negotiating and processing the business combination (and consequently spend more time on our affairs) than had been spent prior to locating a suitable target business. We presently expect our executive officers to devote an average of approximately 10 hours per week to our business. We do not intend to have any full time employees prior to the consummation of our initial business combination.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Reporting and Audited Financial Statements</w:t>
      </w:r>
    </w:p>
    <w:p>
      <w:pPr>
        <w:spacing w:after="0" w:line="2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registered our units, common stock and warrants under the Exchange Act and have reporting obligations, including the requirement that we file annual, quarterly and current reports with the SEC. In accordance with the requirements of the Exchange Act, our annual report will contain financial statements audited and reported on by our independent registered public accountants.</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will provide stockholders with audited financial statements of the prospective target business as part of any proxy solicitation materials or tender offer documents sent to stockholders to assist them in assessing the target business. These financial statements will need to be prepared in accordance with or reconciled to United States GAAP or IFRS as issued by the IASB. A particular target business identified by us as a potential business combination candidate may not have the necessary financial statements. To the extent that this requirement cannot be met, we may not be able to consummate our initial business combination with the proposed target business.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67" w:name="page68"/>
    <w:bookmarkEnd w:id="67"/>
    <w:p>
      <w:pPr>
        <w:jc w:val="both"/>
        <w:spacing w:after="0" w:line="254" w:lineRule="auto"/>
        <w:rPr>
          <w:sz w:val="20"/>
          <w:szCs w:val="20"/>
          <w:color w:val="auto"/>
        </w:rPr>
      </w:pPr>
      <w:r>
        <w:rPr>
          <w:rFonts w:ascii="Arial" w:cs="Arial" w:eastAsia="Arial" w:hAnsi="Arial"/>
          <w:sz w:val="18"/>
          <w:szCs w:val="18"/>
          <w:color w:val="auto"/>
        </w:rPr>
        <w:t>We may be required by the Sarbanes-Oxley Act to have our internal control over financial reporting audited for the fiscal year ending December 31, 2016. A target company may not be in compliance with the provisions of the Sarbanes-Oxley Act regarding the adequacy of their internal control over financial reporting. The development of the internal control over financial reporting of any such entity to achieve compliance with the Sarbanes-Oxley Act may increase the time and costs necessary to complete any such initial business combination.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is no material litigation, arbitration, governmental proceeding or any other legal proceeding currently pending or known to be contemplated against us or any members of our management team in their capacity as such, and we and the members of our management team have not been subject to any such proceeding in the 10 years preceding the date of this prospectus.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to Offerings of Blank Check Companies Subject to Rule 419</w:t>
      </w:r>
    </w:p>
    <w:p>
      <w:pPr>
        <w:spacing w:after="0" w:line="2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underwriters will not exercise their over-allotment option. None of the provisions of Rule 419 apply to our offering.</w:t>
      </w:r>
    </w:p>
    <w:p>
      <w:pPr>
        <w:sectPr>
          <w:pgSz w:w="11900" w:h="16838" w:orient="portrait"/>
          <w:cols w:equalWidth="0" w:num="1">
            <w:col w:w="11420"/>
          </w:cols>
          <w:pgMar w:left="240" w:top="874" w:right="239" w:bottom="1440" w:gutter="0" w:footer="0" w:header="0"/>
        </w:sectPr>
      </w:pPr>
    </w:p>
    <w:p>
      <w:pPr>
        <w:spacing w:after="0" w:line="191" w:lineRule="exact"/>
        <w:rPr>
          <w:sz w:val="20"/>
          <w:szCs w:val="20"/>
          <w:color w:val="auto"/>
        </w:rPr>
      </w:pPr>
    </w:p>
    <w:tbl>
      <w:tblPr>
        <w:tblLayout w:type="fixed"/>
        <w:tblInd w:w="100" w:type="dxa"/>
        <w:tblCellMar>
          <w:top w:w="0" w:type="dxa"/>
          <w:left w:w="0" w:type="dxa"/>
          <w:bottom w:w="0" w:type="dxa"/>
          <w:right w:w="0" w:type="dxa"/>
        </w:tblCellMar>
      </w:tblPr>
      <w:tr>
        <w:trPr>
          <w:trHeight w:val="225"/>
        </w:trPr>
        <w:tc>
          <w:tcPr>
            <w:tcW w:w="2660" w:type="dxa"/>
            <w:vAlign w:val="bottom"/>
          </w:tcPr>
          <w:p>
            <w:pPr>
              <w:spacing w:after="0"/>
              <w:rPr>
                <w:sz w:val="19"/>
                <w:szCs w:val="19"/>
                <w:color w:val="auto"/>
              </w:rPr>
            </w:pPr>
          </w:p>
        </w:tc>
        <w:tc>
          <w:tcPr>
            <w:tcW w:w="480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Terms of the Offering</w:t>
            </w:r>
          </w:p>
        </w:tc>
      </w:tr>
      <w:tr>
        <w:trPr>
          <w:trHeight w:val="395"/>
        </w:trPr>
        <w:tc>
          <w:tcPr>
            <w:tcW w:w="2660" w:type="dxa"/>
            <w:vAlign w:val="bottom"/>
          </w:tcPr>
          <w:p>
            <w:pPr>
              <w:spacing w:after="0"/>
              <w:rPr>
                <w:sz w:val="20"/>
                <w:szCs w:val="20"/>
                <w:color w:val="auto"/>
              </w:rPr>
            </w:pPr>
            <w:r>
              <w:rPr>
                <w:rFonts w:ascii="Arial" w:cs="Arial" w:eastAsia="Arial" w:hAnsi="Arial"/>
                <w:sz w:val="18"/>
                <w:szCs w:val="18"/>
                <w:color w:val="auto"/>
              </w:rPr>
              <w:t>Escrow of offering proceeds</w:t>
            </w:r>
          </w:p>
        </w:tc>
        <w:tc>
          <w:tcPr>
            <w:tcW w:w="4800" w:type="dxa"/>
            <w:vAlign w:val="bottom"/>
          </w:tcPr>
          <w:p>
            <w:pPr>
              <w:spacing w:after="0"/>
              <w:rPr>
                <w:sz w:val="20"/>
                <w:szCs w:val="20"/>
                <w:color w:val="auto"/>
              </w:rPr>
            </w:pPr>
            <w:r>
              <w:rPr>
                <w:rFonts w:ascii="Arial" w:cs="Arial" w:eastAsia="Arial" w:hAnsi="Arial"/>
                <w:sz w:val="18"/>
                <w:szCs w:val="18"/>
                <w:color w:val="auto"/>
                <w:w w:val="93"/>
              </w:rPr>
              <w:t>$50,000,000 of the net offering proceeds and proceeds from the</w:t>
            </w:r>
          </w:p>
        </w:tc>
      </w:tr>
      <w:tr>
        <w:trPr>
          <w:trHeight w:val="213"/>
        </w:trPr>
        <w:tc>
          <w:tcPr>
            <w:tcW w:w="26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w w:val="90"/>
              </w:rPr>
              <w:t>sale of the private units will be deposited into a trust account in the</w:t>
            </w:r>
          </w:p>
        </w:tc>
      </w:tr>
      <w:tr>
        <w:trPr>
          <w:trHeight w:val="213"/>
        </w:trPr>
        <w:tc>
          <w:tcPr>
            <w:tcW w:w="26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United States at Morgan Stanley Bank, N.A., maintained by</w:t>
            </w:r>
          </w:p>
        </w:tc>
      </w:tr>
      <w:tr>
        <w:trPr>
          <w:trHeight w:val="224"/>
        </w:trPr>
        <w:tc>
          <w:tcPr>
            <w:tcW w:w="266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w w:val="94"/>
              </w:rPr>
              <w:t>Continental Stock Transfer &amp; Trust Company, acting as trustee.</w:t>
            </w:r>
          </w:p>
        </w:tc>
      </w:tr>
    </w:tbl>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23114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311400" cy="8255"/>
                    </a:xfrm>
                    <a:prstGeom prst="rect">
                      <a:avLst/>
                    </a:prstGeom>
                    <a:noFill/>
                  </pic:spPr>
                </pic:pic>
              </a:graphicData>
            </a:graphic>
          </wp:anchor>
        </w:drawing>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$42,345,000 of the offering proceeds would be required to be deposited into either an escrow account with an insured depositary institution or in a separate bank account established by a broker-dealer in which the broker-dealer acts as trustee for persons having the beneficial interests in the account.</w:t>
      </w:r>
    </w:p>
    <w:p>
      <w:pPr>
        <w:spacing w:after="0" w:line="158" w:lineRule="exact"/>
        <w:rPr>
          <w:sz w:val="20"/>
          <w:szCs w:val="20"/>
          <w:color w:val="auto"/>
        </w:rPr>
      </w:pPr>
    </w:p>
    <w:p>
      <w:pPr>
        <w:sectPr>
          <w:pgSz w:w="11900" w:h="16838" w:orient="portrait"/>
          <w:cols w:equalWidth="0" w:num="2">
            <w:col w:w="7560" w:space="220"/>
            <w:col w:w="3640"/>
          </w:cols>
          <w:pgMar w:left="240" w:top="874" w:right="239" w:bottom="1440" w:gutter="0" w:footer="0" w:header="0"/>
          <w:type w:val="continuous"/>
        </w:sectPr>
      </w:pPr>
    </w:p>
    <w:p>
      <w:pPr>
        <w:ind w:left="100"/>
        <w:spacing w:after="0"/>
        <w:tabs>
          <w:tab w:leader="none" w:pos="2740" w:val="left"/>
        </w:tabs>
        <w:rPr>
          <w:sz w:val="20"/>
          <w:szCs w:val="20"/>
          <w:color w:val="auto"/>
        </w:rPr>
      </w:pPr>
      <w:r>
        <w:rPr>
          <w:rFonts w:ascii="Arial" w:cs="Arial" w:eastAsia="Arial" w:hAnsi="Arial"/>
          <w:sz w:val="18"/>
          <w:szCs w:val="18"/>
          <w:color w:val="auto"/>
        </w:rPr>
        <w:t>Investment of net proceeds</w:t>
      </w:r>
      <w:r>
        <w:rPr>
          <w:sz w:val="20"/>
          <w:szCs w:val="20"/>
          <w:color w:val="auto"/>
        </w:rPr>
        <w:tab/>
      </w:r>
      <w:r>
        <w:rPr>
          <w:rFonts w:ascii="Arial" w:cs="Arial" w:eastAsia="Arial" w:hAnsi="Arial"/>
          <w:sz w:val="16"/>
          <w:szCs w:val="16"/>
          <w:color w:val="auto"/>
        </w:rPr>
        <w:t>$50,000,000 of net offering proceeds and proceeds from the sale of</w:t>
      </w:r>
    </w:p>
    <w:p>
      <w:pPr>
        <w:spacing w:after="0" w:line="17"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the private units held in the trust account will be invested only in</w:t>
      </w:r>
    </w:p>
    <w:p>
      <w:pPr>
        <w:spacing w:after="0" w:line="18" w:lineRule="exact"/>
        <w:rPr>
          <w:sz w:val="20"/>
          <w:szCs w:val="20"/>
          <w:color w:val="auto"/>
        </w:rPr>
      </w:pPr>
    </w:p>
    <w:p>
      <w:pPr>
        <w:ind w:left="2760"/>
        <w:spacing w:after="0"/>
        <w:rPr>
          <w:sz w:val="20"/>
          <w:szCs w:val="20"/>
          <w:color w:val="auto"/>
        </w:rPr>
      </w:pPr>
      <w:r>
        <w:rPr>
          <w:rFonts w:ascii="Arial" w:cs="Arial" w:eastAsia="Arial" w:hAnsi="Arial"/>
          <w:sz w:val="16"/>
          <w:szCs w:val="16"/>
          <w:color w:val="auto"/>
        </w:rPr>
        <w:t>U.S. government treasury bills, bonds or notes with a maturity of</w:t>
      </w:r>
    </w:p>
    <w:p>
      <w:pPr>
        <w:spacing w:after="0" w:line="29" w:lineRule="exact"/>
        <w:rPr>
          <w:sz w:val="20"/>
          <w:szCs w:val="20"/>
          <w:color w:val="auto"/>
        </w:rPr>
      </w:pPr>
    </w:p>
    <w:p>
      <w:pPr>
        <w:ind w:left="2760"/>
        <w:spacing w:after="0"/>
        <w:rPr>
          <w:sz w:val="20"/>
          <w:szCs w:val="20"/>
          <w:color w:val="auto"/>
        </w:rPr>
      </w:pPr>
      <w:r>
        <w:rPr>
          <w:rFonts w:ascii="Arial" w:cs="Arial" w:eastAsia="Arial" w:hAnsi="Arial"/>
          <w:sz w:val="16"/>
          <w:szCs w:val="16"/>
          <w:color w:val="auto"/>
        </w:rPr>
        <w:t>180 days or less or in money market funds meeting the applicable</w:t>
      </w:r>
    </w:p>
    <w:p>
      <w:pPr>
        <w:spacing w:after="0" w:line="29"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conditions under Rule 2a-7 under the Investment Company Act</w:t>
      </w:r>
    </w:p>
    <w:p>
      <w:pPr>
        <w:spacing w:after="0" w:line="18" w:lineRule="exact"/>
        <w:rPr>
          <w:sz w:val="20"/>
          <w:szCs w:val="20"/>
          <w:color w:val="auto"/>
        </w:rPr>
      </w:pPr>
    </w:p>
    <w:p>
      <w:pPr>
        <w:ind w:left="2760"/>
        <w:spacing w:after="0"/>
        <w:rPr>
          <w:sz w:val="20"/>
          <w:szCs w:val="20"/>
          <w:color w:val="auto"/>
        </w:rPr>
      </w:pPr>
      <w:r>
        <w:rPr>
          <w:rFonts w:ascii="Arial" w:cs="Arial" w:eastAsia="Arial" w:hAnsi="Arial"/>
          <w:sz w:val="16"/>
          <w:szCs w:val="16"/>
          <w:color w:val="auto"/>
        </w:rPr>
        <w:t>which invest only in direct U.S. government treasury obligations.</w:t>
      </w:r>
    </w:p>
    <w:p>
      <w:pPr>
        <w:spacing w:after="0" w:line="192" w:lineRule="exact"/>
        <w:rPr>
          <w:sz w:val="20"/>
          <w:szCs w:val="20"/>
          <w:color w:val="auto"/>
        </w:rPr>
      </w:pPr>
    </w:p>
    <w:p>
      <w:pPr>
        <w:ind w:left="100"/>
        <w:spacing w:after="0"/>
        <w:tabs>
          <w:tab w:leader="none" w:pos="2740" w:val="left"/>
        </w:tabs>
        <w:rPr>
          <w:sz w:val="20"/>
          <w:szCs w:val="20"/>
          <w:color w:val="auto"/>
        </w:rPr>
      </w:pPr>
      <w:r>
        <w:rPr>
          <w:rFonts w:ascii="Arial" w:cs="Arial" w:eastAsia="Arial" w:hAnsi="Arial"/>
          <w:sz w:val="18"/>
          <w:szCs w:val="18"/>
          <w:color w:val="auto"/>
        </w:rPr>
        <w:t>Limitation on fair value or net</w:t>
      </w:r>
      <w:r>
        <w:rPr>
          <w:sz w:val="20"/>
          <w:szCs w:val="20"/>
          <w:color w:val="auto"/>
        </w:rPr>
        <w:tab/>
      </w:r>
      <w:r>
        <w:rPr>
          <w:rFonts w:ascii="Arial" w:cs="Arial" w:eastAsia="Arial" w:hAnsi="Arial"/>
          <w:sz w:val="17"/>
          <w:szCs w:val="17"/>
          <w:color w:val="auto"/>
        </w:rPr>
        <w:t>Our initial business combination must occur with one or more</w:t>
      </w:r>
    </w:p>
    <w:p>
      <w:pPr>
        <w:spacing w:after="0" w:line="17" w:lineRule="exact"/>
        <w:rPr>
          <w:sz w:val="20"/>
          <w:szCs w:val="20"/>
          <w:color w:val="auto"/>
        </w:rPr>
      </w:pPr>
    </w:p>
    <w:p>
      <w:pPr>
        <w:ind w:left="100"/>
        <w:spacing w:after="0"/>
        <w:tabs>
          <w:tab w:leader="none" w:pos="2740" w:val="left"/>
        </w:tabs>
        <w:rPr>
          <w:sz w:val="20"/>
          <w:szCs w:val="20"/>
          <w:color w:val="auto"/>
        </w:rPr>
      </w:pPr>
      <w:r>
        <w:rPr>
          <w:rFonts w:ascii="Arial" w:cs="Arial" w:eastAsia="Arial" w:hAnsi="Arial"/>
          <w:sz w:val="18"/>
          <w:szCs w:val="18"/>
          <w:color w:val="auto"/>
        </w:rPr>
        <w:t>assets of target business</w:t>
      </w:r>
      <w:r>
        <w:rPr>
          <w:sz w:val="20"/>
          <w:szCs w:val="20"/>
          <w:color w:val="auto"/>
        </w:rPr>
        <w:tab/>
      </w:r>
      <w:r>
        <w:rPr>
          <w:rFonts w:ascii="Arial" w:cs="Arial" w:eastAsia="Arial" w:hAnsi="Arial"/>
          <w:sz w:val="14"/>
          <w:szCs w:val="14"/>
          <w:color w:val="auto"/>
        </w:rPr>
        <w:t>target businesses that together have an aggregate fair market value</w:t>
      </w:r>
    </w:p>
    <w:p>
      <w:pPr>
        <w:spacing w:after="0" w:line="6"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of at least 80% of the value of the trust account (excluding any</w:t>
      </w:r>
    </w:p>
    <w:p>
      <w:pPr>
        <w:spacing w:after="0" w:line="18"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deferred underwriter’s fees and taxes payable on the income</w:t>
      </w:r>
    </w:p>
    <w:p>
      <w:pPr>
        <w:spacing w:after="0" w:line="18" w:lineRule="exact"/>
        <w:rPr>
          <w:sz w:val="20"/>
          <w:szCs w:val="20"/>
          <w:color w:val="auto"/>
        </w:rPr>
      </w:pPr>
    </w:p>
    <w:p>
      <w:pPr>
        <w:ind w:left="2760"/>
        <w:spacing w:after="0"/>
        <w:rPr>
          <w:sz w:val="20"/>
          <w:szCs w:val="20"/>
          <w:color w:val="auto"/>
        </w:rPr>
      </w:pPr>
      <w:r>
        <w:rPr>
          <w:rFonts w:ascii="Arial" w:cs="Arial" w:eastAsia="Arial" w:hAnsi="Arial"/>
          <w:sz w:val="16"/>
          <w:szCs w:val="16"/>
          <w:color w:val="auto"/>
        </w:rPr>
        <w:t>earned on the trust account) at the time of the agreement to enter</w:t>
      </w:r>
    </w:p>
    <w:p>
      <w:pPr>
        <w:spacing w:after="0" w:line="2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into the initial business combination.</w:t>
      </w:r>
    </w:p>
    <w:p>
      <w:pPr>
        <w:spacing w:after="0" w:line="20" w:lineRule="exact"/>
        <w:rPr>
          <w:sz w:val="20"/>
          <w:szCs w:val="20"/>
          <w:color w:val="auto"/>
        </w:rPr>
      </w:pPr>
      <w:r>
        <w:rPr>
          <w:sz w:val="20"/>
          <w:szCs w:val="20"/>
          <w:color w:val="auto"/>
        </w:rPr>
        <w:br w:type="column"/>
      </w:r>
    </w:p>
    <w:p>
      <w:pPr>
        <w:jc w:val="both"/>
        <w:spacing w:after="0" w:line="251" w:lineRule="auto"/>
        <w:rPr>
          <w:sz w:val="20"/>
          <w:szCs w:val="20"/>
          <w:color w:val="auto"/>
        </w:rPr>
      </w:pPr>
      <w:r>
        <w:rPr>
          <w:rFonts w:ascii="Arial" w:cs="Arial" w:eastAsia="Arial" w:hAnsi="Arial"/>
          <w:sz w:val="18"/>
          <w:szCs w:val="18"/>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or net assets of a target business must represent at least 80% of the maximum offering proceeds.</w:t>
      </w:r>
    </w:p>
    <w:p>
      <w:pPr>
        <w:spacing w:after="0" w:line="819" w:lineRule="exact"/>
        <w:rPr>
          <w:sz w:val="20"/>
          <w:szCs w:val="20"/>
          <w:color w:val="auto"/>
        </w:rPr>
      </w:pPr>
    </w:p>
    <w:p>
      <w:pPr>
        <w:sectPr>
          <w:pgSz w:w="11900" w:h="16838" w:orient="portrait"/>
          <w:cols w:equalWidth="0" w:num="2">
            <w:col w:w="7560" w:space="220"/>
            <w:col w:w="3640"/>
          </w:cols>
          <w:pgMar w:left="240" w:top="874" w:right="239" w:bottom="144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24852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type w:val="continuous"/>
        </w:sectPr>
      </w:pPr>
    </w:p>
    <w:bookmarkStart w:id="68" w:name="page69"/>
    <w:bookmarkEnd w:id="68"/>
    <w:p>
      <w:pPr>
        <w:ind w:left="4280"/>
        <w:spacing w:after="0"/>
        <w:rPr>
          <w:sz w:val="20"/>
          <w:szCs w:val="20"/>
          <w:color w:val="auto"/>
        </w:rPr>
      </w:pPr>
      <w:r>
        <w:rPr>
          <w:rFonts w:ascii="Arial" w:cs="Arial" w:eastAsia="Arial" w:hAnsi="Arial"/>
          <w:sz w:val="18"/>
          <w:szCs w:val="18"/>
          <w:color w:val="auto"/>
        </w:rPr>
        <w:t>Terms of the Offering</w:t>
      </w:r>
    </w:p>
    <w:p>
      <w:pPr>
        <w:spacing w:after="0" w:line="17" w:lineRule="exact"/>
        <w:rPr>
          <w:sz w:val="20"/>
          <w:szCs w:val="20"/>
          <w:color w:val="auto"/>
        </w:rPr>
      </w:pPr>
    </w:p>
    <w:p>
      <w:pPr>
        <w:jc w:val="both"/>
        <w:ind w:left="2660" w:hanging="2663"/>
        <w:spacing w:after="0" w:line="283" w:lineRule="auto"/>
        <w:tabs>
          <w:tab w:leader="none" w:pos="2640" w:val="left"/>
        </w:tabs>
        <w:rPr>
          <w:sz w:val="20"/>
          <w:szCs w:val="20"/>
          <w:color w:val="auto"/>
        </w:rPr>
      </w:pPr>
      <w:r>
        <w:rPr>
          <w:rFonts w:ascii="Arial" w:cs="Arial" w:eastAsia="Arial" w:hAnsi="Arial"/>
          <w:sz w:val="18"/>
          <w:szCs w:val="18"/>
          <w:color w:val="auto"/>
        </w:rPr>
        <w:t>Trading of securities issued</w:t>
      </w:r>
      <w:r>
        <w:rPr>
          <w:sz w:val="20"/>
          <w:szCs w:val="20"/>
          <w:color w:val="auto"/>
        </w:rPr>
        <w:tab/>
      </w:r>
      <w:r>
        <w:rPr>
          <w:rFonts w:ascii="Arial" w:cs="Arial" w:eastAsia="Arial" w:hAnsi="Arial"/>
          <w:sz w:val="16"/>
          <w:szCs w:val="16"/>
          <w:color w:val="auto"/>
        </w:rPr>
        <w:t>The units may commence trading on or promptly after the date of this prospectus. The common stock and warrants comprising the units will begin to trade separately on the 90th day after the date of this prospectus unless Chardan Capital Markets, LLC informs us of its decision to allow earlier separate trading (based upon its assessment of the relative strengths of the securities markets and small capitalization companies in general, and the trading pattern of, and demand for, our securities in particular), provided we have filed with the SEC a Current Report on Form 8-K, which includes an audited balance sheet reflecting our receipt of the proceeds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-1513840</wp:posOffset>
            </wp:positionV>
            <wp:extent cx="30397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0397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23114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311400" cy="8255"/>
                    </a:xfrm>
                    <a:prstGeom prst="rect">
                      <a:avLst/>
                    </a:prstGeom>
                    <a:noFill/>
                  </pic:spPr>
                </pic:pic>
              </a:graphicData>
            </a:graphic>
          </wp:anchor>
        </w:drawing>
      </w:r>
    </w:p>
    <w:p>
      <w:pPr>
        <w:jc w:val="both"/>
        <w:spacing w:after="0" w:line="270" w:lineRule="auto"/>
        <w:rPr>
          <w:sz w:val="20"/>
          <w:szCs w:val="20"/>
          <w:color w:val="auto"/>
        </w:rPr>
      </w:pPr>
      <w:r>
        <w:rPr>
          <w:rFonts w:ascii="Arial" w:cs="Arial" w:eastAsia="Arial" w:hAnsi="Arial"/>
          <w:sz w:val="17"/>
          <w:szCs w:val="17"/>
          <w:color w:val="auto"/>
        </w:rPr>
        <w:t>No trading of the units or the underlying common stock and warrants would be permitted until the completion of a business combination. During this period, the securities would be held in the escrow or trust account.</w:t>
      </w:r>
    </w:p>
    <w:p>
      <w:pPr>
        <w:spacing w:after="0" w:line="1420" w:lineRule="exact"/>
        <w:rPr>
          <w:sz w:val="20"/>
          <w:szCs w:val="20"/>
          <w:color w:val="auto"/>
        </w:rPr>
      </w:pPr>
    </w:p>
    <w:p>
      <w:pPr>
        <w:sectPr>
          <w:pgSz w:w="11900" w:h="16838" w:orient="portrait"/>
          <w:cols w:equalWidth="0" w:num="2">
            <w:col w:w="7460" w:space="220"/>
            <w:col w:w="3640"/>
          </w:cols>
          <w:pgMar w:left="340" w:top="901" w:right="239" w:bottom="1440" w:gutter="0" w:footer="0" w:header="0"/>
        </w:sectPr>
      </w:pPr>
    </w:p>
    <w:p>
      <w:pPr>
        <w:spacing w:after="0"/>
        <w:tabs>
          <w:tab w:leader="none" w:pos="2640" w:val="left"/>
        </w:tabs>
        <w:rPr>
          <w:sz w:val="20"/>
          <w:szCs w:val="20"/>
          <w:color w:val="auto"/>
        </w:rPr>
      </w:pPr>
      <w:r>
        <w:rPr>
          <w:rFonts w:ascii="Arial" w:cs="Arial" w:eastAsia="Arial" w:hAnsi="Arial"/>
          <w:sz w:val="18"/>
          <w:szCs w:val="18"/>
          <w:color w:val="auto"/>
        </w:rPr>
        <w:t>Exercise of the warrants</w:t>
      </w:r>
      <w:r>
        <w:rPr>
          <w:sz w:val="20"/>
          <w:szCs w:val="20"/>
          <w:color w:val="auto"/>
        </w:rPr>
        <w:tab/>
      </w:r>
      <w:r>
        <w:rPr>
          <w:rFonts w:ascii="Arial" w:cs="Arial" w:eastAsia="Arial" w:hAnsi="Arial"/>
          <w:sz w:val="16"/>
          <w:szCs w:val="16"/>
          <w:color w:val="auto"/>
        </w:rPr>
        <w:t>The warrants cannot be exercised until the later of 30 days after the</w:t>
      </w:r>
    </w:p>
    <w:p>
      <w:pPr>
        <w:spacing w:after="0" w:line="17" w:lineRule="exact"/>
        <w:rPr>
          <w:sz w:val="20"/>
          <w:szCs w:val="20"/>
          <w:color w:val="auto"/>
        </w:rPr>
      </w:pPr>
    </w:p>
    <w:p>
      <w:pPr>
        <w:ind w:left="2660" w:right="20"/>
        <w:spacing w:after="0" w:line="254" w:lineRule="auto"/>
        <w:rPr>
          <w:sz w:val="20"/>
          <w:szCs w:val="20"/>
          <w:color w:val="auto"/>
        </w:rPr>
      </w:pPr>
      <w:r>
        <w:rPr>
          <w:rFonts w:ascii="Arial" w:cs="Arial" w:eastAsia="Arial" w:hAnsi="Arial"/>
          <w:sz w:val="18"/>
          <w:szCs w:val="18"/>
          <w:color w:val="auto"/>
        </w:rPr>
        <w:t>completion of our initial business combination or 12 months from the closing of this offering.</w:t>
      </w:r>
    </w:p>
    <w:p>
      <w:pPr>
        <w:spacing w:after="0" w:line="20" w:lineRule="exact"/>
        <w:rPr>
          <w:sz w:val="20"/>
          <w:szCs w:val="20"/>
          <w:color w:val="auto"/>
        </w:rPr>
      </w:pPr>
      <w:r>
        <w:rPr>
          <w:sz w:val="20"/>
          <w:szCs w:val="20"/>
          <w:color w:val="auto"/>
        </w:rPr>
        <w:br w:type="column"/>
      </w:r>
    </w:p>
    <w:p>
      <w:pPr>
        <w:jc w:val="both"/>
        <w:spacing w:after="0" w:line="252" w:lineRule="auto"/>
        <w:rPr>
          <w:sz w:val="20"/>
          <w:szCs w:val="20"/>
          <w:color w:val="auto"/>
        </w:rPr>
      </w:pPr>
      <w:r>
        <w:rPr>
          <w:rFonts w:ascii="Arial" w:cs="Arial" w:eastAsia="Arial" w:hAnsi="Arial"/>
          <w:sz w:val="18"/>
          <w:szCs w:val="18"/>
          <w:color w:val="auto"/>
        </w:rPr>
        <w:t>The warrants could be exercised prior to the completion of a business combination, but securities received and cash paid in connection with the exercise would be deposited in the escrow or trust account.</w:t>
      </w:r>
    </w:p>
    <w:p>
      <w:pPr>
        <w:spacing w:after="0" w:line="153" w:lineRule="exact"/>
        <w:rPr>
          <w:sz w:val="20"/>
          <w:szCs w:val="20"/>
          <w:color w:val="auto"/>
        </w:rPr>
      </w:pPr>
    </w:p>
    <w:p>
      <w:pPr>
        <w:sectPr>
          <w:pgSz w:w="11900" w:h="16838" w:orient="portrait"/>
          <w:cols w:equalWidth="0" w:num="2">
            <w:col w:w="7460" w:space="220"/>
            <w:col w:w="3640"/>
          </w:cols>
          <w:pgMar w:left="340" w:top="901" w:right="239" w:bottom="1440" w:gutter="0" w:footer="0" w:header="0"/>
          <w:type w:val="continuous"/>
        </w:sectPr>
      </w:pPr>
    </w:p>
    <w:p>
      <w:pPr>
        <w:spacing w:after="0"/>
        <w:tabs>
          <w:tab w:leader="none" w:pos="2640" w:val="left"/>
        </w:tabs>
        <w:rPr>
          <w:sz w:val="20"/>
          <w:szCs w:val="20"/>
          <w:color w:val="auto"/>
        </w:rPr>
      </w:pPr>
      <w:r>
        <w:rPr>
          <w:rFonts w:ascii="Arial" w:cs="Arial" w:eastAsia="Arial" w:hAnsi="Arial"/>
          <w:sz w:val="18"/>
          <w:szCs w:val="18"/>
          <w:color w:val="auto"/>
        </w:rPr>
        <w:t>Election to remain an investor</w:t>
      </w:r>
      <w:r>
        <w:rPr>
          <w:sz w:val="20"/>
          <w:szCs w:val="20"/>
          <w:color w:val="auto"/>
        </w:rPr>
        <w:tab/>
      </w:r>
      <w:r>
        <w:rPr>
          <w:rFonts w:ascii="Arial" w:cs="Arial" w:eastAsia="Arial" w:hAnsi="Arial"/>
          <w:sz w:val="16"/>
          <w:szCs w:val="16"/>
          <w:color w:val="auto"/>
        </w:rPr>
        <w:t>We will either (i) give our stockholders the opportunity to vote on</w:t>
      </w:r>
    </w:p>
    <w:p>
      <w:pPr>
        <w:spacing w:after="0" w:line="17"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the business combination or (ii) provide our public stockholders</w:t>
      </w:r>
    </w:p>
    <w:p>
      <w:pPr>
        <w:spacing w:after="0" w:line="18"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with the opportunity to sell their shares of our common stock for</w:t>
      </w:r>
    </w:p>
    <w:p>
      <w:pPr>
        <w:spacing w:after="0" w:line="18"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cash equal to their pro rata share of the aggregate amount then on</w:t>
      </w:r>
    </w:p>
    <w:p>
      <w:pPr>
        <w:spacing w:after="0" w:line="29" w:lineRule="exact"/>
        <w:rPr>
          <w:sz w:val="20"/>
          <w:szCs w:val="20"/>
          <w:color w:val="auto"/>
        </w:rPr>
      </w:pPr>
    </w:p>
    <w:p>
      <w:pPr>
        <w:ind w:left="2660"/>
        <w:spacing w:after="0"/>
        <w:tabs>
          <w:tab w:leader="none" w:pos="5660" w:val="left"/>
        </w:tabs>
        <w:rPr>
          <w:sz w:val="20"/>
          <w:szCs w:val="20"/>
          <w:color w:val="auto"/>
        </w:rPr>
      </w:pPr>
      <w:r>
        <w:rPr>
          <w:rFonts w:ascii="Arial" w:cs="Arial" w:eastAsia="Arial" w:hAnsi="Arial"/>
          <w:sz w:val="18"/>
          <w:szCs w:val="18"/>
          <w:color w:val="auto"/>
        </w:rPr>
        <w:t>deposit in the trust account, less taxes.</w:t>
      </w:r>
      <w:r>
        <w:rPr>
          <w:sz w:val="20"/>
          <w:szCs w:val="20"/>
          <w:color w:val="auto"/>
        </w:rPr>
        <w:tab/>
      </w:r>
      <w:r>
        <w:rPr>
          <w:rFonts w:ascii="Arial" w:cs="Arial" w:eastAsia="Arial" w:hAnsi="Arial"/>
          <w:sz w:val="17"/>
          <w:szCs w:val="17"/>
          <w:color w:val="auto"/>
        </w:rPr>
        <w:t>If we hold a meeting to</w:t>
      </w:r>
    </w:p>
    <w:p>
      <w:pPr>
        <w:spacing w:after="0" w:line="6"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approve a proposed business combination, we will send each</w:t>
      </w:r>
    </w:p>
    <w:p>
      <w:pPr>
        <w:spacing w:after="0" w:line="18"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stockholder a proxy statement containing information required by</w:t>
      </w:r>
    </w:p>
    <w:p>
      <w:pPr>
        <w:spacing w:after="0" w:line="29"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the SEC. Alternatively, if we do not hold a meeting and instead</w:t>
      </w:r>
    </w:p>
    <w:p>
      <w:pPr>
        <w:spacing w:after="0" w:line="18"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conduct a tender offer, we will conduct such tender offer in</w:t>
      </w:r>
    </w:p>
    <w:p>
      <w:pPr>
        <w:spacing w:after="0" w:line="6"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accordance with the tender offer rules of the SEC and file tender</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offer documents with the SEC which will contain substantially the</w:t>
      </w:r>
    </w:p>
    <w:p>
      <w:pPr>
        <w:spacing w:after="0" w:line="6"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same financial and other information about the initial business</w:t>
      </w:r>
    </w:p>
    <w:p>
      <w:pPr>
        <w:spacing w:after="0" w:line="18"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combination as we would have included in a proxy statement.</w:t>
      </w:r>
    </w:p>
    <w:p>
      <w:pPr>
        <w:spacing w:after="0" w:line="18"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Under Delaware law and our bylaws, we must provide at least 10</w:t>
      </w:r>
    </w:p>
    <w:p>
      <w:pPr>
        <w:spacing w:after="0" w:line="29"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days advance notice of any meeting of stockholders. Accordingly,</w:t>
      </w:r>
    </w:p>
    <w:p>
      <w:pPr>
        <w:spacing w:after="0" w:line="29"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this is the minimum amount of time we would need to provide</w:t>
      </w:r>
    </w:p>
    <w:p>
      <w:pPr>
        <w:spacing w:after="0" w:line="18"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holders to determine whether to exercise their rights to convert</w:t>
      </w:r>
    </w:p>
    <w:p>
      <w:pPr>
        <w:spacing w:after="0" w:line="18"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their shares into cash or to remain an investor in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12065</wp:posOffset>
            </wp:positionV>
            <wp:extent cx="724852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81" w:lineRule="auto"/>
        <w:rPr>
          <w:sz w:val="20"/>
          <w:szCs w:val="20"/>
          <w:color w:val="auto"/>
        </w:rPr>
      </w:pPr>
      <w:r>
        <w:rPr>
          <w:rFonts w:ascii="Arial" w:cs="Arial" w:eastAsia="Arial" w:hAnsi="Arial"/>
          <w:sz w:val="16"/>
          <w:szCs w:val="16"/>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 45 business days from the effective date of a post-effective amendment to the company’s registration statement, to decide if he, she or it elects to remain a stockholder of the company or require the return of his, her or its investment. If the company has not received the notification by the end of the 45th business day, funds and interest or dividends, if any, held in the trust or escrow account are automatically returned to the stockholder. Unless a sufficient number of investors elect to remain investors, all funds on deposit in the escrow account must be returned to all of the investors and none of the securities are issued.</w:t>
      </w:r>
    </w:p>
    <w:p>
      <w:pPr>
        <w:sectPr>
          <w:pgSz w:w="11900" w:h="16838" w:orient="portrait"/>
          <w:cols w:equalWidth="0" w:num="2">
            <w:col w:w="7460" w:space="220"/>
            <w:col w:w="3640"/>
          </w:cols>
          <w:pgMar w:left="340" w:top="901" w:right="239" w:bottom="1440" w:gutter="0" w:footer="0" w:header="0"/>
          <w:type w:val="continuous"/>
        </w:sectPr>
      </w:pPr>
    </w:p>
    <w:bookmarkStart w:id="69" w:name="page70"/>
    <w:bookmarkEnd w:id="69"/>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Business combination deadline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5020" w:type="dxa"/>
            <w:vAlign w:val="bottom"/>
            <w:gridSpan w:val="2"/>
          </w:tcPr>
          <w:p>
            <w:pPr>
              <w:ind w:left="1620"/>
              <w:spacing w:after="0"/>
              <w:rPr>
                <w:sz w:val="20"/>
                <w:szCs w:val="20"/>
                <w:color w:val="auto"/>
              </w:rPr>
            </w:pPr>
            <w:r>
              <w:rPr>
                <w:rFonts w:ascii="Arial" w:cs="Arial" w:eastAsia="Arial" w:hAnsi="Arial"/>
                <w:sz w:val="18"/>
                <w:szCs w:val="18"/>
                <w:color w:val="auto"/>
              </w:rPr>
              <w:t>Terms of the Offering</w:t>
            </w:r>
          </w:p>
        </w:tc>
        <w:tc>
          <w:tcPr>
            <w:tcW w:w="3640" w:type="dxa"/>
            <w:vAlign w:val="bottom"/>
          </w:tcPr>
          <w:p>
            <w:pPr>
              <w:ind w:left="620"/>
              <w:spacing w:after="0"/>
              <w:rPr>
                <w:sz w:val="20"/>
                <w:szCs w:val="20"/>
                <w:color w:val="auto"/>
              </w:rPr>
            </w:pPr>
            <w:r>
              <w:rPr>
                <w:rFonts w:ascii="Arial" w:cs="Arial" w:eastAsia="Arial" w:hAnsi="Arial"/>
                <w:sz w:val="18"/>
                <w:szCs w:val="18"/>
                <w:color w:val="auto"/>
              </w:rPr>
              <w:t>Terms Under a Rule 419 Offering</w:t>
            </w:r>
          </w:p>
        </w:tc>
      </w:tr>
      <w:tr>
        <w:trPr>
          <w:trHeight w:val="195"/>
        </w:trPr>
        <w:tc>
          <w:tcPr>
            <w:tcW w:w="4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7"/>
              </w:rPr>
              <w:t>Pursuant to our certificate of incorporation, if we are unable to</w:t>
            </w:r>
          </w:p>
        </w:tc>
        <w:tc>
          <w:tcPr>
            <w:tcW w:w="220" w:type="dxa"/>
            <w:vAlign w:val="bottom"/>
          </w:tcPr>
          <w:p>
            <w:pPr>
              <w:spacing w:after="0"/>
              <w:rPr>
                <w:sz w:val="16"/>
                <w:szCs w:val="16"/>
                <w:color w:val="auto"/>
              </w:rPr>
            </w:pPr>
          </w:p>
        </w:tc>
        <w:tc>
          <w:tcPr>
            <w:tcW w:w="3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0"/>
              </w:rPr>
              <w:t>If an acquisition has not been completed within 18</w:t>
            </w:r>
          </w:p>
        </w:tc>
      </w:tr>
      <w:tr>
        <w:trPr>
          <w:trHeight w:val="213"/>
        </w:trPr>
        <w:tc>
          <w:tcPr>
            <w:tcW w:w="5020" w:type="dxa"/>
            <w:vAlign w:val="bottom"/>
            <w:gridSpan w:val="2"/>
          </w:tcPr>
          <w:p>
            <w:pPr>
              <w:spacing w:after="0"/>
              <w:rPr>
                <w:sz w:val="20"/>
                <w:szCs w:val="20"/>
                <w:color w:val="auto"/>
              </w:rPr>
            </w:pPr>
            <w:r>
              <w:rPr>
                <w:rFonts w:ascii="Arial" w:cs="Arial" w:eastAsia="Arial" w:hAnsi="Arial"/>
                <w:sz w:val="18"/>
                <w:szCs w:val="18"/>
                <w:color w:val="auto"/>
                <w:w w:val="98"/>
              </w:rPr>
              <w:t>complete our initial business combination within 18 months from</w:t>
            </w:r>
          </w:p>
        </w:tc>
        <w:tc>
          <w:tcPr>
            <w:tcW w:w="3640" w:type="dxa"/>
            <w:vAlign w:val="bottom"/>
          </w:tcPr>
          <w:p>
            <w:pPr>
              <w:spacing w:after="0"/>
              <w:rPr>
                <w:sz w:val="20"/>
                <w:szCs w:val="20"/>
                <w:color w:val="auto"/>
              </w:rPr>
            </w:pPr>
            <w:r>
              <w:rPr>
                <w:rFonts w:ascii="Arial" w:cs="Arial" w:eastAsia="Arial" w:hAnsi="Arial"/>
                <w:sz w:val="18"/>
                <w:szCs w:val="18"/>
                <w:color w:val="auto"/>
                <w:w w:val="94"/>
              </w:rPr>
              <w:t>months after the effective date of the company’s</w:t>
            </w:r>
          </w:p>
        </w:tc>
      </w:tr>
      <w:tr>
        <w:trPr>
          <w:trHeight w:val="213"/>
        </w:trPr>
        <w:tc>
          <w:tcPr>
            <w:tcW w:w="5020" w:type="dxa"/>
            <w:vAlign w:val="bottom"/>
            <w:gridSpan w:val="2"/>
          </w:tcPr>
          <w:p>
            <w:pPr>
              <w:spacing w:after="0"/>
              <w:rPr>
                <w:sz w:val="20"/>
                <w:szCs w:val="20"/>
                <w:color w:val="auto"/>
              </w:rPr>
            </w:pPr>
            <w:r>
              <w:rPr>
                <w:rFonts w:ascii="Arial" w:cs="Arial" w:eastAsia="Arial" w:hAnsi="Arial"/>
                <w:sz w:val="18"/>
                <w:szCs w:val="18"/>
                <w:color w:val="auto"/>
                <w:w w:val="98"/>
              </w:rPr>
              <w:t>the closing of this offering (or 21 months from the closing of this</w:t>
            </w:r>
          </w:p>
        </w:tc>
        <w:tc>
          <w:tcPr>
            <w:tcW w:w="3640" w:type="dxa"/>
            <w:vAlign w:val="bottom"/>
          </w:tcPr>
          <w:p>
            <w:pPr>
              <w:spacing w:after="0"/>
              <w:rPr>
                <w:sz w:val="20"/>
                <w:szCs w:val="20"/>
                <w:color w:val="auto"/>
              </w:rPr>
            </w:pPr>
            <w:r>
              <w:rPr>
                <w:rFonts w:ascii="Arial" w:cs="Arial" w:eastAsia="Arial" w:hAnsi="Arial"/>
                <w:sz w:val="18"/>
                <w:szCs w:val="18"/>
                <w:color w:val="auto"/>
                <w:w w:val="96"/>
              </w:rPr>
              <w:t>registration statement, funds held in the trust or</w:t>
            </w:r>
          </w:p>
        </w:tc>
      </w:tr>
      <w:tr>
        <w:trPr>
          <w:trHeight w:val="213"/>
        </w:trPr>
        <w:tc>
          <w:tcPr>
            <w:tcW w:w="5020" w:type="dxa"/>
            <w:vAlign w:val="bottom"/>
            <w:gridSpan w:val="2"/>
          </w:tcPr>
          <w:p>
            <w:pPr>
              <w:spacing w:after="0"/>
              <w:rPr>
                <w:sz w:val="20"/>
                <w:szCs w:val="20"/>
                <w:color w:val="auto"/>
              </w:rPr>
            </w:pPr>
            <w:r>
              <w:rPr>
                <w:rFonts w:ascii="Arial" w:cs="Arial" w:eastAsia="Arial" w:hAnsi="Arial"/>
                <w:sz w:val="18"/>
                <w:szCs w:val="18"/>
                <w:color w:val="auto"/>
                <w:w w:val="97"/>
              </w:rPr>
              <w:t>offering if the extension criteria described elsewhere is satisfied),</w:t>
            </w:r>
          </w:p>
        </w:tc>
        <w:tc>
          <w:tcPr>
            <w:tcW w:w="3640" w:type="dxa"/>
            <w:vAlign w:val="bottom"/>
          </w:tcPr>
          <w:p>
            <w:pPr>
              <w:spacing w:after="0"/>
              <w:rPr>
                <w:sz w:val="20"/>
                <w:szCs w:val="20"/>
                <w:color w:val="auto"/>
              </w:rPr>
            </w:pPr>
            <w:r>
              <w:rPr>
                <w:rFonts w:ascii="Arial" w:cs="Arial" w:eastAsia="Arial" w:hAnsi="Arial"/>
                <w:sz w:val="18"/>
                <w:szCs w:val="18"/>
                <w:color w:val="auto"/>
              </w:rPr>
              <w:t>escrow account are returned to investors.</w:t>
            </w:r>
          </w:p>
        </w:tc>
      </w:tr>
      <w:tr>
        <w:trPr>
          <w:trHeight w:val="213"/>
        </w:trPr>
        <w:tc>
          <w:tcPr>
            <w:tcW w:w="5020" w:type="dxa"/>
            <w:vAlign w:val="bottom"/>
            <w:gridSpan w:val="2"/>
          </w:tcPr>
          <w:p>
            <w:pPr>
              <w:spacing w:after="0"/>
              <w:rPr>
                <w:sz w:val="20"/>
                <w:szCs w:val="20"/>
                <w:color w:val="auto"/>
              </w:rPr>
            </w:pPr>
            <w:r>
              <w:rPr>
                <w:rFonts w:ascii="Arial" w:cs="Arial" w:eastAsia="Arial" w:hAnsi="Arial"/>
                <w:sz w:val="18"/>
                <w:szCs w:val="18"/>
                <w:color w:val="auto"/>
                <w:w w:val="98"/>
              </w:rPr>
              <w:t>we will (i) cease all operations except for the purpose of winding</w:t>
            </w:r>
          </w:p>
        </w:tc>
        <w:tc>
          <w:tcPr>
            <w:tcW w:w="3640" w:type="dxa"/>
            <w:vAlign w:val="bottom"/>
          </w:tcPr>
          <w:p>
            <w:pPr>
              <w:spacing w:after="0"/>
              <w:rPr>
                <w:sz w:val="18"/>
                <w:szCs w:val="18"/>
                <w:color w:val="auto"/>
              </w:rPr>
            </w:pPr>
          </w:p>
        </w:tc>
      </w:tr>
      <w:tr>
        <w:trPr>
          <w:trHeight w:val="213"/>
        </w:trPr>
        <w:tc>
          <w:tcPr>
            <w:tcW w:w="5020" w:type="dxa"/>
            <w:vAlign w:val="bottom"/>
            <w:gridSpan w:val="2"/>
          </w:tcPr>
          <w:p>
            <w:pPr>
              <w:spacing w:after="0"/>
              <w:rPr>
                <w:sz w:val="20"/>
                <w:szCs w:val="20"/>
                <w:color w:val="auto"/>
              </w:rPr>
            </w:pPr>
            <w:r>
              <w:rPr>
                <w:rFonts w:ascii="Arial" w:cs="Arial" w:eastAsia="Arial" w:hAnsi="Arial"/>
                <w:sz w:val="18"/>
                <w:szCs w:val="18"/>
                <w:color w:val="auto"/>
                <w:w w:val="97"/>
              </w:rPr>
              <w:t>up, (ii) as promptly as reasonably possible but not more than ten</w:t>
            </w:r>
          </w:p>
        </w:tc>
        <w:tc>
          <w:tcPr>
            <w:tcW w:w="3640" w:type="dxa"/>
            <w:vAlign w:val="bottom"/>
          </w:tcPr>
          <w:p>
            <w:pPr>
              <w:spacing w:after="0"/>
              <w:rPr>
                <w:sz w:val="18"/>
                <w:szCs w:val="18"/>
                <w:color w:val="auto"/>
              </w:rPr>
            </w:pPr>
          </w:p>
        </w:tc>
      </w:tr>
      <w:tr>
        <w:trPr>
          <w:trHeight w:val="213"/>
        </w:trPr>
        <w:tc>
          <w:tcPr>
            <w:tcW w:w="5020" w:type="dxa"/>
            <w:vAlign w:val="bottom"/>
            <w:gridSpan w:val="2"/>
          </w:tcPr>
          <w:p>
            <w:pPr>
              <w:spacing w:after="0"/>
              <w:rPr>
                <w:sz w:val="20"/>
                <w:szCs w:val="20"/>
                <w:color w:val="auto"/>
              </w:rPr>
            </w:pPr>
            <w:r>
              <w:rPr>
                <w:rFonts w:ascii="Arial" w:cs="Arial" w:eastAsia="Arial" w:hAnsi="Arial"/>
                <w:sz w:val="18"/>
                <w:szCs w:val="18"/>
                <w:color w:val="auto"/>
                <w:w w:val="96"/>
              </w:rPr>
              <w:t>business days thereafter, redeem 100% of the outstanding public</w:t>
            </w:r>
          </w:p>
        </w:tc>
        <w:tc>
          <w:tcPr>
            <w:tcW w:w="3640" w:type="dxa"/>
            <w:vAlign w:val="bottom"/>
          </w:tcPr>
          <w:p>
            <w:pPr>
              <w:spacing w:after="0"/>
              <w:rPr>
                <w:sz w:val="18"/>
                <w:szCs w:val="18"/>
                <w:color w:val="auto"/>
              </w:rPr>
            </w:pPr>
          </w:p>
        </w:tc>
      </w:tr>
      <w:tr>
        <w:trPr>
          <w:trHeight w:val="213"/>
        </w:trPr>
        <w:tc>
          <w:tcPr>
            <w:tcW w:w="5020" w:type="dxa"/>
            <w:vAlign w:val="bottom"/>
            <w:gridSpan w:val="2"/>
          </w:tcPr>
          <w:p>
            <w:pPr>
              <w:spacing w:after="0"/>
              <w:rPr>
                <w:sz w:val="20"/>
                <w:szCs w:val="20"/>
                <w:color w:val="auto"/>
              </w:rPr>
            </w:pPr>
            <w:r>
              <w:rPr>
                <w:rFonts w:ascii="Arial" w:cs="Arial" w:eastAsia="Arial" w:hAnsi="Arial"/>
                <w:sz w:val="18"/>
                <w:szCs w:val="18"/>
                <w:color w:val="auto"/>
              </w:rPr>
              <w:t>shares  which  redemption  will  completely  extinguish  public</w:t>
            </w:r>
          </w:p>
        </w:tc>
        <w:tc>
          <w:tcPr>
            <w:tcW w:w="3640" w:type="dxa"/>
            <w:vAlign w:val="bottom"/>
          </w:tcPr>
          <w:p>
            <w:pPr>
              <w:spacing w:after="0"/>
              <w:rPr>
                <w:sz w:val="18"/>
                <w:szCs w:val="18"/>
                <w:color w:val="auto"/>
              </w:rPr>
            </w:pPr>
          </w:p>
        </w:tc>
      </w:tr>
      <w:tr>
        <w:trPr>
          <w:trHeight w:val="213"/>
        </w:trPr>
        <w:tc>
          <w:tcPr>
            <w:tcW w:w="5020" w:type="dxa"/>
            <w:vAlign w:val="bottom"/>
            <w:gridSpan w:val="2"/>
          </w:tcPr>
          <w:p>
            <w:pPr>
              <w:spacing w:after="0"/>
              <w:rPr>
                <w:sz w:val="20"/>
                <w:szCs w:val="20"/>
                <w:color w:val="auto"/>
              </w:rPr>
            </w:pPr>
            <w:r>
              <w:rPr>
                <w:rFonts w:ascii="Arial" w:cs="Arial" w:eastAsia="Arial" w:hAnsi="Arial"/>
                <w:sz w:val="18"/>
                <w:szCs w:val="18"/>
                <w:color w:val="auto"/>
                <w:w w:val="96"/>
              </w:rPr>
              <w:t>stockholders’ rights as stockholders (including the right to receive</w:t>
            </w:r>
          </w:p>
        </w:tc>
        <w:tc>
          <w:tcPr>
            <w:tcW w:w="3640" w:type="dxa"/>
            <w:vAlign w:val="bottom"/>
          </w:tcPr>
          <w:p>
            <w:pPr>
              <w:spacing w:after="0"/>
              <w:rPr>
                <w:sz w:val="18"/>
                <w:szCs w:val="18"/>
                <w:color w:val="auto"/>
              </w:rPr>
            </w:pPr>
          </w:p>
        </w:tc>
      </w:tr>
      <w:tr>
        <w:trPr>
          <w:trHeight w:val="213"/>
        </w:trPr>
        <w:tc>
          <w:tcPr>
            <w:tcW w:w="5020" w:type="dxa"/>
            <w:vAlign w:val="bottom"/>
            <w:gridSpan w:val="2"/>
          </w:tcPr>
          <w:p>
            <w:pPr>
              <w:spacing w:after="0"/>
              <w:rPr>
                <w:sz w:val="20"/>
                <w:szCs w:val="20"/>
                <w:color w:val="auto"/>
              </w:rPr>
            </w:pPr>
            <w:r>
              <w:rPr>
                <w:rFonts w:ascii="Arial" w:cs="Arial" w:eastAsia="Arial" w:hAnsi="Arial"/>
                <w:sz w:val="18"/>
                <w:szCs w:val="18"/>
                <w:color w:val="auto"/>
                <w:w w:val="98"/>
              </w:rPr>
              <w:t>further liquidation distributions, if any), subject to applicable law,</w:t>
            </w:r>
          </w:p>
        </w:tc>
        <w:tc>
          <w:tcPr>
            <w:tcW w:w="3640" w:type="dxa"/>
            <w:vAlign w:val="bottom"/>
          </w:tcPr>
          <w:p>
            <w:pPr>
              <w:spacing w:after="0"/>
              <w:rPr>
                <w:sz w:val="18"/>
                <w:szCs w:val="18"/>
                <w:color w:val="auto"/>
              </w:rPr>
            </w:pPr>
          </w:p>
        </w:tc>
      </w:tr>
      <w:tr>
        <w:trPr>
          <w:trHeight w:val="213"/>
        </w:trPr>
        <w:tc>
          <w:tcPr>
            <w:tcW w:w="5020" w:type="dxa"/>
            <w:vAlign w:val="bottom"/>
            <w:gridSpan w:val="2"/>
          </w:tcPr>
          <w:p>
            <w:pPr>
              <w:spacing w:after="0"/>
              <w:rPr>
                <w:sz w:val="20"/>
                <w:szCs w:val="20"/>
                <w:color w:val="auto"/>
              </w:rPr>
            </w:pPr>
            <w:r>
              <w:rPr>
                <w:rFonts w:ascii="Arial" w:cs="Arial" w:eastAsia="Arial" w:hAnsi="Arial"/>
                <w:sz w:val="18"/>
                <w:szCs w:val="18"/>
                <w:color w:val="auto"/>
                <w:w w:val="99"/>
              </w:rPr>
              <w:t>and  (iii)  as  promptly  as  reasonably  possible  following  such</w:t>
            </w:r>
          </w:p>
        </w:tc>
        <w:tc>
          <w:tcPr>
            <w:tcW w:w="3640" w:type="dxa"/>
            <w:vAlign w:val="bottom"/>
          </w:tcPr>
          <w:p>
            <w:pPr>
              <w:spacing w:after="0"/>
              <w:rPr>
                <w:sz w:val="18"/>
                <w:szCs w:val="18"/>
                <w:color w:val="auto"/>
              </w:rPr>
            </w:pPr>
          </w:p>
        </w:tc>
      </w:tr>
      <w:tr>
        <w:trPr>
          <w:trHeight w:val="213"/>
        </w:trPr>
        <w:tc>
          <w:tcPr>
            <w:tcW w:w="5020" w:type="dxa"/>
            <w:vAlign w:val="bottom"/>
            <w:gridSpan w:val="2"/>
          </w:tcPr>
          <w:p>
            <w:pPr>
              <w:spacing w:after="0"/>
              <w:rPr>
                <w:sz w:val="20"/>
                <w:szCs w:val="20"/>
                <w:color w:val="auto"/>
              </w:rPr>
            </w:pPr>
            <w:r>
              <w:rPr>
                <w:rFonts w:ascii="Arial" w:cs="Arial" w:eastAsia="Arial" w:hAnsi="Arial"/>
                <w:sz w:val="18"/>
                <w:szCs w:val="18"/>
                <w:color w:val="auto"/>
                <w:w w:val="95"/>
              </w:rPr>
              <w:t>redemption, subject to the approval of our remaining stockholders</w:t>
            </w:r>
          </w:p>
        </w:tc>
        <w:tc>
          <w:tcPr>
            <w:tcW w:w="3640" w:type="dxa"/>
            <w:vAlign w:val="bottom"/>
          </w:tcPr>
          <w:p>
            <w:pPr>
              <w:spacing w:after="0"/>
              <w:rPr>
                <w:sz w:val="18"/>
                <w:szCs w:val="18"/>
                <w:color w:val="auto"/>
              </w:rPr>
            </w:pPr>
          </w:p>
        </w:tc>
      </w:tr>
      <w:tr>
        <w:trPr>
          <w:trHeight w:val="213"/>
        </w:trPr>
        <w:tc>
          <w:tcPr>
            <w:tcW w:w="5020" w:type="dxa"/>
            <w:vAlign w:val="bottom"/>
            <w:gridSpan w:val="2"/>
          </w:tcPr>
          <w:p>
            <w:pPr>
              <w:spacing w:after="0"/>
              <w:rPr>
                <w:sz w:val="20"/>
                <w:szCs w:val="20"/>
                <w:color w:val="auto"/>
              </w:rPr>
            </w:pPr>
            <w:r>
              <w:rPr>
                <w:rFonts w:ascii="Arial" w:cs="Arial" w:eastAsia="Arial" w:hAnsi="Arial"/>
                <w:sz w:val="18"/>
                <w:szCs w:val="18"/>
                <w:color w:val="auto"/>
                <w:w w:val="97"/>
              </w:rPr>
              <w:t>and our board of directors, dissolve and liquidate, subject (in the</w:t>
            </w:r>
          </w:p>
        </w:tc>
        <w:tc>
          <w:tcPr>
            <w:tcW w:w="3640" w:type="dxa"/>
            <w:vAlign w:val="bottom"/>
          </w:tcPr>
          <w:p>
            <w:pPr>
              <w:spacing w:after="0"/>
              <w:rPr>
                <w:sz w:val="18"/>
                <w:szCs w:val="18"/>
                <w:color w:val="auto"/>
              </w:rPr>
            </w:pPr>
          </w:p>
        </w:tc>
      </w:tr>
      <w:tr>
        <w:trPr>
          <w:trHeight w:val="213"/>
        </w:trPr>
        <w:tc>
          <w:tcPr>
            <w:tcW w:w="5020" w:type="dxa"/>
            <w:vAlign w:val="bottom"/>
            <w:gridSpan w:val="2"/>
          </w:tcPr>
          <w:p>
            <w:pPr>
              <w:spacing w:after="0"/>
              <w:rPr>
                <w:sz w:val="20"/>
                <w:szCs w:val="20"/>
                <w:color w:val="auto"/>
              </w:rPr>
            </w:pPr>
            <w:r>
              <w:rPr>
                <w:rFonts w:ascii="Arial" w:cs="Arial" w:eastAsia="Arial" w:hAnsi="Arial"/>
                <w:sz w:val="18"/>
                <w:szCs w:val="18"/>
                <w:color w:val="auto"/>
                <w:w w:val="97"/>
              </w:rPr>
              <w:t>case of (ii) and (iii) above) to our obligations under Delaware law</w:t>
            </w:r>
          </w:p>
        </w:tc>
        <w:tc>
          <w:tcPr>
            <w:tcW w:w="3640" w:type="dxa"/>
            <w:vAlign w:val="bottom"/>
          </w:tcPr>
          <w:p>
            <w:pPr>
              <w:spacing w:after="0"/>
              <w:rPr>
                <w:sz w:val="18"/>
                <w:szCs w:val="18"/>
                <w:color w:val="auto"/>
              </w:rPr>
            </w:pPr>
          </w:p>
        </w:tc>
      </w:tr>
      <w:tr>
        <w:trPr>
          <w:trHeight w:val="213"/>
        </w:trPr>
        <w:tc>
          <w:tcPr>
            <w:tcW w:w="5020" w:type="dxa"/>
            <w:vAlign w:val="bottom"/>
            <w:gridSpan w:val="2"/>
          </w:tcPr>
          <w:p>
            <w:pPr>
              <w:spacing w:after="0"/>
              <w:rPr>
                <w:sz w:val="20"/>
                <w:szCs w:val="20"/>
                <w:color w:val="auto"/>
              </w:rPr>
            </w:pPr>
            <w:r>
              <w:rPr>
                <w:rFonts w:ascii="Arial" w:cs="Arial" w:eastAsia="Arial" w:hAnsi="Arial"/>
                <w:sz w:val="18"/>
                <w:szCs w:val="18"/>
                <w:color w:val="auto"/>
              </w:rPr>
              <w:t>to provide for claims of creditors and the requirements of other</w:t>
            </w:r>
          </w:p>
        </w:tc>
        <w:tc>
          <w:tcPr>
            <w:tcW w:w="3640" w:type="dxa"/>
            <w:vAlign w:val="bottom"/>
          </w:tcPr>
          <w:p>
            <w:pPr>
              <w:spacing w:after="0"/>
              <w:rPr>
                <w:sz w:val="18"/>
                <w:szCs w:val="18"/>
                <w:color w:val="auto"/>
              </w:rPr>
            </w:pPr>
          </w:p>
        </w:tc>
      </w:tr>
      <w:tr>
        <w:trPr>
          <w:trHeight w:val="224"/>
        </w:trPr>
        <w:tc>
          <w:tcPr>
            <w:tcW w:w="5020" w:type="dxa"/>
            <w:vAlign w:val="bottom"/>
            <w:gridSpan w:val="2"/>
          </w:tcPr>
          <w:p>
            <w:pPr>
              <w:spacing w:after="0"/>
              <w:rPr>
                <w:sz w:val="20"/>
                <w:szCs w:val="20"/>
                <w:color w:val="auto"/>
              </w:rPr>
            </w:pPr>
            <w:r>
              <w:rPr>
                <w:rFonts w:ascii="Arial" w:cs="Arial" w:eastAsia="Arial" w:hAnsi="Arial"/>
                <w:sz w:val="18"/>
                <w:szCs w:val="18"/>
                <w:color w:val="auto"/>
              </w:rPr>
              <w:t>applicable law.</w:t>
            </w:r>
          </w:p>
        </w:tc>
        <w:tc>
          <w:tcPr>
            <w:tcW w:w="3640" w:type="dxa"/>
            <w:vAlign w:val="bottom"/>
          </w:tcPr>
          <w:p>
            <w:pPr>
              <w:spacing w:after="0"/>
              <w:rPr>
                <w:sz w:val="19"/>
                <w:szCs w:val="19"/>
                <w:color w:val="auto"/>
              </w:rPr>
            </w:pPr>
          </w:p>
        </w:tc>
      </w:tr>
    </w:tbl>
    <w:p>
      <w:pPr>
        <w:spacing w:after="0" w:line="162" w:lineRule="exact"/>
        <w:rPr>
          <w:sz w:val="20"/>
          <w:szCs w:val="20"/>
          <w:color w:val="auto"/>
        </w:rPr>
      </w:pPr>
    </w:p>
    <w:p>
      <w:pPr>
        <w:sectPr>
          <w:pgSz w:w="11900" w:h="16838" w:orient="portrait"/>
          <w:cols w:equalWidth="0" w:num="2">
            <w:col w:w="2220" w:space="440"/>
            <w:col w:w="8660"/>
          </w:cols>
          <w:pgMar w:left="340" w:top="901" w:right="239" w:bottom="1440" w:gutter="0" w:footer="0" w:header="0"/>
        </w:sectPr>
      </w:pPr>
    </w:p>
    <w:p>
      <w:pPr>
        <w:spacing w:after="0" w:line="267" w:lineRule="auto"/>
        <w:rPr>
          <w:sz w:val="20"/>
          <w:szCs w:val="20"/>
          <w:color w:val="auto"/>
        </w:rPr>
      </w:pPr>
      <w:r>
        <w:rPr>
          <w:rFonts w:ascii="Arial" w:cs="Arial" w:eastAsia="Arial" w:hAnsi="Arial"/>
          <w:sz w:val="18"/>
          <w:szCs w:val="18"/>
          <w:color w:val="auto"/>
        </w:rPr>
        <w:t>Interest earned on the funds in the trust account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Release of funds</w:t>
      </w:r>
    </w:p>
    <w:p>
      <w:pPr>
        <w:spacing w:after="0" w:line="20" w:lineRule="exact"/>
        <w:rPr>
          <w:sz w:val="20"/>
          <w:szCs w:val="20"/>
          <w:color w:val="auto"/>
        </w:rPr>
      </w:pPr>
      <w:r>
        <w:rPr>
          <w:sz w:val="20"/>
          <w:szCs w:val="20"/>
          <w:color w:val="auto"/>
        </w:rPr>
        <w:br w:type="column"/>
      </w:r>
    </w:p>
    <w:p>
      <w:pPr>
        <w:jc w:val="both"/>
        <w:ind w:right="20"/>
        <w:spacing w:after="0" w:line="254" w:lineRule="auto"/>
        <w:rPr>
          <w:sz w:val="20"/>
          <w:szCs w:val="20"/>
          <w:color w:val="auto"/>
        </w:rPr>
      </w:pPr>
      <w:r>
        <w:rPr>
          <w:rFonts w:ascii="Arial" w:cs="Arial" w:eastAsia="Arial" w:hAnsi="Arial"/>
          <w:sz w:val="18"/>
          <w:szCs w:val="18"/>
          <w:color w:val="auto"/>
        </w:rPr>
        <w:t>There can be released to us, from time to time, any interest earned on the funds in the trust account (1) that we may need to pay our tax obligations, (2) any remaining interest that we need for our working capital requirements.</w:t>
      </w:r>
    </w:p>
    <w:p>
      <w:pPr>
        <w:spacing w:after="0" w:line="36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Except for (1) interest earned on the funds in the trust account (which we estimate to be approximately $87,500 over a 21 month period assuming an interest rate of 0.1% per annum) that may be released to us to pay our tax obligations (which we estimate will be nominal) and (2) any remaining interest that we may need for our working capital requirements that may be released to us from the interest earned on the trust account balance, the proceeds held in the trust account will not be released until the earlier of the completion of our initial business combination and our liquidation upon failure to effect our initial business combination within the allotted time.</w:t>
      </w:r>
    </w:p>
    <w:p>
      <w:pPr>
        <w:spacing w:after="0" w:line="20" w:lineRule="exact"/>
        <w:rPr>
          <w:sz w:val="20"/>
          <w:szCs w:val="20"/>
          <w:color w:val="auto"/>
        </w:rPr>
      </w:pPr>
      <w:r>
        <w:rPr>
          <w:sz w:val="20"/>
          <w:szCs w:val="20"/>
          <w:color w:val="auto"/>
        </w:rPr>
        <w:br w:type="column"/>
      </w:r>
    </w:p>
    <w:p>
      <w:pPr>
        <w:jc w:val="both"/>
        <w:spacing w:after="0" w:line="252" w:lineRule="auto"/>
        <w:rPr>
          <w:sz w:val="20"/>
          <w:szCs w:val="20"/>
          <w:color w:val="auto"/>
        </w:rPr>
      </w:pPr>
      <w:r>
        <w:rPr>
          <w:rFonts w:ascii="Arial" w:cs="Arial" w:eastAsia="Arial" w:hAnsi="Arial"/>
          <w:sz w:val="18"/>
          <w:szCs w:val="18"/>
          <w:color w:val="auto"/>
        </w:rPr>
        <w:t>Interest on funds in escrow account would be held for the sole benefit of investors, unless and only after the funds held in escrow were released to us in connection with our completion of a business combination.</w:t>
      </w:r>
    </w:p>
    <w:p>
      <w:pPr>
        <w:spacing w:after="0" w:line="15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proceeds held in the escrow account are not released until the earlier of the completion of a business combination or the failure to effect a business combination within the allotted time.</w:t>
      </w:r>
    </w:p>
    <w:p>
      <w:pPr>
        <w:spacing w:after="0" w:line="1684" w:lineRule="exact"/>
        <w:rPr>
          <w:sz w:val="20"/>
          <w:szCs w:val="20"/>
          <w:color w:val="auto"/>
        </w:rPr>
      </w:pPr>
    </w:p>
    <w:p>
      <w:pPr>
        <w:sectPr>
          <w:pgSz w:w="11900" w:h="16838" w:orient="portrait"/>
          <w:cols w:equalWidth="0" w:num="3">
            <w:col w:w="2320" w:space="340"/>
            <w:col w:w="4800" w:space="220"/>
            <w:col w:w="3640"/>
          </w:cols>
          <w:pgMar w:left="340" w:top="901" w:right="239" w:bottom="1440" w:gutter="0" w:footer="0" w:header="0"/>
          <w:type w:val="continuous"/>
        </w:sectPr>
      </w:pPr>
    </w:p>
    <w:p>
      <w:pPr>
        <w:spacing w:after="0" w:line="37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26670</wp:posOffset>
            </wp:positionV>
            <wp:extent cx="724852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320"/>
          </w:cols>
          <w:pgMar w:left="340" w:top="901" w:right="239" w:bottom="1440"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MANAGEMENT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Our current directors, director nominees and executive officers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color w:val="auto"/>
                <w:w w:val="87"/>
              </w:rPr>
              <w:t>Name</w:t>
            </w:r>
          </w:p>
        </w:tc>
        <w:tc>
          <w:tcPr>
            <w:tcW w:w="2340" w:type="dxa"/>
            <w:vAlign w:val="bottom"/>
          </w:tcPr>
          <w:p>
            <w:pPr>
              <w:spacing w:after="0"/>
              <w:rPr>
                <w:sz w:val="17"/>
                <w:szCs w:val="17"/>
                <w:color w:val="auto"/>
              </w:rPr>
            </w:pPr>
          </w:p>
        </w:tc>
        <w:tc>
          <w:tcPr>
            <w:tcW w:w="2300" w:type="dxa"/>
            <w:vAlign w:val="bottom"/>
            <w:gridSpan w:val="3"/>
          </w:tcPr>
          <w:p>
            <w:pPr>
              <w:ind w:left="1820"/>
              <w:spacing w:after="0"/>
              <w:rPr>
                <w:sz w:val="20"/>
                <w:szCs w:val="20"/>
                <w:color w:val="auto"/>
              </w:rPr>
            </w:pPr>
            <w:r>
              <w:rPr>
                <w:rFonts w:ascii="Arial" w:cs="Arial" w:eastAsia="Arial" w:hAnsi="Arial"/>
                <w:sz w:val="18"/>
                <w:szCs w:val="18"/>
                <w:color w:val="auto"/>
              </w:rPr>
              <w:t>Age</w:t>
            </w:r>
          </w:p>
        </w:tc>
        <w:tc>
          <w:tcPr>
            <w:tcW w:w="2820" w:type="dxa"/>
            <w:vAlign w:val="bottom"/>
            <w:gridSpan w:val="3"/>
          </w:tcPr>
          <w:p>
            <w:pPr>
              <w:ind w:left="180"/>
              <w:spacing w:after="0"/>
              <w:rPr>
                <w:sz w:val="20"/>
                <w:szCs w:val="20"/>
                <w:color w:val="auto"/>
              </w:rPr>
            </w:pPr>
            <w:r>
              <w:rPr>
                <w:rFonts w:ascii="Arial" w:cs="Arial" w:eastAsia="Arial" w:hAnsi="Arial"/>
                <w:sz w:val="18"/>
                <w:szCs w:val="18"/>
                <w:color w:val="auto"/>
              </w:rPr>
              <w:t>Position</w:t>
            </w:r>
          </w:p>
        </w:tc>
      </w:tr>
      <w:tr>
        <w:trPr>
          <w:trHeight w:val="20"/>
        </w:trPr>
        <w:tc>
          <w:tcPr>
            <w:tcW w:w="44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445"/>
        </w:trPr>
        <w:tc>
          <w:tcPr>
            <w:tcW w:w="2780" w:type="dxa"/>
            <w:vAlign w:val="bottom"/>
            <w:gridSpan w:val="2"/>
          </w:tcPr>
          <w:p>
            <w:pPr>
              <w:spacing w:after="0"/>
              <w:rPr>
                <w:sz w:val="20"/>
                <w:szCs w:val="20"/>
                <w:color w:val="auto"/>
              </w:rPr>
            </w:pPr>
            <w:r>
              <w:rPr>
                <w:rFonts w:ascii="Arial" w:cs="Arial" w:eastAsia="Arial" w:hAnsi="Arial"/>
                <w:sz w:val="18"/>
                <w:szCs w:val="18"/>
                <w:color w:val="auto"/>
              </w:rPr>
              <w:t>Joshua Sason</w:t>
            </w: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20" w:type="dxa"/>
            <w:vAlign w:val="bottom"/>
            <w:gridSpan w:val="3"/>
          </w:tcPr>
          <w:p>
            <w:pPr>
              <w:ind w:left="180"/>
              <w:spacing w:after="0"/>
              <w:rPr>
                <w:sz w:val="20"/>
                <w:szCs w:val="20"/>
                <w:color w:val="auto"/>
              </w:rPr>
            </w:pPr>
            <w:r>
              <w:rPr>
                <w:rFonts w:ascii="Arial" w:cs="Arial" w:eastAsia="Arial" w:hAnsi="Arial"/>
                <w:sz w:val="18"/>
                <w:szCs w:val="18"/>
                <w:color w:val="auto"/>
                <w:w w:val="91"/>
              </w:rPr>
              <w:t>Chief Executive Officer and Director</w:t>
            </w:r>
          </w:p>
        </w:tc>
      </w:tr>
    </w:tbl>
    <w:p>
      <w:pPr>
        <w:spacing w:after="0" w:line="20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 xml:space="preserve">Joshua Sason </w:t>
      </w:r>
      <w:r>
        <w:rPr>
          <w:rFonts w:ascii="Arial" w:cs="Arial" w:eastAsia="Arial" w:hAnsi="Arial"/>
          <w:sz w:val="17"/>
          <w:szCs w:val="17"/>
          <w:color w:val="auto"/>
        </w:rPr>
        <w:t>has served as our Chief Executive Officer and a Director since our inception. Mr. Sason is the founder &amp; Chief Executive Officer of Magna</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LLC, a global investment firm which makes direct investments across the worldwide public and private equity markets and the entertainment industry. In the six years since launching the firm, Mr. Sason has grown Magna Management LLC into a leading investor in its market segment, investing over $200M across three divisions with holdings on six continents and nine distinct lines of business. Mr. Sason has served as Chairman of the New York construction company Sason Builders, LLC since June 2014 and Chairman of the boutique customer experience firm, Mainz, since November 2013. In addition, he has executive produced four feature films. His latest feature film, “Bleed for This”, was in partnership with Martin Scorsese. We believe that Mr. Sason’s experience as CEO and founder of Magna Management LLC, as Chairman of Mainz and as Chairman of Sason Builders make him well qualified to serve as our chief executive officer and a member of our Board of Directors.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22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Upon consummation of this offering, our board of directors will have five members, three of whom will be deemed “independent” under SEC and Nasdaq rules. Our board of directors will be divided into three classes with only one class of directors being elected in each year and each class serving a three-year term. The term of office of the first class of directors, consisting of Joshua Sason, will expire at our first annual meeting of stockholders. The term of office of the second class of directors, consisting of [___], will expire at the second annual meeting. The term of office of the third class of directors, consisting of [___], will expire at our third annual meeting of stockholders. We may not hold an annual meeting of stockholders until after we consummate our initial business combination.</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officers may consist of a chairman of the board, vice chairman of the board, chief executive officer, president, chief financial officer, vice president(s), secretary, treasurer and such other officers as may be determined by the board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26"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No executive officer has received any cash compensation for services rendered to us. Commencing on the date of this prospectus through the completion of our initial business combination with a target business, we will pay to Magna Management LLC, a company owned by our insiders, a fee of $10,000 per month for providing us with office space and certain office and secretarial services.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Other than the $10,000 per month administrative fee, no compensation or fees of any kind, including finder’s fees, consulting fees and other similar fees, will be paid to our insiders or any of the members of our management team, for services rendered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71" w:name="page72"/>
    <w:bookmarkEnd w:id="71"/>
    <w:p>
      <w:pPr>
        <w:jc w:val="both"/>
        <w:spacing w:after="0" w:line="270" w:lineRule="auto"/>
        <w:rPr>
          <w:sz w:val="20"/>
          <w:szCs w:val="20"/>
          <w:color w:val="auto"/>
        </w:rPr>
      </w:pPr>
      <w:r>
        <w:rPr>
          <w:rFonts w:ascii="Arial" w:cs="Arial" w:eastAsia="Arial" w:hAnsi="Arial"/>
          <w:sz w:val="17"/>
          <w:szCs w:val="17"/>
          <w:color w:val="auto"/>
        </w:rPr>
        <w:t>After our initial business combination, members of our management team who remain with us may be paid consulting,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our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Nasdaq listing standards require that within one year of the listing of our securities on the Nasdaq Capital Market we have at least three independent directors and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Three “independent director” as defined in the Nasdaq listing standards and applicable SEC rules will be elected prior to this Offering. Our independent directors will have regularly scheduled meetings at which only independent directors are present.</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only enter into a business combination if it is approved by a majority of our independent directors. Additionally, we will only enter into transactions with our officers and directors and their respective affiliates that are on terms no less favorable to us than could be obtained from independent parties. Any related-party transactions must be approved by our audit committee and a majority of disinterested directors.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Effective as of the date of this prospectus, we will establish an audit committee of the board of directors, which will consist of three directors elected prior to this Offering, each of whom will be an independent director. One of those directors will serve as chairman of the audit committee. Nasdaq’s listing standards will require us to have a third independent member of our audit committee within one year of the listing of our securities on the Nasdaq Capital Market. The audit committee’s duties, which are specified in our Audit Committee Charter, include, but are not limited to:</w:t>
      </w:r>
    </w:p>
    <w:p>
      <w:pPr>
        <w:spacing w:after="0" w:line="177" w:lineRule="exact"/>
        <w:rPr>
          <w:sz w:val="20"/>
          <w:szCs w:val="20"/>
          <w:color w:val="auto"/>
        </w:rPr>
      </w:pPr>
    </w:p>
    <w:p>
      <w:pPr>
        <w:ind w:left="580" w:hanging="333"/>
        <w:spacing w:after="0" w:line="267"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 the annual audited financial statements, and recommending to the board whether the audited financial statements should be included in our Form 10-K;</w:t>
      </w:r>
    </w:p>
    <w:p>
      <w:pPr>
        <w:spacing w:after="0" w:line="179" w:lineRule="exact"/>
        <w:rPr>
          <w:rFonts w:ascii="Arial" w:cs="Arial" w:eastAsia="Arial" w:hAnsi="Arial"/>
          <w:sz w:val="18"/>
          <w:szCs w:val="18"/>
          <w:color w:val="auto"/>
        </w:rPr>
      </w:pPr>
    </w:p>
    <w:p>
      <w:pPr>
        <w:ind w:left="580" w:hanging="333"/>
        <w:spacing w:after="0" w:line="267"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discussing with management and the independent auditor significant financial reporting issues and judgments made in connection with the preparation of our financial statements;</w:t>
      </w:r>
    </w:p>
    <w:p>
      <w:pPr>
        <w:spacing w:after="0" w:line="179" w:lineRule="exact"/>
        <w:rPr>
          <w:rFonts w:ascii="Arial" w:cs="Arial" w:eastAsia="Arial" w:hAnsi="Arial"/>
          <w:sz w:val="18"/>
          <w:szCs w:val="18"/>
          <w:color w:val="auto"/>
        </w:rPr>
      </w:pPr>
    </w:p>
    <w:p>
      <w:pPr>
        <w:ind w:left="580" w:hanging="333"/>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discussing with management major risk assessment and risk management policies;</w:t>
      </w:r>
    </w:p>
    <w:p>
      <w:pPr>
        <w:spacing w:after="0" w:line="219" w:lineRule="exact"/>
        <w:rPr>
          <w:rFonts w:ascii="Arial" w:cs="Arial" w:eastAsia="Arial" w:hAnsi="Arial"/>
          <w:sz w:val="18"/>
          <w:szCs w:val="18"/>
          <w:color w:val="auto"/>
        </w:rPr>
      </w:pPr>
    </w:p>
    <w:p>
      <w:pPr>
        <w:ind w:left="580" w:hanging="333"/>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monitoring the independence of the independent auditor;</w:t>
      </w:r>
    </w:p>
    <w:p>
      <w:pPr>
        <w:spacing w:after="0" w:line="219" w:lineRule="exact"/>
        <w:rPr>
          <w:rFonts w:ascii="Arial" w:cs="Arial" w:eastAsia="Arial" w:hAnsi="Arial"/>
          <w:sz w:val="18"/>
          <w:szCs w:val="18"/>
          <w:color w:val="auto"/>
        </w:rPr>
      </w:pPr>
    </w:p>
    <w:p>
      <w:pPr>
        <w:ind w:left="580" w:hanging="333"/>
        <w:spacing w:after="0" w:line="267"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verifying the rotation of the lead (or coordinating) audit partner having primary responsibility for the audit and the audit partner responsible for reviewing the audit as required by law;</w:t>
      </w:r>
    </w:p>
    <w:p>
      <w:pPr>
        <w:spacing w:after="0" w:line="179" w:lineRule="exact"/>
        <w:rPr>
          <w:rFonts w:ascii="Arial" w:cs="Arial" w:eastAsia="Arial" w:hAnsi="Arial"/>
          <w:sz w:val="18"/>
          <w:szCs w:val="18"/>
          <w:color w:val="auto"/>
        </w:rPr>
      </w:pPr>
    </w:p>
    <w:p>
      <w:pPr>
        <w:ind w:left="580" w:hanging="333"/>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reviewing and approving all related-party transactions;</w:t>
      </w:r>
    </w:p>
    <w:p>
      <w:pPr>
        <w:spacing w:after="0" w:line="219" w:lineRule="exact"/>
        <w:rPr>
          <w:rFonts w:ascii="Arial" w:cs="Arial" w:eastAsia="Arial" w:hAnsi="Arial"/>
          <w:sz w:val="18"/>
          <w:szCs w:val="18"/>
          <w:color w:val="auto"/>
        </w:rPr>
      </w:pPr>
    </w:p>
    <w:p>
      <w:pPr>
        <w:ind w:left="580" w:hanging="333"/>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inquiring and discussing with management our compliance with applicable laws and regulations;</w:t>
      </w:r>
    </w:p>
    <w:p>
      <w:pPr>
        <w:spacing w:after="0" w:line="219" w:lineRule="exact"/>
        <w:rPr>
          <w:rFonts w:ascii="Arial" w:cs="Arial" w:eastAsia="Arial" w:hAnsi="Arial"/>
          <w:sz w:val="18"/>
          <w:szCs w:val="18"/>
          <w:color w:val="auto"/>
        </w:rPr>
      </w:pPr>
    </w:p>
    <w:p>
      <w:pPr>
        <w:ind w:left="580" w:hanging="333"/>
        <w:spacing w:after="0" w:line="267"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pre-approving all audit services and permitted non-audit services to be performed by our independent auditor, including the fees and terms of the services to be performed;</w:t>
      </w:r>
    </w:p>
    <w:p>
      <w:pPr>
        <w:spacing w:after="0" w:line="179" w:lineRule="exact"/>
        <w:rPr>
          <w:rFonts w:ascii="Arial" w:cs="Arial" w:eastAsia="Arial" w:hAnsi="Arial"/>
          <w:sz w:val="18"/>
          <w:szCs w:val="18"/>
          <w:color w:val="auto"/>
        </w:rPr>
      </w:pPr>
    </w:p>
    <w:p>
      <w:pPr>
        <w:ind w:left="580" w:hanging="333"/>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appointing or replacing the independent auditor;</w:t>
      </w:r>
    </w:p>
    <w:p>
      <w:pPr>
        <w:spacing w:after="0" w:line="219" w:lineRule="exact"/>
        <w:rPr>
          <w:rFonts w:ascii="Arial" w:cs="Arial" w:eastAsia="Arial" w:hAnsi="Arial"/>
          <w:sz w:val="18"/>
          <w:szCs w:val="18"/>
          <w:color w:val="auto"/>
        </w:rPr>
      </w:pPr>
    </w:p>
    <w:p>
      <w:pPr>
        <w:ind w:left="580" w:hanging="333"/>
        <w:spacing w:after="0" w:line="297" w:lineRule="auto"/>
        <w:tabs>
          <w:tab w:leader="none" w:pos="5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p>
      <w:pPr>
        <w:spacing w:after="0" w:line="156" w:lineRule="exact"/>
        <w:rPr>
          <w:rFonts w:ascii="Arial" w:cs="Arial" w:eastAsia="Arial" w:hAnsi="Arial"/>
          <w:sz w:val="17"/>
          <w:szCs w:val="17"/>
          <w:color w:val="auto"/>
        </w:rPr>
      </w:pPr>
    </w:p>
    <w:p>
      <w:pPr>
        <w:ind w:left="580" w:hanging="333"/>
        <w:spacing w:after="0" w:line="267"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 and</w:t>
      </w:r>
    </w:p>
    <w:p>
      <w:pPr>
        <w:spacing w:after="0" w:line="179" w:lineRule="exact"/>
        <w:rPr>
          <w:rFonts w:ascii="Arial" w:cs="Arial" w:eastAsia="Arial" w:hAnsi="Arial"/>
          <w:sz w:val="18"/>
          <w:szCs w:val="18"/>
          <w:color w:val="auto"/>
        </w:rPr>
      </w:pPr>
    </w:p>
    <w:p>
      <w:pPr>
        <w:ind w:left="580" w:hanging="333"/>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approving reimbursement of expenses incurred by our management team in identifying potential target businesses.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Financial Experts on Audit Committee</w:t>
      </w:r>
    </w:p>
    <w:p>
      <w:pPr>
        <w:spacing w:after="0" w:line="2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audit committee will at all times be composed exclusively of “independent directors” who are “financially literate” as defined under the Nasdaq listing standards. The Nasdaq listing standards define “financially literate” as being able to read and understand fundamental financial statements, including a company’s balance sheet, income statement and cash flow statement.</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we must certify to Nasdaq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will determine whether any of the independent directors qualifies as an “audit committee financial expert,” as defined under rules and regulations of the SEC.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establish a compensation committee of the board of directors. The members of our Compensation Committee will consist of three directors elected prior to this Offering, each of whom will be an independent director. One of those directors will serve as chairman of the compensation committee. We will adopt a compensation committee charter, which will detail the principal functions of the compensation committee, including:</w:t>
      </w:r>
    </w:p>
    <w:p>
      <w:pPr>
        <w:spacing w:after="0" w:line="191" w:lineRule="exact"/>
        <w:rPr>
          <w:sz w:val="20"/>
          <w:szCs w:val="20"/>
          <w:color w:val="auto"/>
        </w:rPr>
      </w:pPr>
    </w:p>
    <w:p>
      <w:pPr>
        <w:jc w:val="both"/>
        <w:ind w:left="580" w:hanging="333"/>
        <w:spacing w:after="0" w:line="257" w:lineRule="auto"/>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President and Chief Executive Officer’s compensation, evaluating our President and Chief Executive Officer’s performance in light of such goals and objectives and determining and approving the remuneration (if any) of our President and Chief Executive Officer based on such evaluation;</w:t>
      </w:r>
    </w:p>
    <w:p>
      <w:pPr>
        <w:spacing w:after="0" w:line="188" w:lineRule="exact"/>
        <w:rPr>
          <w:rFonts w:ascii="Arial" w:cs="Arial" w:eastAsia="Arial" w:hAnsi="Arial"/>
          <w:sz w:val="18"/>
          <w:szCs w:val="18"/>
          <w:color w:val="auto"/>
        </w:rPr>
      </w:pPr>
    </w:p>
    <w:p>
      <w:pPr>
        <w:ind w:left="580" w:hanging="333"/>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our other executive officers;</w:t>
      </w:r>
    </w:p>
    <w:p>
      <w:pPr>
        <w:spacing w:after="0" w:line="219" w:lineRule="exact"/>
        <w:rPr>
          <w:rFonts w:ascii="Arial" w:cs="Arial" w:eastAsia="Arial" w:hAnsi="Arial"/>
          <w:sz w:val="18"/>
          <w:szCs w:val="18"/>
          <w:color w:val="auto"/>
        </w:rPr>
      </w:pPr>
    </w:p>
    <w:p>
      <w:pPr>
        <w:ind w:left="580" w:hanging="333"/>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219" w:lineRule="exact"/>
        <w:rPr>
          <w:rFonts w:ascii="Arial" w:cs="Arial" w:eastAsia="Arial" w:hAnsi="Arial"/>
          <w:sz w:val="18"/>
          <w:szCs w:val="18"/>
          <w:color w:val="auto"/>
        </w:rPr>
      </w:pPr>
    </w:p>
    <w:p>
      <w:pPr>
        <w:ind w:left="580" w:hanging="333"/>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219" w:lineRule="exact"/>
        <w:rPr>
          <w:rFonts w:ascii="Arial" w:cs="Arial" w:eastAsia="Arial" w:hAnsi="Arial"/>
          <w:sz w:val="18"/>
          <w:szCs w:val="18"/>
          <w:color w:val="auto"/>
        </w:rPr>
      </w:pPr>
    </w:p>
    <w:p>
      <w:pPr>
        <w:ind w:left="580" w:hanging="333"/>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219" w:lineRule="exact"/>
        <w:rPr>
          <w:rFonts w:ascii="Arial" w:cs="Arial" w:eastAsia="Arial" w:hAnsi="Arial"/>
          <w:sz w:val="18"/>
          <w:szCs w:val="18"/>
          <w:color w:val="auto"/>
        </w:rPr>
      </w:pPr>
    </w:p>
    <w:p>
      <w:pPr>
        <w:ind w:left="580" w:hanging="333"/>
        <w:spacing w:after="0" w:line="267" w:lineRule="auto"/>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executive officers and employees;</w:t>
      </w:r>
    </w:p>
    <w:p>
      <w:pPr>
        <w:spacing w:after="0" w:line="179" w:lineRule="exact"/>
        <w:rPr>
          <w:rFonts w:ascii="Arial" w:cs="Arial" w:eastAsia="Arial" w:hAnsi="Arial"/>
          <w:sz w:val="18"/>
          <w:szCs w:val="18"/>
          <w:color w:val="auto"/>
        </w:rPr>
      </w:pPr>
    </w:p>
    <w:p>
      <w:pPr>
        <w:ind w:left="580" w:hanging="333"/>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our annual proxy statement; and</w:t>
      </w:r>
    </w:p>
    <w:p>
      <w:pPr>
        <w:spacing w:after="0" w:line="219" w:lineRule="exact"/>
        <w:rPr>
          <w:rFonts w:ascii="Arial" w:cs="Arial" w:eastAsia="Arial" w:hAnsi="Arial"/>
          <w:sz w:val="18"/>
          <w:szCs w:val="18"/>
          <w:color w:val="auto"/>
        </w:rPr>
      </w:pPr>
    </w:p>
    <w:p>
      <w:pPr>
        <w:ind w:left="580" w:hanging="333"/>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2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charter will also provide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22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do not have a standing nominating committee, though we intend to form a corporate governance and nominating committee as and when required to do so by law or NASDAQ rules. In accordance with Rule 5605(e)(2) of the NASDAQ rules, a majority of the independent directors may recommend a director nominee for selection by the board of directors. The board of directors believes that the independent directors can satisfactorily carry out the responsibility of properly selecting or approving director nominees without the formation of a standing nominating committee. The directors who shall participate in the consideration and recommendation of director nominees will be elected prior to this Offering. In accordance with Rule 5605(e)(1)(A) of the NASDAQ rules, all such directors are independent. As there is no standing nominating committee, we do not have a nominating committee charter in place.</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of directors will also consider director candidates recommended for nomination by our stockholders during such times as they are seeking proposed nominees to stand for election at the next annual meeting of stockholders (or, if applicable, a special meeting of stockholders). Our stockholders that wish to nominate a director for election to the Board should follow the procedures set forth in our bylaws.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may not have a compensation committee in place prior to the completion of our initial business combination. Any executive compensation matters that arise prior to the time we have a compensation committee in place will be determined by our independent directors. None of our directors who currently serve as members of our compensation committee is, or has at any time in the past been, one of our officers or employees. None of our executive officers currently serves, or in the past year has served, as a member of the compensation committee of any other entity that has one or more executive officers serving on our board of directors. None of our executive officers currently serves, or in the past year has served, as a member of the board of directors of any other entity that has one or more executive officers serving on our compensation committee.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Effective upon consummation of this offering, we will adopt a code of ethics that applies to all of our executive officers, directors and employees. The code of ethics codifies the business and ethical principles that govern all aspects of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Investors should be aware of the following potential conflicts of interest:</w:t>
      </w:r>
    </w:p>
    <w:p>
      <w:pPr>
        <w:spacing w:after="0" w:line="220" w:lineRule="exact"/>
        <w:rPr>
          <w:sz w:val="20"/>
          <w:szCs w:val="20"/>
          <w:color w:val="auto"/>
        </w:rPr>
      </w:pPr>
    </w:p>
    <w:p>
      <w:pPr>
        <w:ind w:left="580" w:hanging="333"/>
        <w:spacing w:after="0" w:line="267"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None of our officers and directors is required to commit their full time to our affairs and, accordingly, they may have conflicts of interest in allocating their time among various business activities.</w:t>
      </w:r>
    </w:p>
    <w:p>
      <w:pPr>
        <w:spacing w:after="0" w:line="179" w:lineRule="exact"/>
        <w:rPr>
          <w:rFonts w:ascii="Arial" w:cs="Arial" w:eastAsia="Arial" w:hAnsi="Arial"/>
          <w:sz w:val="18"/>
          <w:szCs w:val="18"/>
          <w:color w:val="auto"/>
        </w:rPr>
      </w:pPr>
    </w:p>
    <w:p>
      <w:pPr>
        <w:jc w:val="both"/>
        <w:ind w:left="580" w:hanging="333"/>
        <w:spacing w:after="0" w:line="257"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course of their other business activities, our officers and directors may become aware of investment and business opportunities which may be appropriate for presentation to our company as well as the other entities with which they are affiliated. Our officers and directors may have conflicts of interest in determining to which entity a particular business opportunity should be presented.</w:t>
      </w:r>
    </w:p>
    <w:p>
      <w:pPr>
        <w:spacing w:after="0" w:line="188" w:lineRule="exact"/>
        <w:rPr>
          <w:rFonts w:ascii="Arial" w:cs="Arial" w:eastAsia="Arial" w:hAnsi="Arial"/>
          <w:sz w:val="18"/>
          <w:szCs w:val="18"/>
          <w:color w:val="auto"/>
        </w:rPr>
      </w:pPr>
    </w:p>
    <w:p>
      <w:pPr>
        <w:ind w:left="580" w:hanging="333"/>
        <w:spacing w:after="0" w:line="267"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officers and directors may in the future become affiliated with entities, including other blank check companies, engaged in business activities similar to those intended to be conducted by our company.</w:t>
      </w:r>
    </w:p>
    <w:p>
      <w:pPr>
        <w:spacing w:after="0" w:line="179" w:lineRule="exact"/>
        <w:rPr>
          <w:rFonts w:ascii="Arial" w:cs="Arial" w:eastAsia="Arial" w:hAnsi="Arial"/>
          <w:sz w:val="18"/>
          <w:szCs w:val="18"/>
          <w:color w:val="auto"/>
        </w:rPr>
      </w:pPr>
    </w:p>
    <w:p>
      <w:pPr>
        <w:jc w:val="both"/>
        <w:ind w:left="580" w:hanging="333"/>
        <w:spacing w:after="0" w:line="257"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Unless we consummate our initial business combination, our officers, directors and insiders will not receive reimbursement for any out-of-pocket expenses incurred by them to the extent that such expenses exceed the amount of available proceeds not deposited in the trust account and the amount of interest income from the trust account that may be released to us as working capital.</w:t>
      </w:r>
    </w:p>
    <w:p>
      <w:pPr>
        <w:spacing w:after="0" w:line="188" w:lineRule="exact"/>
        <w:rPr>
          <w:rFonts w:ascii="Arial" w:cs="Arial" w:eastAsia="Arial" w:hAnsi="Arial"/>
          <w:sz w:val="18"/>
          <w:szCs w:val="18"/>
          <w:color w:val="auto"/>
        </w:rPr>
      </w:pPr>
    </w:p>
    <w:p>
      <w:pPr>
        <w:jc w:val="both"/>
        <w:ind w:left="580" w:hanging="333"/>
        <w:spacing w:after="0" w:line="251"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insider shares beneficially owned by our officers and directors will be released from escrow only if our initial business combination is successfully completed. Additionally, if we are unable to complete an initial business combination within the required time frame, our officers and directors will not be entitled to receive any amounts held in the trust account with respect to any of their insider shares or private units. Furthermore, our insiders (and/or their designees) have agreed that the private units will not be sold or transferred by them until after we have completed our initial business combination. For the foregoing reasons, our board may have a conflict of interest in determining whether a particular target business is an appropriate business with which to effect our initial business combination.</w:t>
      </w:r>
    </w:p>
    <w:p>
      <w:pPr>
        <w:spacing w:after="0" w:line="195"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180" w:lineRule="exact"/>
        <w:rPr>
          <w:sz w:val="20"/>
          <w:szCs w:val="20"/>
          <w:color w:val="auto"/>
        </w:rPr>
      </w:pPr>
    </w:p>
    <w:p>
      <w:pPr>
        <w:ind w:left="580" w:hanging="333"/>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219" w:lineRule="exact"/>
        <w:rPr>
          <w:rFonts w:ascii="Arial" w:cs="Arial" w:eastAsia="Arial" w:hAnsi="Arial"/>
          <w:sz w:val="18"/>
          <w:szCs w:val="18"/>
          <w:color w:val="auto"/>
        </w:rPr>
      </w:pPr>
    </w:p>
    <w:p>
      <w:pPr>
        <w:ind w:left="580" w:hanging="333"/>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219" w:lineRule="exact"/>
        <w:rPr>
          <w:rFonts w:ascii="Arial" w:cs="Arial" w:eastAsia="Arial" w:hAnsi="Arial"/>
          <w:sz w:val="18"/>
          <w:szCs w:val="18"/>
          <w:color w:val="auto"/>
        </w:rPr>
      </w:pPr>
    </w:p>
    <w:p>
      <w:pPr>
        <w:ind w:left="580" w:hanging="333"/>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it would not be fair to the corporation and its stockholders for the opportunity not to be brought to the attention of the corporation.</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Accordingly, as a result of multiple business affiliations, our officers and directors may have similar legal obligations relating to presenting business opportunities meeting the above-listed criteria to multiple entities. Furthermore, our certificate of incorporation provides that the doctrine of corporate opportunity will not apply with respect to any of our officers or directors in circumstances where the application of the doctrine would conflict with any fiduciary duties or contractual obligations they may have. In order to minimize potential conflicts of interest which may arise from multiple affiliations, our officers and directors (other than our independent directors) have agreed to present to us for our consideration, prior to presentation to any other person or entity, any suitable opportunity to acquire a target business, until the earlier of: (1) our consummation of an initial business combination and (2) 21 months from the date of this prospectus. This agreement is, however, subject to any pre-existing fiduciary and contractual obligations such officer or director may from time to time have to another entity. Accordingly, if any of them becomes aware of a business combination opportunity which is suitable for an entity to which he or she has pre-existing fiduciary or contractual obligations, he or she will honor his or her fiduciary or contractual obligations to present such business combination opportunity to such entity, and only present it to us if such entity rejects the opportunity. We do not believe, however, that the pre-existing fiduciary duties or contractual obligations of our officers and directors will materially undermine our ability to complete our business combination because in most cases the affiliated companies are closely held entities controlled by the officer or director or the nature of the affiliated company’s business is such that it is unlikely that a conflict will arise.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The following table summarizes the current pre-existing fiduciary or contractual obligations of our officers, directors and director nominees: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0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Name of Individual</w:t>
            </w:r>
          </w:p>
        </w:tc>
        <w:tc>
          <w:tcPr>
            <w:tcW w:w="120" w:type="dxa"/>
            <w:vAlign w:val="bottom"/>
          </w:tcPr>
          <w:p>
            <w:pPr>
              <w:spacing w:after="0"/>
              <w:rPr>
                <w:sz w:val="19"/>
                <w:szCs w:val="19"/>
                <w:color w:val="auto"/>
              </w:rPr>
            </w:pPr>
          </w:p>
        </w:tc>
        <w:tc>
          <w:tcPr>
            <w:tcW w:w="31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Name of Affiliated Company</w:t>
            </w:r>
          </w:p>
        </w:tc>
        <w:tc>
          <w:tcPr>
            <w:tcW w:w="100" w:type="dxa"/>
            <w:vAlign w:val="bottom"/>
          </w:tcPr>
          <w:p>
            <w:pPr>
              <w:spacing w:after="0"/>
              <w:rPr>
                <w:sz w:val="19"/>
                <w:szCs w:val="19"/>
                <w:color w:val="auto"/>
              </w:rPr>
            </w:pPr>
          </w:p>
        </w:tc>
        <w:tc>
          <w:tcPr>
            <w:tcW w:w="296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Entity’s Business</w:t>
            </w:r>
          </w:p>
        </w:tc>
        <w:tc>
          <w:tcPr>
            <w:tcW w:w="240" w:type="dxa"/>
            <w:vAlign w:val="bottom"/>
          </w:tcPr>
          <w:p>
            <w:pPr>
              <w:spacing w:after="0"/>
              <w:rPr>
                <w:sz w:val="19"/>
                <w:szCs w:val="19"/>
                <w:color w:val="auto"/>
              </w:rPr>
            </w:pPr>
          </w:p>
        </w:tc>
        <w:tc>
          <w:tcPr>
            <w:tcW w:w="17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Affiliation</w:t>
            </w:r>
          </w:p>
        </w:tc>
      </w:tr>
      <w:tr>
        <w:trPr>
          <w:trHeight w:val="408"/>
        </w:trPr>
        <w:tc>
          <w:tcPr>
            <w:tcW w:w="3200" w:type="dxa"/>
            <w:vAlign w:val="bottom"/>
          </w:tcPr>
          <w:p>
            <w:pPr>
              <w:spacing w:after="0"/>
              <w:rPr>
                <w:sz w:val="20"/>
                <w:szCs w:val="20"/>
                <w:color w:val="auto"/>
              </w:rPr>
            </w:pPr>
            <w:r>
              <w:rPr>
                <w:rFonts w:ascii="Arial" w:cs="Arial" w:eastAsia="Arial" w:hAnsi="Arial"/>
                <w:sz w:val="18"/>
                <w:szCs w:val="18"/>
                <w:color w:val="auto"/>
              </w:rPr>
              <w:t>Joshua Sason</w:t>
            </w:r>
          </w:p>
        </w:tc>
        <w:tc>
          <w:tcPr>
            <w:tcW w:w="3220" w:type="dxa"/>
            <w:vAlign w:val="bottom"/>
            <w:gridSpan w:val="2"/>
          </w:tcPr>
          <w:p>
            <w:pPr>
              <w:ind w:left="120"/>
              <w:spacing w:after="0"/>
              <w:rPr>
                <w:sz w:val="20"/>
                <w:szCs w:val="20"/>
                <w:color w:val="auto"/>
              </w:rPr>
            </w:pPr>
            <w:r>
              <w:rPr>
                <w:rFonts w:ascii="Arial" w:cs="Arial" w:eastAsia="Arial" w:hAnsi="Arial"/>
                <w:sz w:val="18"/>
                <w:szCs w:val="18"/>
                <w:color w:val="auto"/>
              </w:rPr>
              <w:t>Magna Management LLC</w:t>
            </w:r>
          </w:p>
        </w:tc>
        <w:tc>
          <w:tcPr>
            <w:tcW w:w="3060" w:type="dxa"/>
            <w:vAlign w:val="bottom"/>
            <w:gridSpan w:val="2"/>
          </w:tcPr>
          <w:p>
            <w:pPr>
              <w:ind w:left="100"/>
              <w:spacing w:after="0"/>
              <w:rPr>
                <w:sz w:val="20"/>
                <w:szCs w:val="20"/>
                <w:color w:val="auto"/>
              </w:rPr>
            </w:pPr>
            <w:r>
              <w:rPr>
                <w:rFonts w:ascii="Arial" w:cs="Arial" w:eastAsia="Arial" w:hAnsi="Arial"/>
                <w:sz w:val="18"/>
                <w:szCs w:val="18"/>
                <w:color w:val="auto"/>
              </w:rPr>
              <w:t>Investments</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Founder &amp; Chief</w:t>
            </w:r>
          </w:p>
        </w:tc>
      </w:tr>
      <w:tr>
        <w:trPr>
          <w:trHeight w:val="224"/>
        </w:trPr>
        <w:tc>
          <w:tcPr>
            <w:tcW w:w="3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Executive Officer</w:t>
            </w:r>
          </w:p>
        </w:tc>
      </w:tr>
      <w:tr>
        <w:trPr>
          <w:trHeight w:val="427"/>
        </w:trPr>
        <w:tc>
          <w:tcPr>
            <w:tcW w:w="3200" w:type="dxa"/>
            <w:vAlign w:val="bottom"/>
          </w:tcPr>
          <w:p>
            <w:pPr>
              <w:spacing w:after="0"/>
              <w:rPr>
                <w:sz w:val="20"/>
                <w:szCs w:val="20"/>
                <w:color w:val="auto"/>
              </w:rPr>
            </w:pPr>
            <w:r>
              <w:rPr>
                <w:rFonts w:ascii="Arial" w:cs="Arial" w:eastAsia="Arial" w:hAnsi="Arial"/>
                <w:sz w:val="18"/>
                <w:szCs w:val="18"/>
                <w:color w:val="auto"/>
              </w:rPr>
              <w:t>Joshua Sason</w:t>
            </w:r>
          </w:p>
        </w:tc>
        <w:tc>
          <w:tcPr>
            <w:tcW w:w="3220" w:type="dxa"/>
            <w:vAlign w:val="bottom"/>
            <w:gridSpan w:val="2"/>
          </w:tcPr>
          <w:p>
            <w:pPr>
              <w:ind w:left="120"/>
              <w:spacing w:after="0"/>
              <w:rPr>
                <w:sz w:val="20"/>
                <w:szCs w:val="20"/>
                <w:color w:val="auto"/>
              </w:rPr>
            </w:pPr>
            <w:r>
              <w:rPr>
                <w:rFonts w:ascii="Arial" w:cs="Arial" w:eastAsia="Arial" w:hAnsi="Arial"/>
                <w:sz w:val="18"/>
                <w:szCs w:val="18"/>
                <w:color w:val="auto"/>
              </w:rPr>
              <w:t>Sason Builders</w:t>
            </w:r>
          </w:p>
        </w:tc>
        <w:tc>
          <w:tcPr>
            <w:tcW w:w="3060" w:type="dxa"/>
            <w:vAlign w:val="bottom"/>
            <w:gridSpan w:val="2"/>
          </w:tcPr>
          <w:p>
            <w:pPr>
              <w:ind w:left="100"/>
              <w:spacing w:after="0"/>
              <w:rPr>
                <w:sz w:val="20"/>
                <w:szCs w:val="20"/>
                <w:color w:val="auto"/>
              </w:rPr>
            </w:pPr>
            <w:r>
              <w:rPr>
                <w:rFonts w:ascii="Arial" w:cs="Arial" w:eastAsia="Arial" w:hAnsi="Arial"/>
                <w:sz w:val="18"/>
                <w:szCs w:val="18"/>
                <w:color w:val="auto"/>
              </w:rPr>
              <w:t>Construction</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Chairman</w:t>
            </w:r>
          </w:p>
        </w:tc>
      </w:tr>
      <w:tr>
        <w:trPr>
          <w:trHeight w:val="427"/>
        </w:trPr>
        <w:tc>
          <w:tcPr>
            <w:tcW w:w="3200" w:type="dxa"/>
            <w:vAlign w:val="bottom"/>
          </w:tcPr>
          <w:p>
            <w:pPr>
              <w:spacing w:after="0"/>
              <w:rPr>
                <w:sz w:val="20"/>
                <w:szCs w:val="20"/>
                <w:color w:val="auto"/>
              </w:rPr>
            </w:pPr>
            <w:r>
              <w:rPr>
                <w:rFonts w:ascii="Arial" w:cs="Arial" w:eastAsia="Arial" w:hAnsi="Arial"/>
                <w:sz w:val="18"/>
                <w:szCs w:val="18"/>
                <w:color w:val="auto"/>
              </w:rPr>
              <w:t>Joshua Sason</w:t>
            </w:r>
          </w:p>
        </w:tc>
        <w:tc>
          <w:tcPr>
            <w:tcW w:w="3220" w:type="dxa"/>
            <w:vAlign w:val="bottom"/>
            <w:gridSpan w:val="2"/>
          </w:tcPr>
          <w:p>
            <w:pPr>
              <w:ind w:left="120"/>
              <w:spacing w:after="0"/>
              <w:rPr>
                <w:sz w:val="20"/>
                <w:szCs w:val="20"/>
                <w:color w:val="auto"/>
              </w:rPr>
            </w:pPr>
            <w:r>
              <w:rPr>
                <w:rFonts w:ascii="Arial" w:cs="Arial" w:eastAsia="Arial" w:hAnsi="Arial"/>
                <w:sz w:val="18"/>
                <w:szCs w:val="18"/>
                <w:color w:val="auto"/>
              </w:rPr>
              <w:t>Mainz</w:t>
            </w:r>
          </w:p>
        </w:tc>
        <w:tc>
          <w:tcPr>
            <w:tcW w:w="3060" w:type="dxa"/>
            <w:vAlign w:val="bottom"/>
            <w:gridSpan w:val="2"/>
          </w:tcPr>
          <w:p>
            <w:pPr>
              <w:ind w:left="100"/>
              <w:spacing w:after="0"/>
              <w:rPr>
                <w:sz w:val="20"/>
                <w:szCs w:val="20"/>
                <w:color w:val="auto"/>
              </w:rPr>
            </w:pPr>
            <w:r>
              <w:rPr>
                <w:rFonts w:ascii="Arial" w:cs="Arial" w:eastAsia="Arial" w:hAnsi="Arial"/>
                <w:sz w:val="18"/>
                <w:szCs w:val="18"/>
                <w:color w:val="auto"/>
              </w:rPr>
              <w:t>Customer experience</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Chairman</w:t>
            </w:r>
          </w:p>
        </w:tc>
      </w:tr>
    </w:tbl>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insiders, officers and directors, have agreed to vote any shares of common stock held by them in favor of our initial business combination. In addition, they have agreed to waive their respective rights to receive any amounts held in the trust account with respect to their insider shares and private shares if we are unable to complete our initial business combination within the required time frame. If they purchase shares of common stock in this offering or in the open market, however, they would be entitled to receive their pro rata share of the amounts held in the trust account if we are unable to complete our initial business combination within the required time frame, but have agreed not to convert such shares in connection with the consummation of our initial business combination.</w:t>
      </w:r>
    </w:p>
    <w:p>
      <w:pPr>
        <w:spacing w:after="0" w:line="19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uninterested “independent” directors, or the members of our board who do not have an interest 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w:t>
      </w:r>
    </w:p>
    <w:p>
      <w:pPr>
        <w:spacing w:after="0" w:line="19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To further minimize conflicts of interest, we have agreed not to consummate our initial business combination with an entity that is affiliated with any of our officers, directors or insiders, unless we have obtained (i) an opinion from an independent investment banking firm that the business combination is fair to our unaffiliated stockholders from a financial point of view and (ii) the approval of a majority of our disinterested and independent directors (if we have any at that time). Furthermore, in no event will our insiders or any of the members of our management team be paid any finder’s fee, consulting fee or other similar compensation prior to, or for any services they render in order to effectuate, the consummation of our initial business combination (regardless of the type of transaction that it is).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certificate of incorporation provides that our directors and officers will be indemnified by us to the fullest extent authorized by Delaware law as it now exists or may in the future be amended. In addition, our certificate of incorporation provides that our directors will not be personally liable for monetary damages to us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 Notwithstanding the foregoing, as set forth in our certificate of incorporation, such indemnification will not extend to any claims our insiders may make to us to cover any loss that they may sustain as a result of their agreement to pay debts and obligations to target businesses or vendors or other entities that are owed money by us for services rendered or contracted for or products sold to us as described elsewhere in this prospectus.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75" w:name="page76"/>
    <w:bookmarkEnd w:id="75"/>
    <w:p>
      <w:pPr>
        <w:jc w:val="both"/>
        <w:spacing w:after="0" w:line="254" w:lineRule="auto"/>
        <w:rPr>
          <w:sz w:val="20"/>
          <w:szCs w:val="20"/>
          <w:color w:val="auto"/>
        </w:rPr>
      </w:pPr>
      <w:r>
        <w:rPr>
          <w:rFonts w:ascii="Arial" w:cs="Arial" w:eastAsia="Arial" w:hAnsi="Arial"/>
          <w:sz w:val="18"/>
          <w:szCs w:val="18"/>
          <w:color w:val="auto"/>
        </w:rPr>
        <w:t>Our bylaws also will permit us to secure insurance on behalf of any officer, director or employee for any liability arising out of his or her actions, regardless of whether Delaware law would permit indemnification. We will purchase a policy of directors’ and officers’ liability insurance that insures our directors and officers against the cost of defense, settlement or payment of a judgment in some circumstances and insures us against our obligations to indemnify the directors and officers.</w:t>
      </w:r>
    </w:p>
    <w:p>
      <w:pPr>
        <w:spacing w:after="0" w:line="1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provisions. We believe that these provisions, the insurance and the indemnity agreements are necessary to attract and retain talented and experienced directors and officers.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 sets forth information regarding the beneficial ownership of our shares of common stock as of the date of this prospectus and upon completion of the sale of our shares of common stock included in the units offered by this prospectus (assuming none of the individuals listed purchase units in this offering), by:</w:t>
      </w:r>
    </w:p>
    <w:p>
      <w:pPr>
        <w:spacing w:after="0" w:line="188" w:lineRule="exact"/>
        <w:rPr>
          <w:sz w:val="20"/>
          <w:szCs w:val="20"/>
          <w:color w:val="auto"/>
        </w:rPr>
      </w:pPr>
    </w:p>
    <w:p>
      <w:pPr>
        <w:ind w:left="580" w:hanging="333"/>
        <w:spacing w:after="0"/>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219" w:lineRule="exact"/>
        <w:rPr>
          <w:rFonts w:ascii="Arial" w:cs="Arial" w:eastAsia="Arial" w:hAnsi="Arial"/>
          <w:sz w:val="18"/>
          <w:szCs w:val="18"/>
          <w:color w:val="auto"/>
        </w:rPr>
      </w:pPr>
    </w:p>
    <w:p>
      <w:pPr>
        <w:ind w:left="580" w:hanging="333"/>
        <w:spacing w:after="0"/>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of our officers, directors and director nominees; and</w:t>
      </w:r>
    </w:p>
    <w:p>
      <w:pPr>
        <w:spacing w:after="0" w:line="219" w:lineRule="exact"/>
        <w:rPr>
          <w:rFonts w:ascii="Arial" w:cs="Arial" w:eastAsia="Arial" w:hAnsi="Arial"/>
          <w:sz w:val="18"/>
          <w:szCs w:val="18"/>
          <w:color w:val="auto"/>
        </w:rPr>
      </w:pPr>
    </w:p>
    <w:p>
      <w:pPr>
        <w:ind w:left="580" w:hanging="333"/>
        <w:spacing w:after="0"/>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of our officers, directors and director nominees as a group.</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Amounts shown in the “After Offering” column are calculated assuming no exercise of the over-allotment option and, therefore, the forfeiture of an aggregate of 187,500 shares of common stock held by our insiders. Unless otherwise indicated, we believe that all persons named in the table have sole voting and investment power with respect to all shares of common stock beneficially owned by them.</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3"/>
          </w:tcPr>
          <w:p>
            <w:pPr>
              <w:ind w:left="860"/>
              <w:spacing w:after="0"/>
              <w:rPr>
                <w:sz w:val="20"/>
                <w:szCs w:val="20"/>
                <w:color w:val="auto"/>
              </w:rPr>
            </w:pPr>
            <w:r>
              <w:rPr>
                <w:rFonts w:ascii="Arial" w:cs="Arial" w:eastAsia="Arial" w:hAnsi="Arial"/>
                <w:sz w:val="18"/>
                <w:szCs w:val="18"/>
                <w:color w:val="auto"/>
              </w:rPr>
              <w:t>Prior to Offering</w:t>
            </w:r>
          </w:p>
        </w:tc>
        <w:tc>
          <w:tcPr>
            <w:tcW w:w="260" w:type="dxa"/>
            <w:vAlign w:val="bottom"/>
          </w:tcPr>
          <w:p>
            <w:pPr>
              <w:spacing w:after="0"/>
              <w:rPr>
                <w:sz w:val="19"/>
                <w:szCs w:val="19"/>
                <w:color w:val="auto"/>
              </w:rPr>
            </w:pPr>
          </w:p>
        </w:tc>
        <w:tc>
          <w:tcPr>
            <w:tcW w:w="3240" w:type="dxa"/>
            <w:vAlign w:val="bottom"/>
            <w:tcBorders>
              <w:bottom w:val="single" w:sz="8" w:color="auto"/>
            </w:tcBorders>
            <w:gridSpan w:val="3"/>
          </w:tcPr>
          <w:p>
            <w:pPr>
              <w:ind w:left="1120"/>
              <w:spacing w:after="0"/>
              <w:rPr>
                <w:sz w:val="20"/>
                <w:szCs w:val="20"/>
                <w:color w:val="auto"/>
              </w:rPr>
            </w:pPr>
            <w:r>
              <w:rPr>
                <w:rFonts w:ascii="Arial" w:cs="Arial" w:eastAsia="Arial" w:hAnsi="Arial"/>
                <w:sz w:val="18"/>
                <w:szCs w:val="18"/>
                <w:color w:val="auto"/>
              </w:rPr>
              <w:t>After Offering</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Approximate</w:t>
            </w: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Amount and Nature</w:t>
            </w: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Percentage of</w:t>
            </w: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Amount and Nature</w:t>
            </w:r>
          </w:p>
        </w:tc>
        <w:tc>
          <w:tcPr>
            <w:tcW w:w="17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Approximate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of Beneficial</w:t>
            </w: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Outstanding</w:t>
            </w: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of Beneficial</w:t>
            </w: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Percentage of</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Name and Address of</w:t>
            </w:r>
          </w:p>
        </w:tc>
        <w:tc>
          <w:tcPr>
            <w:tcW w:w="8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Ownership of</w:t>
            </w: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Shares of</w:t>
            </w: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Ownership of</w:t>
            </w: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Outstanding Shares</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1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Beneficial Owner(1)</w:t>
            </w:r>
          </w:p>
        </w:tc>
        <w:tc>
          <w:tcPr>
            <w:tcW w:w="80" w:type="dxa"/>
            <w:vAlign w:val="bottom"/>
          </w:tcPr>
          <w:p>
            <w:pPr>
              <w:spacing w:after="0"/>
              <w:rPr>
                <w:sz w:val="19"/>
                <w:szCs w:val="19"/>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Common Stock</w:t>
            </w: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Common Stock</w:t>
            </w: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Common Stock(2)</w:t>
            </w: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of Common Stock</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 SPAC LLC (3)</w:t>
            </w:r>
          </w:p>
        </w:tc>
        <w:tc>
          <w:tcPr>
            <w:tcW w:w="1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1,437,500</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7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4"/>
              </w:rPr>
              <w:t>1,500,000(4)</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Joshua Sason(5)</w:t>
            </w:r>
          </w:p>
        </w:tc>
        <w:tc>
          <w:tcPr>
            <w:tcW w:w="1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1,437,500</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7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4"/>
              </w:rPr>
              <w:t>1,500,000(4)</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2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All directors, director</w:t>
            </w:r>
          </w:p>
        </w:tc>
        <w:tc>
          <w:tcPr>
            <w:tcW w:w="1660" w:type="dxa"/>
            <w:vAlign w:val="bottom"/>
            <w:gridSpan w:val="3"/>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1,437,500</w:t>
            </w:r>
          </w:p>
        </w:tc>
        <w:tc>
          <w:tcPr>
            <w:tcW w:w="174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100.0%</w:t>
            </w:r>
          </w:p>
        </w:tc>
        <w:tc>
          <w:tcPr>
            <w:tcW w:w="1760" w:type="dxa"/>
            <w:vAlign w:val="bottom"/>
            <w:gridSpan w:val="2"/>
            <w:shd w:val="clear" w:color="auto" w:fill="CCEEFF"/>
          </w:tcPr>
          <w:p>
            <w:pPr>
              <w:ind w:left="780"/>
              <w:spacing w:after="0" w:line="201" w:lineRule="exact"/>
              <w:rPr>
                <w:sz w:val="20"/>
                <w:szCs w:val="20"/>
                <w:color w:val="auto"/>
              </w:rPr>
            </w:pPr>
            <w:r>
              <w:rPr>
                <w:rFonts w:ascii="Arial" w:cs="Arial" w:eastAsia="Arial" w:hAnsi="Arial"/>
                <w:sz w:val="18"/>
                <w:szCs w:val="18"/>
                <w:color w:val="auto"/>
              </w:rPr>
              <w:t>1,500,000</w:t>
            </w:r>
          </w:p>
        </w:tc>
        <w:tc>
          <w:tcPr>
            <w:tcW w:w="176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nominees and executive</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officers as a group (6</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individuals)</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Less than 1%.</w:t>
      </w:r>
    </w:p>
    <w:p>
      <w:pPr>
        <w:spacing w:after="0" w:line="220" w:lineRule="exact"/>
        <w:rPr>
          <w:sz w:val="20"/>
          <w:szCs w:val="20"/>
          <w:color w:val="auto"/>
        </w:rPr>
      </w:pPr>
    </w:p>
    <w:p>
      <w:pPr>
        <w:ind w:left="240" w:hanging="233"/>
        <w:spacing w:after="0"/>
        <w:tabs>
          <w:tab w:leader="none" w:pos="2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Unless otherwise indicated, the business address of each of the individuals is c/o Magna Management LLC, 5 Hanover Square, New York, NY 10004.</w:t>
      </w:r>
    </w:p>
    <w:p>
      <w:pPr>
        <w:spacing w:after="0" w:line="242" w:lineRule="exact"/>
        <w:rPr>
          <w:rFonts w:ascii="Arial" w:cs="Arial" w:eastAsia="Arial" w:hAnsi="Arial"/>
          <w:sz w:val="16"/>
          <w:szCs w:val="16"/>
          <w:color w:val="auto"/>
        </w:rPr>
      </w:pPr>
    </w:p>
    <w:p>
      <w:pPr>
        <w:ind w:left="240" w:hanging="233"/>
        <w:spacing w:after="0" w:line="267" w:lineRule="auto"/>
        <w:tabs>
          <w:tab w:leader="none" w:pos="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Does not include beneficial ownership of any shares of common stock underlying outstanding warrants as such shares are not issuable within 60 days of the date of this prospectus.</w:t>
      </w:r>
    </w:p>
    <w:p>
      <w:pPr>
        <w:spacing w:after="0" w:line="179" w:lineRule="exact"/>
        <w:rPr>
          <w:rFonts w:ascii="Arial" w:cs="Arial" w:eastAsia="Arial" w:hAnsi="Arial"/>
          <w:sz w:val="18"/>
          <w:szCs w:val="18"/>
          <w:color w:val="auto"/>
        </w:rPr>
      </w:pPr>
    </w:p>
    <w:p>
      <w:pPr>
        <w:ind w:left="240" w:hanging="233"/>
        <w:spacing w:after="0"/>
        <w:tabs>
          <w:tab w:leader="none" w:pos="2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Joshua Sason is the sole managing member of M SPAC LLC and thus may be deemed to have voting and investment power with respect to such shares.</w:t>
      </w:r>
    </w:p>
    <w:p>
      <w:pPr>
        <w:spacing w:after="0" w:line="242" w:lineRule="exact"/>
        <w:rPr>
          <w:rFonts w:ascii="Arial" w:cs="Arial" w:eastAsia="Arial" w:hAnsi="Arial"/>
          <w:sz w:val="16"/>
          <w:szCs w:val="16"/>
          <w:color w:val="auto"/>
        </w:rPr>
      </w:pPr>
    </w:p>
    <w:p>
      <w:pPr>
        <w:ind w:left="240" w:hanging="233"/>
        <w:spacing w:after="0" w:line="267" w:lineRule="auto"/>
        <w:tabs>
          <w:tab w:leader="none" w:pos="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the 250,000 shares of common stock underlying the private units to be purchased by M SPAC LLC simultaneously with the consummation of this offering.</w:t>
      </w:r>
    </w:p>
    <w:p>
      <w:pPr>
        <w:spacing w:after="0" w:line="179" w:lineRule="exact"/>
        <w:rPr>
          <w:rFonts w:ascii="Arial" w:cs="Arial" w:eastAsia="Arial" w:hAnsi="Arial"/>
          <w:sz w:val="18"/>
          <w:szCs w:val="18"/>
          <w:color w:val="auto"/>
        </w:rPr>
      </w:pPr>
    </w:p>
    <w:p>
      <w:pPr>
        <w:ind w:left="240" w:hanging="233"/>
        <w:spacing w:after="0"/>
        <w:tabs>
          <w:tab w:leader="none" w:pos="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Securities owned consist of securities owned by M SPAC LLC, of which the individual is a managing member.</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Immediately after this offering, our insiders will beneficially own approximately 23.1% of the then issued and outstanding shares of common stock (assuming they do not purchase any units offered by this prospectus). None of our insiders, officers, directors and director nominees has indicated to us that it, he or she intends to purchase our units in the offering. Because of the ownership block held by our insiders, such individuals may be able to effectively exercise influence over all matters requiring approval by our stockholders, including the election of directors and approval of significant corporate transactions other than approval of our initial business combination.</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the underwriters do not exercise all or a portion of the over-allotment option, an aggregate of up to 187,500 insider shares will be forfeited in amounts as determined amongst the holders of such insider shares and not proportional to their ownership percentages in our shares of common stock. Only a number of shares necessary to maintain our insiders’ collective 20.0% ownership interest (excluding the private units) in our shares of common stock after giving effect to the offering and the exercise, if any, of the underwriters’ over-allotment option will be forfeited.</w:t>
      </w:r>
    </w:p>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All of the insider shares outstanding prior to the date of this prospectus will be placed in escrow with Continental Stock Transfer &amp; Trust Company, as escrow agent. Subject to certain limited exceptions, 50% of these shares will not be transferred, assigned, sold or released from escrow until the earlier of six months after the date of the consummation of our initial business combination and the date the closing price of our common stock equals or exceeds $12.50 per share (as adjusted for stock splits, stock dividends, reorganizations and recapitalizations) for any 20 trading days within any 30-trading day period commencing after our initial business combination and the remaining 50% of the insider shares will not be transferred, assigned, sold or released from escrow until six months after the date of the consummation of our initial business combination or earlier in either case if, subsequent to our initial business combination, we complete a liquidation, merger, stock exchange or other similar transaction which results in all of our stockholders having the right to exchange their shares of common stock for cash, securities or other property. Up to 187,500 of the insider shares may also be released from escrow earlier than this date for cancellation if the over-allotment option is not exercised in full as described above.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204" w:gutter="0" w:footer="0" w:header="0"/>
        </w:sectPr>
      </w:pPr>
    </w:p>
    <w:bookmarkStart w:id="77" w:name="page78"/>
    <w:bookmarkEnd w:id="77"/>
    <w:p>
      <w:pPr>
        <w:jc w:val="both"/>
        <w:spacing w:after="0" w:line="267" w:lineRule="auto"/>
        <w:rPr>
          <w:sz w:val="20"/>
          <w:szCs w:val="20"/>
          <w:color w:val="auto"/>
        </w:rPr>
      </w:pPr>
      <w:r>
        <w:rPr>
          <w:rFonts w:ascii="Arial" w:cs="Arial" w:eastAsia="Arial" w:hAnsi="Arial"/>
          <w:sz w:val="17"/>
          <w:szCs w:val="17"/>
          <w:color w:val="auto"/>
        </w:rPr>
        <w:t>During the escrow period, the holders of these shares will not be able to sell or transfer their securities except (1) transfers among the insiders, to our officers, directors, advisors and employees, (2) transfers to an insider’s affiliates or its members upon its liquidation, (3) transfers to relatives and trusts for estate planning purposes, (4) transfers by virtue of the laws of descent and distribution upon death, (5) transfers pursuant to a qualified domestic relations order, (6) private sales made at prices no greater than the price at which the securities were originally purchased or (7) transfers to us for cancellation in connection with the consummation of an initial business combination, in each case (except for clause 7) where the transferee agrees to the terms of the escrow agreement and forfeiture, as the case may be, as well as the other applicable restrictions and agreements of the holders of the insider shares. If dividends are declared and payable in shares of common stock, such dividends will also be placed in escrow. If we are unable to effect a business combination and liquidate, there will be no liquidation distribution with respect to the insider shares.</w:t>
      </w:r>
    </w:p>
    <w:p>
      <w:pPr>
        <w:spacing w:after="0" w:line="18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Our insiders (and/or their designees) have committed that they will purchase the private units (for an aggregate purchase price of $2,500,000) from us in amounts as determined amongst the parties and not proportional to their ownership percentages in our shares of common stock. These purchases will take place on a private placement basis simultaneously with the consummation of this offering. Our insiders have also agreed that if the over-allotment option is exercised by the underwriters in full or in part, they will purchase from us at a price of $10.00 per unit the number of private units (up to a maximum of 22,500 private units) that is necessary to maintain in the trust account an amount equal to $10.00 per share sold to the public in this offering. These additional private units will be purchased in a private placement that will occur simultaneously with the purchase of units resulting from the exercise of the over-allotment option. The private units are identical to the units sold in this offering. However, the holders have agreed (A) to vote their insider shares, private shares and any public shares acquired in or after this offering in favor of any proposed business combination, (B) not to propose, or vote in favor of, an amendment to our certificate of incorporation that would affect the substance or timing of our obligation to redeem 100% of our public shares if we do not complete our initial business combination within 18 months from the closing of this offering (or 21 months, as applicable), unless we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for our working capital requirements or to pay our franchise and income taxes, divided by the number of then outstanding public shares, (C) not to convert any shares (including the insider shares) into the right to receive cash from the trust account in connection with a stockholder vote to approve our proposed initial business combination (or sell any shares they hold to us in a tender offer in connection with a proposed initial business combination) or a vote to amend the provisions of our certificate of incorporation relating to the substance or timing of our obligation to redeem 100% of our public shares if we do not complete our initial business combination within 18 months from the closing of this offering (or 21 months, as applicable) and (D) that the insider shares shall not be entitled to be redeemed for a pro rata portion of the funds held in the trust account if a business combination is not consummated. Additionally, our insiders (and/or their designees) have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our initial business combination.</w:t>
      </w:r>
    </w:p>
    <w:p>
      <w:pPr>
        <w:spacing w:after="0" w:line="38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order to meet our working capital needs following the consummation of this offering, our insiders, officers and directors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$200,000 of the notes may be converted upon consummation of our business combination into additional private units at a price of $10.00 per unit. Our stockholders have approved the issuance of the private units upon conversion of such notes, to the extent the holder wishes to so convert such notes at the time of the consummation of our initial business combination. If we do not complete a business combination, any outstanding loans from our insiders, officers and directors or their affiliates, will be repaid only from amounts remaining outside our trust account, if 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and directors are deemed to be our “promoters,” as that term is defined under the federal securities laws.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CERTAIN TRANSACTIONS</w:t>
      </w:r>
    </w:p>
    <w:p>
      <w:pPr>
        <w:spacing w:after="0" w:line="226" w:lineRule="exact"/>
        <w:rPr>
          <w:sz w:val="20"/>
          <w:szCs w:val="20"/>
          <w:color w:val="auto"/>
        </w:rPr>
      </w:pPr>
    </w:p>
    <w:p>
      <w:pPr>
        <w:ind w:right="660"/>
        <w:spacing w:after="0" w:line="267" w:lineRule="auto"/>
        <w:rPr>
          <w:sz w:val="20"/>
          <w:szCs w:val="20"/>
          <w:color w:val="auto"/>
        </w:rPr>
      </w:pPr>
      <w:r>
        <w:rPr>
          <w:rFonts w:ascii="Arial" w:cs="Arial" w:eastAsia="Arial" w:hAnsi="Arial"/>
          <w:sz w:val="18"/>
          <w:szCs w:val="18"/>
          <w:color w:val="auto"/>
        </w:rPr>
        <w:t>In April 2015, we sold an aggregate of 1,437,500 shares of our common stock for $25,000, or approximately $.02 per share, to M SPAC LLC, which is controlled by Joshua Sason.</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the underwriters do not exercise all or a portion of their over-allotment option, our insiders will forfeit up to an aggregate of 187,500 insider shares in proportion to the portion of the over-allotment option that was not exercised. If such shares are forfeited, we will record the forfeited shares as treasury stock and simultaneously retire the shares. Upon receipt, such forfeited shares would then be immediately cancelled which would result in the retirement of the treasury shares and a corresponding charge to additional paid-in capital.</w:t>
      </w:r>
    </w:p>
    <w:p>
      <w:pPr>
        <w:spacing w:after="0" w:line="19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the underwriters determine the size of the offering should be increased (including pursuant to Rule 462(b) under the Securities Act) or decreased, a share dividend or a contribution back to capital, as applicable, would be effectuated in order to maintain our insiders’ ownership at a percentage of the number of shares of common stock to be sold in this offering. Our insiders may purchase from us at a price of $10.00 per unit the number of private units that is necessary to maintain in the trust account an amount equal to $10.00 per share sold to the public in this offering.</w:t>
      </w:r>
    </w:p>
    <w:p>
      <w:pPr>
        <w:spacing w:after="0" w:line="177"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Our insiders have committed that they (and/or their designees) will purchase, pursuant to written purchase agreements with us, 250,000 private units for a total purchase price of $2,500,000, from us. These purchases will take place on a private placement basis simultaneously with the consummation of this offering. Our insiders have also agreed that if the over-allotment option is exercised by the underwriters in full or in part, they will purchase from us at a price of $10.00 per unit the number of private units (up to a maximum of 22,500 private units) that is necessary to maintain in the trust account an amount equal to $10.00 per share sold to the public in this offering. These additional private units will be purchased in a private placement that will occur simultaneously with the purchase of units resulting from the exercise of the over-allotment option. The purchase price for the private units, including those that may be purchased if the over-allotment option is exercised, will be delivered to Continental Stock Transfer &amp; Trust Company, who will also be acting as escrow agent in connection with the private sale of private units, at least 24 hours prior to the date of this prospectus to hold in a non-interest bearing account until we consummate this offering. Continental Stock Transfer &amp; Trust Company will deposit the purchase price into the trust account simultaneously with the consummation of the offering or the over-allotment option, as the case may be. The private units are identical to the units sold in this offering. However, the holders have agreed (A) to vote their private shares and any public shares acquired in or after this offering in favor of any proposed business combination, (B) not to propose, or vote in favor of, an amendment to our certificate of incorporation that would affect the substance or timing of our obligation to redeem 100% of our public shares if we do not complete our initial business combination within 18 months from the closing of this offering (or 21 months, as applicable), unless we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for our working capital requirements or to pay our franchise and income taxes, divided by the number of then outstanding public shares, (C) not to convert any shares (including the private shares) into the right to receive cash from the trust account in connection with a stockholder vote to approve our proposed initial business combination (or sell any shares they hold to us in a tender offer in connection with a proposed initial business combination) or a vote to amend the provisions of our certificate of incorporation relating to the substance or timing of our obligation to redeem 100% of our public shares if we do not complete our initial business combination within 18 months from the closing of this offering (or 21 months, as applicable) and (D) that the private shares shall not be entitled to be redeemed for a pro rata portion of the funds held in the trust account if a business combination is not consummated. Additionally, our insiders (and/or their designees) have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our initial business combination.</w:t>
      </w:r>
    </w:p>
    <w:p>
      <w:pPr>
        <w:spacing w:after="0" w:line="18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order to meet our working capital needs following the consummation of this offering, our insiders, officers and directors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$200,000 of the notes may be converted upon consummation of our business combination into additional private units at a price of $10.00 per unit. Our stockholders have approved the issuance of the private units upon conversion of such notes, to the extent the holder wishes to so convert such notes at the time of the consummation of our initial business combination. If we do not complete a business combination, any outstanding loans from our insiders, officers and directors or their affiliates, will be repaid only from amounts remaining outside our trust account, if any.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79" w:name="page80"/>
    <w:bookmarkEnd w:id="79"/>
    <w:p>
      <w:pPr>
        <w:jc w:val="both"/>
        <w:spacing w:after="0" w:line="285" w:lineRule="auto"/>
        <w:rPr>
          <w:sz w:val="20"/>
          <w:szCs w:val="20"/>
          <w:color w:val="auto"/>
        </w:rPr>
      </w:pPr>
      <w:r>
        <w:rPr>
          <w:rFonts w:ascii="Arial" w:cs="Arial" w:eastAsia="Arial" w:hAnsi="Arial"/>
          <w:sz w:val="16"/>
          <w:szCs w:val="16"/>
          <w:color w:val="auto"/>
        </w:rPr>
        <w:t>The holders of our insider shares issued and outstanding on the date of this prospectus, as well as the holders of the private units (and underlying securities) and any shares our insiders, officers, directors or their affiliates may be issued in payment of working capital loans made to us, will be entitled to registration rights pursuant to an agreement to be signed prior to or on the effective date of this offering. The holders of a majority of these securities are entitled to make up to two demands that we register such securities. The holders of the majority of the insider shares can elect to exercise these registration rights at any time commencing three months prior to the date on which these shares of common stock are to be released from escrow. The holders of a majority of the private units or shares issued in payment of working capital loans made to us can elect to exercise these registration rights at any time after we consummate a business combination. In addition, the holders have certain “piggy-back” registration rights with respect to registration statements filed subsequent to our consummation of our initial business combination. We will bear the expenses incurred in connection with the filing of any such registration statements.</w:t>
      </w:r>
    </w:p>
    <w:p>
      <w:pPr>
        <w:spacing w:after="0" w:line="172"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As of September 11, 2015, a related party had loaned to us $35,000 to cover expenses related to this offering. The loan is payable without interest on the earlier of (i) the consummation of the Proposed Public Offering or (ii) the date on which the Company determines not to proceed with the Proposed Public Offering.</w:t>
      </w:r>
    </w:p>
    <w:p>
      <w:pPr>
        <w:spacing w:after="0" w:line="13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Magna Management LLC, a company owned by our insiders, has agreed that, commencing on the date of this prospectus through the earlier of our consummation of our initial business combination or our liquidation, it will make available to us certain general and administrative services, including office space, utilities and administrative support, as we may require from time to time. We have agreed to pay Magna Management LLC $10,000 per month for these services.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We believe that the fee charged by our sponsor is at least as favorable as we could have obtained from an unaffiliated person.</w:t>
      </w:r>
    </w:p>
    <w:p>
      <w:pPr>
        <w:spacing w:after="0" w:line="18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Other than the fees described above, no compensation or fees of any kind, including finder’s fees, consulting fees or other similar compensation, will be paid to our insiders or any of the members of our management team, for services rendered to us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After our initial business combination, members of our management team who remain with us may be paid consulting, board,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our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uninterested independent directors,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Related Party Policy</w:t>
      </w:r>
    </w:p>
    <w:p>
      <w:pPr>
        <w:spacing w:after="0" w:line="22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Code of Ethics requires us to avoid, wherever possible, all related party transactions that could result in actual or potential conflicts of interests, except under guidelines approved by the board of directors (or the audit committee). Related-party transactions are defined as transactions in which (1) the aggregate amount involved will or may be expected to exceed $100,000 in any calendar year, (2) we or any of our subsidiaries is a participant, and (3) any (a) executive officer, director or nominee for election as a director, (b) greater than 5% beneficial owner of our shares of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18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We also require each of our directors and executive officers to annually complete a directors’ and officers’ questionnaire that elicits information about related party transactions.</w:t>
      </w:r>
    </w:p>
    <w:p>
      <w:pPr>
        <w:spacing w:after="0" w:line="180" w:lineRule="exact"/>
        <w:rPr>
          <w:sz w:val="20"/>
          <w:szCs w:val="20"/>
          <w:color w:val="auto"/>
        </w:rPr>
      </w:pPr>
    </w:p>
    <w:p>
      <w:pPr>
        <w:ind w:right="200"/>
        <w:spacing w:after="0" w:line="267"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18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To further minimize conflicts of interest, we have agreed not to consummate our initial business combination with an entity that is affiliated with any of our insiders, officers or directors unless we have obtained an opinion from an independent investment banking firm and the approval of a majority of our disinterested and independent directors (if we have any at that time) that the business combination is fair to our unaffiliated stockholders from a financial point of view. Furthermore, in no event will our insiders, or any of the members of our management team be paid any finder’s fee, consulting fee or other similar compensation prior to, or for any services they render in order to effectuate, the consummation of our initial business combination (regardless of the type of transaction that it is).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certificate of incorporation currently authorizes the issuance of 50,000,000 shares of common stock, par value $0.001, and 1,000,000 shares of preferred stock, par value $0.001. As of the date of this prospectus, 1,437,500 shares of common stock are outstanding, held by one stockholder of record. No shares of preferred stock are currently outstanding. The following description summarizes all of the material terms of our securities. Because it is only a summary, it may not contain all the information that is important to you. For a complete description you should refer to our certificate of incorporation and bylaws, which are filed as exhibits to the registration statement of which this prospectus is a part.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22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Each unit has an offering price of $10.00 and consists of one share of common stock and one warrant. Each warrant entitles the holder thereof to purchase one-half of one share of our common stock at a price of $12.00 per full share, subject to adjustment as described in this prospectus. Pursuant to the warrant agreement, a warrantholder may exercise its warrants only for a whole number of shares of our stock. This means that only an even number of warrants may be exercised at any given time by a warrantholder. For example, if a warrantholder holds one warrant to purchase one-half of one share of our common stock, such warrant shall not be exercisable. If a warrantholder holds two warrants, such warrants will be exercisable for one share of our common stock.</w:t>
      </w:r>
    </w:p>
    <w:p>
      <w:pPr>
        <w:spacing w:after="0" w:line="16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common stock and warrants comprising the units will begin separate trading on the 90th day after the date of this prospectus unless Chardan Capital Markets, LLC determines that an earlier date is acceptable (based upon, among other things, its assessment of the relative strengths of the securities markets and small capitalization companies in general, and the trading pattern of, and demand for, our securities in particular), subject to our having filed the Current Report on Form 8-K described below and having issued a press release announcing when such separate trading will begin. Once the shares of common stock and warrants commence separate trading, holders will have the option to continue to hold units or separate their units into the component pieces. Holders will need to have their brokers contact our transfer agent in order to separate the units into shares of common stock and warrants.</w:t>
      </w:r>
    </w:p>
    <w:p>
      <w:pPr>
        <w:spacing w:after="0" w:line="16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no event will the common stock and warrants be traded separately until we have filed with the SEC a Current Report on Form 8-K which includes an audited balance sheet reflecting our receipt of the gross proceeds of this offering. We will file a Current Report on Form 8-K which includes this audited balance sheet upon the completion of this offering, which is anticipated to take place three business days after the date of this prospectus.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holders of record of our common stock are entitled to one vote for each share held on all matters to be voted on by stockholders. In connection with any vote held to approve our initial business combination, our insiders, officers and directors, have agreed to vote their respective shares of common stock owned by them immediately prior to this offering, including both the insider shares and the private shares, and any shares acquired in this offering or following this offering in the open market, in favor of the proposed business combination.</w:t>
      </w:r>
    </w:p>
    <w:p>
      <w:pPr>
        <w:spacing w:after="0" w:line="191" w:lineRule="exact"/>
        <w:rPr>
          <w:sz w:val="20"/>
          <w:szCs w:val="20"/>
          <w:color w:val="auto"/>
        </w:rPr>
      </w:pPr>
    </w:p>
    <w:p>
      <w:pPr>
        <w:jc w:val="both"/>
        <w:ind w:right="20"/>
        <w:spacing w:after="0" w:line="331" w:lineRule="auto"/>
        <w:rPr>
          <w:sz w:val="20"/>
          <w:szCs w:val="20"/>
          <w:color w:val="auto"/>
        </w:rPr>
      </w:pPr>
      <w:r>
        <w:rPr>
          <w:rFonts w:ascii="Arial" w:cs="Arial" w:eastAsia="Arial" w:hAnsi="Arial"/>
          <w:sz w:val="16"/>
          <w:szCs w:val="16"/>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board of directors is divided into three classes, each of which will generally serve for a term of three years with only one class of directors being elected in each year. There is no cumulative voting with respect to the election of directors, with the result that the holders of more than 50% of the shares eligible to vote for the election of directors can elect all of the directors.</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Pursuant to our certificate of incorporation, if we do not consummate our initial business combination within 18 months from the closing of this offering (or 21 months from the closing of this offering if the extension criteria described elsewhere in this prospectus is met), we will (i) 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Our insiders have agreed to waive their rights to share in any distribution with respect to their insider shares and private shares.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82" w:name="page83"/>
    <w:bookmarkEnd w:id="82"/>
    <w:p>
      <w:pPr>
        <w:jc w:val="both"/>
        <w:spacing w:after="0" w:line="284" w:lineRule="auto"/>
        <w:rPr>
          <w:sz w:val="20"/>
          <w:szCs w:val="20"/>
          <w:color w:val="auto"/>
        </w:rPr>
      </w:pPr>
      <w:r>
        <w:rPr>
          <w:rFonts w:ascii="Arial" w:cs="Arial" w:eastAsia="Arial" w:hAnsi="Arial"/>
          <w:sz w:val="16"/>
          <w:szCs w:val="16"/>
          <w:color w:val="auto"/>
        </w:rPr>
        <w:t>Our stockholders have no conversion, preemptive or other subscription rights and there are no sinking fund or redemption provisions applicable to the shares of common stock, except that public stockholders have the right to sell their shares to us in any tender offer or have their shares of common stock converted to cash equal to their pro rata share of the trust account if they vote on the proposed business combination and the business combination is completed. 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in connection with any such vote. In either of such events, converting stockholders would be paid their pro rata portion of the trust account promptly following consummation of the business combination or the approval of the amendment to the certificate of incorporation. If the business combination is not consummated or the amendment is not approved, stockholders will not be paid such amounts.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There are no shares of preferred stock outstanding. Our certificate of incorporation filed with the State of Delaware authorizes the issuance of 1,000,000 shares of preferred stock with such designation, rights and preferences as may be determined from time to time by our board of directors. No shares of preferred stock are being issued or registered in this offering. Accordingly, our board of directors is empowered, without stockholder approval, to issue preferred stock with dividend, liquidation, conversion, voting or other rights which could adversely affect the voting power or other rights of the holders of common stock. However, the underwriting agreement prohibits us, prior to a business combination, from issuing preferred stock which participates in any manner in the proceeds of the trust account, or which votes as a class with the common stock on our initial business combination. We may issue some or all of the preferred stock to effect our initial business combination. In addition, the preferred stock could be utilized as a method of discouraging, delaying or preventing a change in control of us. Although we do not currently intend to issue any shares of preferred stock, we reserve the right to do so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included as part of units</w:t>
      </w:r>
    </w:p>
    <w:p>
      <w:pPr>
        <w:spacing w:after="0" w:line="2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Each public and private warrant entitles the registered holder to purchase one-half of one share of our common stock at a price of $12.00 per full share, subject to adjustment as discussed below, at any time commencing on the later of 12 months from the closing of this offering or 30 days after the completion of our initial business combination. Pursuant to the warrant agreement, a warrant holder may exercise its warrants only for a whole number of shares of common stock. The public and private warrants will expire five years after the date on which they first became exercisable, at 5:00 p.m., New York time, or earlier upon redemption or liquidation.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Once the warrants become exercisable, we may redeem the outstanding warrants (except as described herein with respect to the private warrants):</w:t>
      </w:r>
    </w:p>
    <w:p>
      <w:pPr>
        <w:spacing w:after="0" w:line="231" w:lineRule="exact"/>
        <w:rPr>
          <w:sz w:val="20"/>
          <w:szCs w:val="20"/>
          <w:color w:val="auto"/>
        </w:rPr>
      </w:pPr>
    </w:p>
    <w:p>
      <w:pPr>
        <w:ind w:left="580" w:hanging="333"/>
        <w:spacing w:after="0"/>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19" w:lineRule="exact"/>
        <w:rPr>
          <w:rFonts w:ascii="Arial" w:cs="Arial" w:eastAsia="Arial" w:hAnsi="Arial"/>
          <w:sz w:val="18"/>
          <w:szCs w:val="18"/>
          <w:color w:val="auto"/>
        </w:rPr>
      </w:pPr>
    </w:p>
    <w:p>
      <w:pPr>
        <w:ind w:left="580" w:hanging="333"/>
        <w:spacing w:after="0"/>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19" w:lineRule="exact"/>
        <w:rPr>
          <w:rFonts w:ascii="Arial" w:cs="Arial" w:eastAsia="Arial" w:hAnsi="Arial"/>
          <w:sz w:val="18"/>
          <w:szCs w:val="18"/>
          <w:color w:val="auto"/>
        </w:rPr>
      </w:pPr>
    </w:p>
    <w:p>
      <w:pPr>
        <w:ind w:left="580" w:hanging="333"/>
        <w:spacing w:after="0"/>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219" w:lineRule="exact"/>
        <w:rPr>
          <w:rFonts w:ascii="Arial" w:cs="Arial" w:eastAsia="Arial" w:hAnsi="Arial"/>
          <w:sz w:val="18"/>
          <w:szCs w:val="18"/>
          <w:color w:val="auto"/>
        </w:rPr>
      </w:pPr>
    </w:p>
    <w:p>
      <w:pPr>
        <w:ind w:left="580" w:hanging="333"/>
        <w:spacing w:after="0" w:line="267" w:lineRule="auto"/>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and only if, the last sale price of our common stock equals or exceeds $16.00 per share for any 20 trading days within a 30-trading day period ending on the third trading day prior to the date on which we send the notice of redemption to the warrant holders.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83" w:name="page84"/>
    <w:bookmarkEnd w:id="83"/>
    <w:p>
      <w:pPr>
        <w:jc w:val="both"/>
        <w:spacing w:after="0" w:line="252" w:lineRule="auto"/>
        <w:rPr>
          <w:sz w:val="20"/>
          <w:szCs w:val="20"/>
          <w:color w:val="auto"/>
        </w:rPr>
      </w:pPr>
      <w:r>
        <w:rPr>
          <w:rFonts w:ascii="Arial" w:cs="Arial" w:eastAsia="Arial" w:hAnsi="Arial"/>
          <w:sz w:val="18"/>
          <w:szCs w:val="18"/>
          <w:color w:val="auto"/>
        </w:rPr>
        <w:t>We will not redeem the warrants unless an effective registration statement under the Securities Act covering the shares of common stock issuable upon exercise of the warrants is effective and a current prospectus relating to those shares of common stock is available throughout the 30-day redemption period, except if the warrants may be exercised on a cashless basis and such cashless exercise is exempt from registration under the Securities Act. If and when the warrants become redeemable by us, we may exercise our redemption right even if we are unable to register or qualify the underlying securities for sale under all applicable state securities laws.</w:t>
      </w:r>
    </w:p>
    <w:p>
      <w:pPr>
        <w:spacing w:after="0" w:line="19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all holders that wish to exercise warrants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common stock issuable upon the exercise of our warrants.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shall mean the average reported closing price of the common stock for the 10 trading days ending on the third trading day prior to the date on which the notice of redemption is sent to the holders of warrants.</w:t>
      </w:r>
    </w:p>
    <w:p>
      <w:pPr>
        <w:spacing w:after="0" w:line="181"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None of the private warrants will be redeemable by us so long as they are held by the initial purchasers of the private warrants or any of their permitted transferees.</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will not be obligated to deliver any shares of common stock pursuant to the exercise of a warrant and will have no obligation to settle such warrant exercise unless a registration statement under the Securities Act with respect to the shares of common stock underlying the warrants is then effective and a prospectus relating thereto is current, subject to our satisfying our obligations described below with respect to registration. No warrant will be exercisable and we will not be obligated to issue shares of common stock upon exercise of a warrant unless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common stock underlying such unit.</w:t>
      </w:r>
    </w:p>
    <w:p>
      <w:pPr>
        <w:spacing w:after="0" w:line="18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have agreed that as soon as practicable, but in no event later than thirty (30) business days, after the closing of our initial business combination, we will use our best efforts to file with the SEC a registration statement for the registration, under the Securities Act, of the shares of common stock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In addition, we have agreed to use our best efforts to register the shares of common stock that are issuable upon exercise of the public and private warrants under state blue sky laws, to the extent an exemption is not available. Notwithstanding the foregoing, if a registration statement covering the shares of common stock issuable upon exercise of the public and private warrants has not been declared effective by the 90th business day following the closing of our initial business combination and during any period when we shall have failed to maintain an effective registration statement, public and private warrant holders may, until such time as there is an effective registration statement, exercise the public and private warrants on a cashless basis pursuant to the exemption provided by Section 3(a)(9) of the Securities Act.</w:t>
      </w:r>
    </w:p>
    <w:p>
      <w:pPr>
        <w:spacing w:after="0" w:line="17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warrants will be issued in registered form under a warrant agreement between Continental Stock Transfer &amp; Trust Company, as warrant agent, and us. You should review a copy of the warrant agreement, which will be filed as an exhibit to the registration statement of which this prospectus is a part, for a complete description of the terms and conditions applicable to the warrants. The warrant agreement provides that the terms of the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warrants.</w:t>
      </w:r>
    </w:p>
    <w:p>
      <w:pPr>
        <w:spacing w:after="0" w:line="18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84" w:name="page85"/>
    <w:bookmarkEnd w:id="84"/>
    <w:p>
      <w:pPr>
        <w:jc w:val="both"/>
        <w:spacing w:after="0" w:line="297" w:lineRule="auto"/>
        <w:rPr>
          <w:sz w:val="20"/>
          <w:szCs w:val="20"/>
          <w:color w:val="auto"/>
        </w:rPr>
      </w:pPr>
      <w:r>
        <w:rPr>
          <w:rFonts w:ascii="Arial" w:cs="Arial" w:eastAsia="Arial" w:hAnsi="Arial"/>
          <w:sz w:val="17"/>
          <w:szCs w:val="17"/>
          <w:color w:val="auto"/>
        </w:rPr>
        <w:t>No fractional shares will be issued upon exercise of the warrants. If, upon exercise of the warrants, a holder would be entitled to receive a fractional interest in a share, we will, upon exercise, round down to the nearest whole number the number of shares of to be issued to the warrant holder.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Option</w:t>
      </w:r>
    </w:p>
    <w:p>
      <w:pPr>
        <w:spacing w:after="0" w:line="2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agreed to sell to Chardan Capital Markets, LLC an option to purchase up to a total of 500,000 units at $12.00 per unit. The option is not exercisable until the later of the consummation of a business combination or six months from the date of this prospectus. The units issuable upon exercise of this option are identical to those offered by this prospectus. Accordingly, after the business combination shares of the purchase option will be to purchase 500,000 shares of common stock and 500,000 warrants to purchase 250,000 shares for the same aggregate purchase price. In no event will we be required to net cash settle the exercise of the purchase option.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have not paid any cash dividends on our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cash dividends subsequent to a business combination will be within the discretion of our board of directors at such time. In addition, our board of directors is not currently contemplating and does not anticipate declaring any stock dividends in the foreseeable future, except if we increase the size of the offering pursuant to Rule 462(b) under the Securities Act, in which case we will effect a stock dividend immediately prior to the consummation of the offering in such amount as to maintain the number of insider shares at 20.0% of our issued and outstanding shares of our common stock upon the consummation of this offering (not including the private units and assuming our insiders do not purchase units in this offering). Further, if we incur any indebtedness, our ability to declare dividends may be limited by restrictive covenants we may agree to in connection therewith.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Transfer Agent</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for our securities is Continental Stock Transfer &amp; Trust Company, 17 Battery Place, New York, New York 10004.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Delaware Law and our Certificate of Incorporation and By-Laws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We will be subject to the provisions of Section 203 of the DGCL regulating corporate takeovers upon completion of this offering. This statute prevents certain</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corporations, under certain circumstances, from engaging in a “business combination” with:</w:t>
      </w:r>
    </w:p>
    <w:p>
      <w:pPr>
        <w:spacing w:after="0" w:line="209" w:lineRule="exact"/>
        <w:rPr>
          <w:sz w:val="20"/>
          <w:szCs w:val="20"/>
          <w:color w:val="auto"/>
        </w:rPr>
      </w:pPr>
    </w:p>
    <w:p>
      <w:pPr>
        <w:ind w:left="580" w:hanging="333"/>
        <w:spacing w:after="0"/>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stockholder who owns 10% or more of our outstanding voting stock (otherwise known as an “interested stockholder”);</w:t>
      </w:r>
    </w:p>
    <w:p>
      <w:pPr>
        <w:spacing w:after="0" w:line="219" w:lineRule="exact"/>
        <w:rPr>
          <w:rFonts w:ascii="Arial" w:cs="Arial" w:eastAsia="Arial" w:hAnsi="Arial"/>
          <w:sz w:val="18"/>
          <w:szCs w:val="18"/>
          <w:color w:val="auto"/>
        </w:rPr>
      </w:pPr>
    </w:p>
    <w:p>
      <w:pPr>
        <w:ind w:left="580" w:hanging="333"/>
        <w:spacing w:after="0"/>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affiliate of an interested stockholder; or</w:t>
      </w:r>
    </w:p>
    <w:p>
      <w:pPr>
        <w:spacing w:after="0" w:line="219" w:lineRule="exact"/>
        <w:rPr>
          <w:rFonts w:ascii="Arial" w:cs="Arial" w:eastAsia="Arial" w:hAnsi="Arial"/>
          <w:sz w:val="18"/>
          <w:szCs w:val="18"/>
          <w:color w:val="auto"/>
        </w:rPr>
      </w:pPr>
    </w:p>
    <w:p>
      <w:pPr>
        <w:ind w:left="580" w:hanging="333"/>
        <w:spacing w:after="0"/>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associate of an interested stockholder, for three years following the date that the stockholder became an interested stockholder.</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A “business combination” includes a merger or sale of more than 10% of our assets. However, the above provisions of Section 203 do not apply if:</w:t>
      </w:r>
    </w:p>
    <w:p>
      <w:pPr>
        <w:spacing w:after="0" w:line="231" w:lineRule="exact"/>
        <w:rPr>
          <w:sz w:val="20"/>
          <w:szCs w:val="20"/>
          <w:color w:val="auto"/>
        </w:rPr>
      </w:pPr>
    </w:p>
    <w:p>
      <w:pPr>
        <w:ind w:left="580" w:hanging="333"/>
        <w:spacing w:after="0"/>
        <w:tabs>
          <w:tab w:leader="none" w:pos="5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board of directors approves the transaction that made the stockholder an “interested stockholder,” prior to the date of the transaction;</w:t>
      </w:r>
    </w:p>
    <w:p>
      <w:pPr>
        <w:spacing w:after="0" w:line="231" w:lineRule="exact"/>
        <w:rPr>
          <w:rFonts w:ascii="Arial" w:cs="Arial" w:eastAsia="Arial" w:hAnsi="Arial"/>
          <w:sz w:val="17"/>
          <w:szCs w:val="17"/>
          <w:color w:val="auto"/>
        </w:rPr>
      </w:pPr>
    </w:p>
    <w:p>
      <w:pPr>
        <w:ind w:left="580" w:hanging="333"/>
        <w:spacing w:after="0" w:line="297" w:lineRule="auto"/>
        <w:tabs>
          <w:tab w:leader="none" w:pos="5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156" w:lineRule="exact"/>
        <w:rPr>
          <w:rFonts w:ascii="Arial" w:cs="Arial" w:eastAsia="Arial" w:hAnsi="Arial"/>
          <w:sz w:val="17"/>
          <w:szCs w:val="17"/>
          <w:color w:val="auto"/>
        </w:rPr>
      </w:pPr>
    </w:p>
    <w:p>
      <w:pPr>
        <w:jc w:val="both"/>
        <w:ind w:left="580" w:hanging="333"/>
        <w:spacing w:after="0" w:line="257"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Staggered board of directors</w:t>
      </w:r>
    </w:p>
    <w:p>
      <w:pPr>
        <w:spacing w:after="0" w:line="22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Our certificate of incorporation provides that our board of directors will be classified into three classes of directors. As a result, in most circumstances, a person can gain control of our board only by successfully engaging in a proxy contest at two or more annual meetings.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 of stockholders</w:t>
      </w:r>
    </w:p>
    <w:p>
      <w:pPr>
        <w:spacing w:after="0" w:line="22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 by our chief executive officer or by our chairman.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notice requirements for stockholder proposals and director nominations</w:t>
      </w:r>
    </w:p>
    <w:p>
      <w:pPr>
        <w:spacing w:after="0" w:line="22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delivered to our principal executive offices not later than the close of business on the 90th day nor earlier than the opening of business on the 120th day prior to the scheduled date of the annual meeting of stockholders.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w:t>
      </w:r>
    </w:p>
    <w:p>
      <w:pPr>
        <w:spacing w:after="0" w:line="2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2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Immediately after this offering, we will have 6,500,000 shares of common stock outstanding, or 7,460,000 shares of common stock if the over-allotment option is exercised in full. Of these shares, the 5,000,000 shares of common stock sold in this offering, or 5,750,000 shares of common stock if the over-allotment option is exercised in full, will be freely tradable without restriction or further registration under the Securities Act, except for any shares purchased by one of our affiliates within the meaning of Rule 144 under the Securities Act. All of the remaining shares are restricted securities under Rule 144, in that they were issued in private transactions not involving a public offering.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2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person who has beneficially owned restricted shares of common stock for at least six months would be entitled to sell their shares provided that (1) such person is not deemed to have been one of our affiliates at the time of, or at any time during the three months preceding, a sale and (2) we are subject to the Exchange Act periodic reporting requirements for at least three months before the sale. Persons who have beneficially owned restricted shares of common stock for at least six months but who are our affiliates at the time of, or any time during the three months preceding, a sale, would be subject to additional restrictions, by which such person would be entitled to sell within any three-month period a number of shares that does not exceed the greater of either of the following:</w:t>
      </w:r>
    </w:p>
    <w:p>
      <w:pPr>
        <w:spacing w:after="0" w:line="165" w:lineRule="exact"/>
        <w:rPr>
          <w:sz w:val="20"/>
          <w:szCs w:val="20"/>
          <w:color w:val="auto"/>
        </w:rPr>
      </w:pPr>
    </w:p>
    <w:p>
      <w:pPr>
        <w:ind w:left="580" w:hanging="333"/>
        <w:spacing w:after="0" w:line="267"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 of the number of shares then outstanding, which will equal 65,000 shares of common stock immediately after this offering (or 74,600 shares of common stock if the over-allotment option is exercised in full); and</w:t>
      </w:r>
    </w:p>
    <w:p>
      <w:pPr>
        <w:spacing w:after="0" w:line="179" w:lineRule="exact"/>
        <w:rPr>
          <w:rFonts w:ascii="Arial" w:cs="Arial" w:eastAsia="Arial" w:hAnsi="Arial"/>
          <w:sz w:val="18"/>
          <w:szCs w:val="18"/>
          <w:color w:val="auto"/>
        </w:rPr>
      </w:pPr>
    </w:p>
    <w:p>
      <w:pPr>
        <w:ind w:left="580" w:hanging="333"/>
        <w:spacing w:after="0" w:line="267"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average weekly trading volume of the shares of common stock during the four calendar weeks preceding the filing of a notice on Form 144 with respect to the sale.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Sales under Rule 144 are also limited by manner of sale provisions and notice requirements and to the availability of current public information about us.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2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88" w:lineRule="exact"/>
        <w:rPr>
          <w:sz w:val="20"/>
          <w:szCs w:val="20"/>
          <w:color w:val="auto"/>
        </w:rPr>
      </w:pPr>
    </w:p>
    <w:p>
      <w:pPr>
        <w:ind w:left="580" w:hanging="333"/>
        <w:spacing w:after="0"/>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219" w:lineRule="exact"/>
        <w:rPr>
          <w:rFonts w:ascii="Arial" w:cs="Arial" w:eastAsia="Arial" w:hAnsi="Arial"/>
          <w:sz w:val="18"/>
          <w:szCs w:val="18"/>
          <w:color w:val="auto"/>
        </w:rPr>
      </w:pPr>
    </w:p>
    <w:p>
      <w:pPr>
        <w:ind w:left="580" w:hanging="333"/>
        <w:spacing w:after="0"/>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219" w:lineRule="exact"/>
        <w:rPr>
          <w:rFonts w:ascii="Arial" w:cs="Arial" w:eastAsia="Arial" w:hAnsi="Arial"/>
          <w:sz w:val="18"/>
          <w:szCs w:val="18"/>
          <w:color w:val="auto"/>
        </w:rPr>
      </w:pPr>
    </w:p>
    <w:p>
      <w:pPr>
        <w:ind w:left="580" w:right="20" w:hanging="333"/>
        <w:spacing w:after="0" w:line="267" w:lineRule="auto"/>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79" w:lineRule="exact"/>
        <w:rPr>
          <w:rFonts w:ascii="Arial" w:cs="Arial" w:eastAsia="Arial" w:hAnsi="Arial"/>
          <w:sz w:val="18"/>
          <w:szCs w:val="18"/>
          <w:color w:val="auto"/>
        </w:rPr>
      </w:pPr>
    </w:p>
    <w:p>
      <w:pPr>
        <w:ind w:left="580" w:hanging="333"/>
        <w:spacing w:after="0" w:line="267" w:lineRule="auto"/>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80"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As a result, it is likely that pursuant to Rule 144, our insiders will be able to sell their insider shares and private units freely without registration one year after we have completed our initial business combination assuming they are not an affiliate of ours at that time.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holders of our insider shares issued and outstanding on the date of this prospectus, as well as the holders of the private units and any shares our insiders, officers, directors or their affiliates may be issued in payment of working capital loans made to us, will be entitled to registration rights pursuant to an agreement to be signed prior to or on the effective date of this offering. The holders of a majority of these securities are entitled to make up to two demands that we register such securities. The holders of the majority of the insider shares can elect to exercise these registration rights at any time commencing three months prior to the date on which these shares of common stock are to be released from escrow. The holders of a majority of the private units or units issued in payment of working capital loans made to us can elect to exercise these registration rights at any time commencing on the date that we consummate our initial business combination. In addition, the holders have certain “piggy-back” registration rights with respect to registration statements filed subsequent to our consummation of our initial business combination. We will bear the expenses incurred in connection with the filing of any such registration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intend to offer our securities described in this prospectus through the underwriters named below. Subject to the terms and conditions of the underwriting agreement, the underwriters, through their representative Chardan Capital Markets, LLC, have severally agreed to purchase from us on a firm commitment basis the following respective number of units at a public offering price less the underwriting discounts and commissions set forth on the cover page of this prospectus: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5820" w:type="dxa"/>
            <w:vAlign w:val="bottom"/>
            <w:gridSpan w:val="2"/>
          </w:tcPr>
          <w:p>
            <w:pPr>
              <w:ind w:left="2360"/>
              <w:spacing w:after="0"/>
              <w:rPr>
                <w:sz w:val="20"/>
                <w:szCs w:val="20"/>
                <w:color w:val="auto"/>
              </w:rPr>
            </w:pPr>
            <w:r>
              <w:rPr>
                <w:rFonts w:ascii="Arial" w:cs="Arial" w:eastAsia="Arial" w:hAnsi="Arial"/>
                <w:sz w:val="18"/>
                <w:szCs w:val="18"/>
                <w:color w:val="auto"/>
              </w:rPr>
              <w:t>Underwriter</w:t>
            </w:r>
          </w:p>
        </w:tc>
        <w:tc>
          <w:tcPr>
            <w:tcW w:w="5580" w:type="dxa"/>
            <w:vAlign w:val="bottom"/>
          </w:tcPr>
          <w:p>
            <w:pPr>
              <w:jc w:val="center"/>
              <w:spacing w:after="0"/>
              <w:rPr>
                <w:sz w:val="20"/>
                <w:szCs w:val="20"/>
                <w:color w:val="auto"/>
              </w:rPr>
            </w:pPr>
            <w:r>
              <w:rPr>
                <w:rFonts w:ascii="Arial" w:cs="Arial" w:eastAsia="Arial" w:hAnsi="Arial"/>
                <w:sz w:val="18"/>
                <w:szCs w:val="18"/>
                <w:color w:val="auto"/>
                <w:w w:val="92"/>
              </w:rPr>
              <w:t>Number of Units</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5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Chardan Capital Markets, LLC</w:t>
            </w:r>
          </w:p>
        </w:tc>
        <w:tc>
          <w:tcPr>
            <w:tcW w:w="5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580" w:type="dxa"/>
            <w:vAlign w:val="bottom"/>
            <w:shd w:val="clear" w:color="auto" w:fill="CCEEFF"/>
          </w:tcPr>
          <w:p>
            <w:pPr>
              <w:jc w:val="right"/>
              <w:ind w:right="2351"/>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 copy of the underwriting agreement has been filed as an exhibit to the registration statement of which this prospectus forms a part.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our Securities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We expect our units, common stock and warrants to be quoted on Nasdaq under the symbols “[____],” “[____]” and “[____],” respectively. We anticipate that</w:t>
      </w:r>
    </w:p>
    <w:p>
      <w:pPr>
        <w:spacing w:after="0" w:line="4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units will be listed on Nasdaq on or promptly after the effective date of the registration statement. Following the date the shares of our common stock and warrants are eligible to trade separately, we anticipate that the shares of our common stock and warrants will be listed separately and as a unit on Nasdaq. We cannot guarantee that our securities will be approved for listing on Nasdaq or that they will continue to be listed on Nasdaq after this offering.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this Offering</w:t>
      </w:r>
    </w:p>
    <w:p>
      <w:pPr>
        <w:spacing w:after="0" w:line="2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been advised by the representative that the underwriters propose to offer the units to the public at the offering price set forth on the cover page of this prospectus. They may allow some dealers concessions not in excess of $0.[____] per unit and the dealers may reallow a concession not in excess of $0.[____] per unit to other dealers.</w:t>
      </w:r>
    </w:p>
    <w:p>
      <w:pPr>
        <w:spacing w:after="0" w:line="18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Prior to this offering there has been no public market for our securities. The public offering price of the units was negotiated between us and the representative of the underwriters. Factors considered in determining the prices and terms of the units include:</w:t>
      </w:r>
    </w:p>
    <w:p>
      <w:pPr>
        <w:spacing w:after="0" w:line="180" w:lineRule="exact"/>
        <w:rPr>
          <w:sz w:val="20"/>
          <w:szCs w:val="20"/>
          <w:color w:val="auto"/>
        </w:rPr>
      </w:pPr>
    </w:p>
    <w:p>
      <w:pPr>
        <w:ind w:left="580" w:hanging="333"/>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history of other similarly structured blank check companies;</w:t>
      </w:r>
    </w:p>
    <w:p>
      <w:pPr>
        <w:spacing w:after="0" w:line="219" w:lineRule="exact"/>
        <w:rPr>
          <w:rFonts w:ascii="Arial" w:cs="Arial" w:eastAsia="Arial" w:hAnsi="Arial"/>
          <w:sz w:val="18"/>
          <w:szCs w:val="18"/>
          <w:color w:val="auto"/>
        </w:rPr>
      </w:pPr>
    </w:p>
    <w:p>
      <w:pPr>
        <w:ind w:left="580" w:hanging="333"/>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219" w:lineRule="exact"/>
        <w:rPr>
          <w:rFonts w:ascii="Arial" w:cs="Arial" w:eastAsia="Arial" w:hAnsi="Arial"/>
          <w:sz w:val="18"/>
          <w:szCs w:val="18"/>
          <w:color w:val="auto"/>
        </w:rPr>
      </w:pPr>
    </w:p>
    <w:p>
      <w:pPr>
        <w:ind w:left="580" w:hanging="333"/>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prospects for consummating our initial business combination with an operating business at attractive values;</w:t>
      </w:r>
    </w:p>
    <w:p>
      <w:pPr>
        <w:spacing w:after="0" w:line="219" w:lineRule="exact"/>
        <w:rPr>
          <w:rFonts w:ascii="Arial" w:cs="Arial" w:eastAsia="Arial" w:hAnsi="Arial"/>
          <w:sz w:val="18"/>
          <w:szCs w:val="18"/>
          <w:color w:val="auto"/>
        </w:rPr>
      </w:pPr>
    </w:p>
    <w:p>
      <w:pPr>
        <w:ind w:left="580" w:hanging="333"/>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219" w:lineRule="exact"/>
        <w:rPr>
          <w:rFonts w:ascii="Arial" w:cs="Arial" w:eastAsia="Arial" w:hAnsi="Arial"/>
          <w:sz w:val="18"/>
          <w:szCs w:val="18"/>
          <w:color w:val="auto"/>
        </w:rPr>
      </w:pPr>
    </w:p>
    <w:p>
      <w:pPr>
        <w:ind w:left="580" w:hanging="333"/>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securities exchange listing requirements;</w:t>
      </w:r>
    </w:p>
    <w:p>
      <w:pPr>
        <w:spacing w:after="0" w:line="219" w:lineRule="exact"/>
        <w:rPr>
          <w:rFonts w:ascii="Arial" w:cs="Arial" w:eastAsia="Arial" w:hAnsi="Arial"/>
          <w:sz w:val="18"/>
          <w:szCs w:val="18"/>
          <w:color w:val="auto"/>
        </w:rPr>
      </w:pPr>
    </w:p>
    <w:p>
      <w:pPr>
        <w:ind w:left="580" w:hanging="333"/>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market demand;</w:t>
      </w:r>
    </w:p>
    <w:p>
      <w:pPr>
        <w:spacing w:after="0" w:line="219" w:lineRule="exact"/>
        <w:rPr>
          <w:rFonts w:ascii="Arial" w:cs="Arial" w:eastAsia="Arial" w:hAnsi="Arial"/>
          <w:sz w:val="18"/>
          <w:szCs w:val="18"/>
          <w:color w:val="auto"/>
        </w:rPr>
      </w:pPr>
    </w:p>
    <w:p>
      <w:pPr>
        <w:ind w:left="580" w:hanging="333"/>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expected liquidity of our securities; and</w:t>
      </w:r>
    </w:p>
    <w:p>
      <w:pPr>
        <w:spacing w:after="0" w:line="219" w:lineRule="exact"/>
        <w:rPr>
          <w:rFonts w:ascii="Arial" w:cs="Arial" w:eastAsia="Arial" w:hAnsi="Arial"/>
          <w:sz w:val="18"/>
          <w:szCs w:val="18"/>
          <w:color w:val="auto"/>
        </w:rPr>
      </w:pPr>
    </w:p>
    <w:p>
      <w:pPr>
        <w:ind w:left="580" w:hanging="333"/>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the offering.</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However, although these factors were considered, the determination of our offering price is more arbitrary than the pricing of securities for an operating company in a particular industry since the underwriters are unable to compare our financial results and prospects with those of public companies operating in the same industry.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22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have granted the underwriters an option to buy up to 750,000 additional units. The underwriters may exercise this option solely for the purpose of covering over-allotments, if any, made in connection with this offering. The underwriters have 45 days from the date of this prospectus to exercise this option. If the underwriters exercise this option, they will each purchase additional units approximately in proportion to the amounts specified in the table above.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Commissions and Discounts</w:t>
      </w:r>
    </w:p>
    <w:p>
      <w:pPr>
        <w:spacing w:after="0" w:line="226" w:lineRule="exact"/>
        <w:rPr>
          <w:sz w:val="20"/>
          <w:szCs w:val="20"/>
          <w:color w:val="auto"/>
        </w:rPr>
      </w:pPr>
    </w:p>
    <w:p>
      <w:pPr>
        <w:spacing w:after="0" w:line="297" w:lineRule="auto"/>
        <w:rPr>
          <w:sz w:val="20"/>
          <w:szCs w:val="20"/>
          <w:color w:val="auto"/>
        </w:rPr>
      </w:pPr>
      <w:r>
        <w:rPr>
          <w:rFonts w:ascii="Arial" w:cs="Arial" w:eastAsia="Arial" w:hAnsi="Arial"/>
          <w:sz w:val="17"/>
          <w:szCs w:val="17"/>
          <w:color w:val="auto"/>
        </w:rPr>
        <w:t>The following table shows the public offering price, underwriting discount to be paid by us to the underwriters and the proceeds, before expenses, to us. This information assumes either no exercise or full exercise by the representative of the underwriters of its over-allotment option.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2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color w:val="auto"/>
              </w:rPr>
              <w:t>Per Unit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gridSpan w:val="2"/>
          </w:tcPr>
          <w:p>
            <w:pPr>
              <w:ind w:left="40"/>
              <w:spacing w:after="0"/>
              <w:rPr>
                <w:sz w:val="20"/>
                <w:szCs w:val="20"/>
                <w:color w:val="auto"/>
              </w:rPr>
            </w:pPr>
            <w:r>
              <w:rPr>
                <w:rFonts w:ascii="Arial" w:cs="Arial" w:eastAsia="Arial" w:hAnsi="Arial"/>
                <w:sz w:val="18"/>
                <w:szCs w:val="18"/>
                <w:color w:val="auto"/>
              </w:rPr>
              <w:t>Without Over-allotment</w:t>
            </w:r>
          </w:p>
        </w:tc>
        <w:tc>
          <w:tcPr>
            <w:tcW w:w="200" w:type="dxa"/>
            <w:vAlign w:val="bottom"/>
          </w:tcPr>
          <w:p>
            <w:pPr>
              <w:spacing w:after="0"/>
              <w:rPr>
                <w:sz w:val="19"/>
                <w:szCs w:val="19"/>
                <w:color w:val="auto"/>
              </w:rPr>
            </w:pPr>
          </w:p>
        </w:tc>
        <w:tc>
          <w:tcPr>
            <w:tcW w:w="19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With Over-allotment</w:t>
            </w:r>
          </w:p>
        </w:tc>
      </w:tr>
      <w:tr>
        <w:trPr>
          <w:trHeight w:val="207"/>
        </w:trPr>
        <w:tc>
          <w:tcPr>
            <w:tcW w:w="22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5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Public offering price</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50,000,000</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57,500,000</w:t>
            </w:r>
          </w:p>
        </w:tc>
      </w:tr>
      <w:tr>
        <w:trPr>
          <w:trHeight w:val="213"/>
        </w:trPr>
        <w:tc>
          <w:tcPr>
            <w:tcW w:w="22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5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Discount(1)</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2,500,000</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2,875,000</w:t>
            </w:r>
          </w:p>
        </w:tc>
      </w:tr>
      <w:tr>
        <w:trPr>
          <w:trHeight w:val="213"/>
        </w:trPr>
        <w:tc>
          <w:tcPr>
            <w:tcW w:w="22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5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Proceeds before expenses(1)</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47,500,000</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54,625,000</w:t>
            </w:r>
          </w:p>
        </w:tc>
      </w:tr>
      <w:tr>
        <w:trPr>
          <w:trHeight w:val="267"/>
        </w:trPr>
        <w:tc>
          <w:tcPr>
            <w:tcW w:w="2280" w:type="dxa"/>
            <w:vAlign w:val="bottom"/>
            <w:tcBorders>
              <w:bottom w:val="single" w:sz="8" w:color="auto"/>
            </w:tcBorders>
          </w:tcPr>
          <w:p>
            <w:pPr>
              <w:spacing w:after="0"/>
              <w:rPr>
                <w:sz w:val="23"/>
                <w:szCs w:val="23"/>
                <w:color w:val="auto"/>
              </w:rPr>
            </w:pPr>
          </w:p>
        </w:tc>
        <w:tc>
          <w:tcPr>
            <w:tcW w:w="2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20" w:type="dxa"/>
            <w:vAlign w:val="bottom"/>
          </w:tcPr>
          <w:p>
            <w:pPr>
              <w:spacing w:after="0"/>
              <w:rPr>
                <w:sz w:val="23"/>
                <w:szCs w:val="23"/>
                <w:color w:val="auto"/>
              </w:rPr>
            </w:pPr>
          </w:p>
        </w:tc>
      </w:tr>
    </w:tbl>
    <w:p>
      <w:pPr>
        <w:spacing w:after="0" w:line="268" w:lineRule="exact"/>
        <w:rPr>
          <w:sz w:val="20"/>
          <w:szCs w:val="20"/>
          <w:color w:val="auto"/>
        </w:rPr>
      </w:pPr>
    </w:p>
    <w:p>
      <w:pPr>
        <w:ind w:left="580" w:right="20" w:hanging="573"/>
        <w:spacing w:after="0" w:line="267"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Such amount includes $1,000,000, or $0.20 per unit, (or $1,150,000 if the underwriters’ over-allotment option is exercised in full) payable to the underwriters for deferred underwriting commissions upon completion of a business combination.</w:t>
      </w:r>
    </w:p>
    <w:p>
      <w:pPr>
        <w:spacing w:after="0" w:line="179" w:lineRule="exact"/>
        <w:rPr>
          <w:rFonts w:ascii="Arial" w:cs="Arial" w:eastAsia="Arial" w:hAnsi="Arial"/>
          <w:sz w:val="18"/>
          <w:szCs w:val="18"/>
          <w:color w:val="auto"/>
        </w:rPr>
      </w:pPr>
    </w:p>
    <w:p>
      <w:pPr>
        <w:ind w:left="580" w:hanging="573"/>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offering expenses are estimated at $475,000.</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underwriting discount, we have agreed to pay for the FINRA-related fees and expenses of the underwriters’ legal counsel and certain diligence and other fees, including reimbursement for background checks on our directors, director nominees and executive officers, which such fees and expenses are capped at an aggregate of $[____].</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 discounts or commissions will be paid on the sale of the private units.</w:t>
      </w:r>
    </w:p>
    <w:p>
      <w:pPr>
        <w:spacing w:after="0" w:line="220"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Chardan Capital Markets, LLC purchased an interest in M SPAC LLC which entitles it to the beneficial interest in 75,000 insider shares. Chardan Capital Markets, LLC paid an aggregate of $150.00 for such interest.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Unit Program</w:t>
      </w:r>
    </w:p>
    <w:p>
      <w:pPr>
        <w:spacing w:after="0" w:line="2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At our request, the underwriters have reserved up to 500,000 units for sale at the initial public offering price through a directed unit program to our officers and directors and their respective affiliates. The number of units available for sale to the public will be reduced by the number of directed units purchased by participants in the program, if any. To the extent the directed units are not purchased pursuant to the directed unit program, the units will be offered by the underwriters to the public on the same basis as all other units. Members of our management team (either directly or through affiliates), currently intend to purchase the entire 500,000 units offered pursuant to the directed unit program.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Option</w:t>
      </w:r>
    </w:p>
    <w:p>
      <w:pPr>
        <w:spacing w:after="0" w:line="226"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We have agreed to sell to Chardan Capital Markets, LLC (and/or its designees), for $100, an option to purchase up to a total of 500,000 units exercisable at $12.00 per unit (or an aggregate exercise price of $6,000,000) commencing on the later of the consummation of a business combination and six months from the date of this prospectus. The purchase option may be exercised for cash or on a cashless basis, at the holder’s option, and expires five years from the effective date of the registration statement of which this prospectus forms a part. The option and the 500,000 units, as well as the 500,000 shares of common stock 500,000 warrants that may be issued upon exercise of the option, have been deemed compensation by FINRA and are therefore subject to a 180-day lock-up pursuant to Rule 5110(g)(1) of FINRA’s NASD Conduct Rules. Additionally, the option may not be sold, transferred, assigned, pledged or hypothecated for a one-year period (including the foregoing 180-day period) following the date of this prospectus except to any underwriter and selected dealer participating in the offering and their bona fide officers or partners. The option grants to holders demand and “piggy back” rights for periods of five and seven years, respectively, from the effective date of the registration statement of which this prospectus forms a part with respect to the registration under the Securities Act of the securities directly and indirectly issuable upon exercise of the option. We will bear all fees and expenses attendant to registering the securities, other than underwriting commissions which will be paid for by the holders themselves. The exercise price and number of units issuable upon exercise of the option may be adjusted in certain circumstances including in the event of a stock dividend, or our recapitalization, reorganization, merger or consolidation. However, the option will not be adjusted for issuances of common stock at a price below its exercise price.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Regulatory Restrictions on Purchase of Securities</w:t>
      </w:r>
    </w:p>
    <w:p>
      <w:pPr>
        <w:spacing w:after="0" w:line="226"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Rules of the SEC may limit the ability of the underwriters to bid for or purchase our units before the distribution of the units is completed. However, the underwriters may engage in the following activities in accordance with the rules:</w:t>
      </w:r>
    </w:p>
    <w:p>
      <w:pPr>
        <w:spacing w:after="0" w:line="180" w:lineRule="exact"/>
        <w:rPr>
          <w:sz w:val="20"/>
          <w:szCs w:val="20"/>
          <w:color w:val="auto"/>
        </w:rPr>
      </w:pPr>
    </w:p>
    <w:p>
      <w:pPr>
        <w:ind w:left="580" w:hanging="333"/>
        <w:spacing w:after="0" w:line="297" w:lineRule="auto"/>
        <w:tabs>
          <w:tab w:leader="none" w:pos="5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Stabilizing Transactions. The underwriters may make bids or purchases solely for the purpose of preventing or retarding a decline in the price of our units, as long as stabilizing bids do not exceed the offering price of $10.00 and the underwriters comply with all other applicable rules.</w:t>
      </w:r>
    </w:p>
    <w:p>
      <w:pPr>
        <w:spacing w:after="0" w:line="156" w:lineRule="exact"/>
        <w:rPr>
          <w:rFonts w:ascii="Arial" w:cs="Arial" w:eastAsia="Arial" w:hAnsi="Arial"/>
          <w:sz w:val="17"/>
          <w:szCs w:val="17"/>
          <w:color w:val="auto"/>
        </w:rPr>
      </w:pPr>
    </w:p>
    <w:p>
      <w:pPr>
        <w:jc w:val="both"/>
        <w:ind w:left="580" w:hanging="333"/>
        <w:spacing w:after="0" w:line="265" w:lineRule="auto"/>
        <w:tabs>
          <w:tab w:leader="none" w:pos="5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Over-Allotments and Syndicate Coverage Transactions. The underwriters may create a short position in our units by selling more of our units than are set forth on the cover page of this prospectus up to the amount of the over-allotment option. This is known as a covered short position. The underwriters may also create a short position in our units by selling more of our units than are set forth on the cover page of this prospectus and the units allowed by the over-allotment option. This is known as a naked short position. If the underwriters create a short position during the offering, the representative may engage in syndicate covering transactions by purchasing our units in the open market. The representative may also elect to reduce any short position by exercising all or part of the over-allotment option. Determining what method to use in reducing the short position depends on how the units trade in the aftermarket following the offering. If the unit price drops following the offering, the short position is usually covered with shares purchased by the underwriters in the aftermarket. However, the underwriters may cover a short position by exercising the over-allotment option even if the unit price drops following the offering. If the unit price rises after the offering, then the over-allotment option is used to cover the short position. If the short position is more than the over-allotment option, the naked short must be covered by purchases in the aftermarket, which could be at prices above the offering price.</w:t>
      </w:r>
    </w:p>
    <w:p>
      <w:pPr>
        <w:spacing w:after="0" w:line="186" w:lineRule="exact"/>
        <w:rPr>
          <w:rFonts w:ascii="Arial" w:cs="Arial" w:eastAsia="Arial" w:hAnsi="Arial"/>
          <w:sz w:val="17"/>
          <w:szCs w:val="17"/>
          <w:color w:val="auto"/>
        </w:rPr>
      </w:pPr>
    </w:p>
    <w:p>
      <w:pPr>
        <w:ind w:left="580" w:hanging="333"/>
        <w:spacing w:after="0" w:line="267" w:lineRule="auto"/>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Penalty Bids. The representative may reclaim a selling concession from a syndicate member when the units originally sold by the syndicate member are purchased in a stabilizing or syndicate covering transaction to cover syndicate short positions.</w:t>
      </w:r>
    </w:p>
    <w:p>
      <w:pPr>
        <w:spacing w:after="0" w:line="180"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Stabilization and syndicate covering transactions may cause the price of our securities to be higher than they would be in the absence of these transactions. The imposition of a penalty bid might also have an effect on the prices of our securities if it discourages resales of our securities.</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Neither we nor the underwriters make any representation or prediction as to the effect that the transactions described above may have on the price of our securities. These transactions may occur on Nasdaq, in the over-the-counter market or on any trading market. If any of these transactions are commenced, they may be discontinued without notice at any time.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Terms</w:t>
      </w:r>
    </w:p>
    <w:p>
      <w:pPr>
        <w:spacing w:after="0" w:line="22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Except as set forth above, we are not under any contractual obligation to engage any of the underwriters to provide any services for us after this offering, and have no present intent to do so. However, any of the underwriters may, among other things, introduce us to potential target businesses or assist us in raising additional capital, as needs may arise in the future. If any underwriter provides services to us after this offering, we may pay the underwriter fair and reasonable fees that would be determined at that time in an arm’s length negotiation; provided that no agreement will be entered into with the underwriter and no fees for such services will be paid to the underwriter prior to the date which is 90 days after the date of this prospectus, unless FINRA determines that such payment would not be deemed underwriter’s compensation in connection with this offering.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We have agreed to indemnify the underwriters against some liabilities, including civil liabilities under the Securities Act, or to contribute to payments the underwriters may be required to make in this respect.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 Restrictions</w:t>
      </w:r>
    </w:p>
    <w:p>
      <w:pPr>
        <w:spacing w:after="0" w:line="22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intend to distribute our securities in the Province of Ontario, Canada (the “Canadian Offering Jurisdiction”) by way of a private placement and exempt from the requirement that we prepare and file a prospectus with the securities regulatory authorities in such Canadian Offering Jurisdiction. Any resale of our securities in Canada must be made under applicable securities laws that will vary depending on the relevant jurisdiction, and which may require resales to be made under available statutory exemptions or under a discretionary exemption granted by the applicable Canadian securities regulatory authority. Canadian resale restrictions in some circumstances may apply to resales of interests made outside of Canada. Canadian purchasers are advised to seek legal advice prior to any resale of our securities. We may never be a “reporting issuer”, as such term is defined under applicable Canadian securities legislation, in any province or territory of Canada in which our securities will be offered and there currently is no public market for any of the securities in Canada, and one may never develop. Canadian investors are advised that we have no intention to file a prospectus or similar document with any securities regulatory authority in Canada qualifying the resale of the securities to the public in any province or territory in Canada.</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Representations of Purchasers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A Canadian purchaser will be required to represent to us and the dealer from whom the purchase confirmation is received that:</w:t>
      </w:r>
    </w:p>
    <w:p>
      <w:pPr>
        <w:spacing w:after="0" w:line="220" w:lineRule="exact"/>
        <w:rPr>
          <w:sz w:val="20"/>
          <w:szCs w:val="20"/>
          <w:color w:val="auto"/>
        </w:rPr>
      </w:pPr>
    </w:p>
    <w:p>
      <w:pPr>
        <w:ind w:left="580" w:hanging="333"/>
        <w:spacing w:after="0" w:line="267" w:lineRule="auto"/>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purchaser is entitled under applicable provincial securities laws to purchase our securities without the benefit of a prospectus qualified under those securities laws;</w:t>
      </w:r>
    </w:p>
    <w:p>
      <w:pPr>
        <w:spacing w:after="0" w:line="179" w:lineRule="exact"/>
        <w:rPr>
          <w:rFonts w:ascii="Arial" w:cs="Arial" w:eastAsia="Arial" w:hAnsi="Arial"/>
          <w:sz w:val="18"/>
          <w:szCs w:val="18"/>
          <w:color w:val="auto"/>
        </w:rPr>
      </w:pPr>
    </w:p>
    <w:p>
      <w:pPr>
        <w:ind w:left="580" w:hanging="333"/>
        <w:spacing w:after="0"/>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where required by law, that the purchaser is purchasing as principal and not as agent;</w:t>
      </w:r>
    </w:p>
    <w:p>
      <w:pPr>
        <w:spacing w:after="0" w:line="219" w:lineRule="exact"/>
        <w:rPr>
          <w:rFonts w:ascii="Arial" w:cs="Arial" w:eastAsia="Arial" w:hAnsi="Arial"/>
          <w:sz w:val="18"/>
          <w:szCs w:val="18"/>
          <w:color w:val="auto"/>
        </w:rPr>
      </w:pPr>
    </w:p>
    <w:p>
      <w:pPr>
        <w:ind w:left="580" w:hanging="333"/>
        <w:spacing w:after="0"/>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 and</w:t>
      </w:r>
    </w:p>
    <w:p>
      <w:pPr>
        <w:spacing w:after="0" w:line="219" w:lineRule="exact"/>
        <w:rPr>
          <w:rFonts w:ascii="Arial" w:cs="Arial" w:eastAsia="Arial" w:hAnsi="Arial"/>
          <w:sz w:val="18"/>
          <w:szCs w:val="18"/>
          <w:color w:val="auto"/>
        </w:rPr>
      </w:pPr>
    </w:p>
    <w:p>
      <w:pPr>
        <w:ind w:left="580" w:hanging="333"/>
        <w:spacing w:after="0" w:line="267" w:lineRule="auto"/>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purchaser acknowledges and consents to the provision of specified information concerning its purchase of our securities to the regulatory authority that by law is entitled to collect the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of Action — Ontario Purchasers Only</w:t>
      </w:r>
    </w:p>
    <w:p>
      <w:pPr>
        <w:spacing w:after="0" w:line="22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Under Ontario securities legislation, certain purchasers who purchase a security offered by this prospectus during the period of distribution will have a statutory right of action for damages, or while still the owner of our securities, for rescission against us in the event that this prospectus contains a misrepresentation without regard to whether the purchaser relied on the misrepresentation. The right of action for damages is exercisable not later than the earlier of 180 days from the date the purchaser first had knowledge of the facts giving rise to the cause of action and three years from the date on which payment is made for our securities. The right of action for rescission is exercisable not later than 180 days from the date on which payment is made for our securities. If a purchaser elects to exercise the right of action for rescission, the purchaser will have no right of action for damages against us. In no case will the amount recoverable in any action exceed the price at which our securities were offered to the purchaser and if the purchaser is shown to have purchased the securities with knowledge of the misrepresentation, we will have no liability. In the case of an action for damages, we will not be liable for all or any portion of the damages that are proven to not represent the depreciation in value of our securities as a result of the misrepresentation relied upon. These rights are in addition to, and without derogation from, any other rights or remedies available at law to an Ontario purchaser. The foregoing is a summary of the rights available to an Ontario purchaser. Ontario purchasers should refer to the complete text of the relevant statutory provisions.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Enforcement of Legal Rights</w:t>
      </w:r>
    </w:p>
    <w:p>
      <w:pPr>
        <w:spacing w:after="0" w:line="2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 of our directors and officers as well as the experts named herein are located outside of Canada and, as a result, it may not be possible for Canadian purchasers to effect service of process within Canada upon us or those persons. All of our assets and the assets of those persons are located outside of Canada and, as a result, it may not be possible to satisfy a judgment against us or those persons in Canada or to enforce a judgment obtained in Canadian courts against us or those persons outside of Canada.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Collection of Personal Information</w:t>
      </w:r>
    </w:p>
    <w:p>
      <w:pPr>
        <w:spacing w:after="0" w:line="22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If a Canadian purchaser is resident in or otherwise subject to the securities laws of the Province of Ontario, the Purchaser authorizes the indirect collection of personal information pertaining to the Canadian purchaser by the Ontario Securities Commission (the “OSC”) and each Canadian purchaser will be required to acknowledge and agree that the Canadian purchaser has been notified by us (i) of the delivery to the OSC of personal information pertaining to the Canadian purchaser, including, without limitation, the full name, residential address and telephone number of the Canadian purchaser, the number and type of securities purchased and the total purchase price paid in respect of the securities, (ii) that this information is being collected indirectly by the OSC under the authority granted to it in securities legislation, (iii) that this information is being collected for the purposes of the administration and enforcement of the securities legislation of Ontario, and (iv) that the title, business address and business telephone number of the public official in Ontario who can answer questions about the OSC’s indirect collection of the information is the Administrative Assistant to the Director of Corporate Finance, the Ontario Securities Commission, Suite 1903, Box 5520, Queen Street West, Toronto, Ontario, M5H 3S8, Telephone: (416) 593-8086, Facsimile: (416) 593-8252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Loeb &amp; Loeb LLP, New York, New York, is acting as counsel in connection with the registration of our securities under the Securities Act, and as such, will pass upon the validity of the securities offered in this prospectus. In connection with this offering, McDermott Will &amp; Emery is acting as counsel to the underwriters.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financial statements of M I Acquisitions, Inc. as of September 11, 2015 and for the period from April 23, 2015 (inception) through September 11, 2015 appearing in this prospectus have been audited by Marcum LLP, independent registered public accounting firm, as set forth in their report, thereon (which contains an explanatory paragraph relating to substantial doubt about the ability of M I Acquisitions, Inc. to continue as a going concern, as described in Note 1 to the financial statements), appearing elsewhere in this prospectus, and are included in reliance upon such report given on the authority of such firm as experts in accounting and auditing.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units we are offering by this prospectus. This prospectus does not contain all of the information included in the registration statement. For further information about us and our shares,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www.sec.gov. You may also read and copy any document we file with the SEC at its public reference facility at 100 F Street, N.E., Washington, D.C. 20549.</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You may also obtain copies of the documents at prescribed rates by writing to the Public Reference Section of the SEC at 100 F Street, N.E., Washington, D.C.</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20549. Please call the SEC at 1-800-SEC-0330 for further information on the operation of the public reference facilities.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840" w:type="dxa"/>
            <w:vAlign w:val="bottom"/>
            <w:gridSpan w:val="2"/>
          </w:tcPr>
          <w:p>
            <w:pPr>
              <w:jc w:val="center"/>
              <w:ind w:right="971"/>
              <w:spacing w:after="0"/>
              <w:rPr>
                <w:sz w:val="20"/>
                <w:szCs w:val="20"/>
                <w:color w:val="auto"/>
              </w:rPr>
            </w:pPr>
            <w:r>
              <w:rPr>
                <w:rFonts w:ascii="Arial" w:cs="Arial" w:eastAsia="Arial" w:hAnsi="Arial"/>
                <w:sz w:val="18"/>
                <w:szCs w:val="18"/>
                <w:b w:val="1"/>
                <w:bCs w:val="1"/>
                <w:color w:val="auto"/>
                <w:w w:val="99"/>
              </w:rPr>
              <w:t>INDEX TO FINANCIAL STATEMENTS</w:t>
            </w:r>
          </w:p>
        </w:tc>
        <w:tc>
          <w:tcPr>
            <w:tcW w:w="2280" w:type="dxa"/>
            <w:vAlign w:val="bottom"/>
          </w:tcPr>
          <w:p>
            <w:pPr>
              <w:spacing w:after="0"/>
              <w:rPr>
                <w:sz w:val="20"/>
                <w:szCs w:val="20"/>
                <w:color w:val="auto"/>
              </w:rPr>
            </w:pPr>
          </w:p>
        </w:tc>
      </w:tr>
      <w:tr>
        <w:trPr>
          <w:trHeight w:val="388"/>
        </w:trPr>
        <w:tc>
          <w:tcPr>
            <w:tcW w:w="418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94">
              <w:r>
                <w:rPr>
                  <w:rFonts w:ascii="Arial" w:cs="Arial" w:eastAsia="Arial" w:hAnsi="Arial"/>
                  <w:sz w:val="18"/>
                  <w:szCs w:val="18"/>
                  <w:color w:val="0000EE"/>
                  <w:w w:val="90"/>
                </w:rPr>
                <w:t>Report of Independent Registered Public Accounting Firm</w:t>
              </w:r>
            </w:hyperlink>
          </w:p>
        </w:tc>
        <w:tc>
          <w:tcPr>
            <w:tcW w:w="4960" w:type="dxa"/>
            <w:vAlign w:val="bottom"/>
          </w:tcPr>
          <w:p>
            <w:pPr>
              <w:spacing w:after="0"/>
              <w:rPr>
                <w:sz w:val="24"/>
                <w:szCs w:val="24"/>
                <w:color w:val="auto"/>
              </w:rPr>
            </w:pPr>
          </w:p>
        </w:tc>
        <w:tc>
          <w:tcPr>
            <w:tcW w:w="2280" w:type="dxa"/>
            <w:vAlign w:val="bottom"/>
          </w:tcPr>
          <w:p>
            <w:pPr>
              <w:ind w:left="1880"/>
              <w:spacing w:after="0"/>
              <w:rPr>
                <w:sz w:val="20"/>
                <w:szCs w:val="20"/>
                <w:color w:val="auto"/>
              </w:rPr>
            </w:pPr>
            <w:r>
              <w:rPr>
                <w:rFonts w:ascii="Arial" w:cs="Arial" w:eastAsia="Arial" w:hAnsi="Arial"/>
                <w:sz w:val="18"/>
                <w:szCs w:val="18"/>
                <w:color w:val="auto"/>
              </w:rPr>
              <w:t>F-2</w:t>
            </w:r>
          </w:p>
        </w:tc>
      </w:tr>
      <w:tr>
        <w:trPr>
          <w:trHeight w:val="221"/>
        </w:trPr>
        <w:tc>
          <w:tcPr>
            <w:tcW w:w="9140" w:type="dxa"/>
            <w:vAlign w:val="bottom"/>
            <w:gridSpan w:val="7"/>
          </w:tcPr>
          <w:p>
            <w:pPr>
              <w:spacing w:after="0"/>
              <w:rPr>
                <w:sz w:val="20"/>
                <w:szCs w:val="20"/>
                <w:color w:val="auto"/>
              </w:rPr>
            </w:pPr>
            <w:r>
              <w:rPr>
                <w:rFonts w:ascii="Arial" w:cs="Arial" w:eastAsia="Arial" w:hAnsi="Arial"/>
                <w:sz w:val="18"/>
                <w:szCs w:val="18"/>
                <w:color w:val="auto"/>
              </w:rPr>
              <w:t>Financial Statements:</w:t>
            </w:r>
          </w:p>
        </w:tc>
        <w:tc>
          <w:tcPr>
            <w:tcW w:w="2280" w:type="dxa"/>
            <w:vAlign w:val="bottom"/>
          </w:tcPr>
          <w:p>
            <w:pPr>
              <w:spacing w:after="0"/>
              <w:rPr>
                <w:sz w:val="19"/>
                <w:szCs w:val="19"/>
                <w:color w:val="auto"/>
              </w:rPr>
            </w:pPr>
          </w:p>
        </w:tc>
      </w:tr>
      <w:tr>
        <w:trPr>
          <w:trHeight w:val="186"/>
        </w:trPr>
        <w:tc>
          <w:tcPr>
            <w:tcW w:w="1020" w:type="dxa"/>
            <w:vAlign w:val="bottom"/>
            <w:tcBorders>
              <w:bottom w:val="single" w:sz="8" w:color="0000EE"/>
            </w:tcBorders>
          </w:tcPr>
          <w:p>
            <w:pPr>
              <w:spacing w:after="0" w:line="186" w:lineRule="exact"/>
              <w:rPr>
                <w:rFonts w:ascii="Arial" w:cs="Arial" w:eastAsia="Arial" w:hAnsi="Arial"/>
                <w:sz w:val="18"/>
                <w:szCs w:val="18"/>
                <w:color w:val="0000EE"/>
                <w:w w:val="85"/>
              </w:rPr>
            </w:pPr>
            <w:hyperlink w:anchor="page95">
              <w:r>
                <w:rPr>
                  <w:rFonts w:ascii="Arial" w:cs="Arial" w:eastAsia="Arial" w:hAnsi="Arial"/>
                  <w:sz w:val="18"/>
                  <w:szCs w:val="18"/>
                  <w:color w:val="0000EE"/>
                  <w:w w:val="85"/>
                </w:rPr>
                <w:t>Balance Sheet</w:t>
              </w:r>
            </w:hyperlink>
          </w:p>
        </w:tc>
        <w:tc>
          <w:tcPr>
            <w:tcW w:w="8120" w:type="dxa"/>
            <w:vAlign w:val="bottom"/>
            <w:gridSpan w:val="6"/>
          </w:tcPr>
          <w:p>
            <w:pPr>
              <w:spacing w:after="0"/>
              <w:rPr>
                <w:sz w:val="16"/>
                <w:szCs w:val="16"/>
                <w:color w:val="auto"/>
              </w:rPr>
            </w:pPr>
          </w:p>
        </w:tc>
        <w:tc>
          <w:tcPr>
            <w:tcW w:w="2280" w:type="dxa"/>
            <w:vAlign w:val="bottom"/>
          </w:tcPr>
          <w:p>
            <w:pPr>
              <w:ind w:left="1880"/>
              <w:spacing w:after="0" w:line="186" w:lineRule="exact"/>
              <w:rPr>
                <w:sz w:val="20"/>
                <w:szCs w:val="20"/>
                <w:color w:val="auto"/>
              </w:rPr>
            </w:pPr>
            <w:r>
              <w:rPr>
                <w:rFonts w:ascii="Arial" w:cs="Arial" w:eastAsia="Arial" w:hAnsi="Arial"/>
                <w:sz w:val="18"/>
                <w:szCs w:val="18"/>
                <w:color w:val="auto"/>
              </w:rPr>
              <w:t>F-3</w:t>
            </w:r>
          </w:p>
        </w:tc>
      </w:tr>
      <w:tr>
        <w:trPr>
          <w:trHeight w:val="193"/>
        </w:trPr>
        <w:tc>
          <w:tcPr>
            <w:tcW w:w="1740" w:type="dxa"/>
            <w:vAlign w:val="bottom"/>
            <w:tcBorders>
              <w:bottom w:val="single" w:sz="8" w:color="0000EE"/>
            </w:tcBorders>
            <w:gridSpan w:val="2"/>
          </w:tcPr>
          <w:p>
            <w:pPr>
              <w:spacing w:after="0" w:line="194" w:lineRule="exact"/>
              <w:rPr>
                <w:rFonts w:ascii="Arial" w:cs="Arial" w:eastAsia="Arial" w:hAnsi="Arial"/>
                <w:sz w:val="18"/>
                <w:szCs w:val="18"/>
                <w:color w:val="0000EE"/>
                <w:w w:val="88"/>
              </w:rPr>
            </w:pPr>
            <w:hyperlink w:anchor="page96">
              <w:r>
                <w:rPr>
                  <w:rFonts w:ascii="Arial" w:cs="Arial" w:eastAsia="Arial" w:hAnsi="Arial"/>
                  <w:sz w:val="18"/>
                  <w:szCs w:val="18"/>
                  <w:color w:val="0000EE"/>
                  <w:w w:val="88"/>
                </w:rPr>
                <w:t>Statement of Operations</w:t>
              </w:r>
            </w:hyperlink>
          </w:p>
        </w:tc>
        <w:tc>
          <w:tcPr>
            <w:tcW w:w="7400" w:type="dxa"/>
            <w:vAlign w:val="bottom"/>
            <w:gridSpan w:val="5"/>
          </w:tcPr>
          <w:p>
            <w:pPr>
              <w:spacing w:after="0"/>
              <w:rPr>
                <w:sz w:val="16"/>
                <w:szCs w:val="16"/>
                <w:color w:val="auto"/>
              </w:rPr>
            </w:pPr>
          </w:p>
        </w:tc>
        <w:tc>
          <w:tcPr>
            <w:tcW w:w="2280" w:type="dxa"/>
            <w:vAlign w:val="bottom"/>
          </w:tcPr>
          <w:p>
            <w:pPr>
              <w:ind w:left="1880"/>
              <w:spacing w:after="0" w:line="194" w:lineRule="exact"/>
              <w:rPr>
                <w:sz w:val="20"/>
                <w:szCs w:val="20"/>
                <w:color w:val="auto"/>
              </w:rPr>
            </w:pPr>
            <w:r>
              <w:rPr>
                <w:rFonts w:ascii="Arial" w:cs="Arial" w:eastAsia="Arial" w:hAnsi="Arial"/>
                <w:sz w:val="18"/>
                <w:szCs w:val="18"/>
                <w:color w:val="auto"/>
              </w:rPr>
              <w:t>F-4</w:t>
            </w:r>
          </w:p>
        </w:tc>
      </w:tr>
      <w:tr>
        <w:trPr>
          <w:trHeight w:val="193"/>
        </w:trPr>
        <w:tc>
          <w:tcPr>
            <w:tcW w:w="3300" w:type="dxa"/>
            <w:vAlign w:val="bottom"/>
            <w:tcBorders>
              <w:bottom w:val="single" w:sz="8" w:color="0000EE"/>
            </w:tcBorders>
            <w:gridSpan w:val="5"/>
          </w:tcPr>
          <w:p>
            <w:pPr>
              <w:spacing w:after="0" w:line="194" w:lineRule="exact"/>
              <w:rPr>
                <w:rFonts w:ascii="Arial" w:cs="Arial" w:eastAsia="Arial" w:hAnsi="Arial"/>
                <w:sz w:val="18"/>
                <w:szCs w:val="18"/>
                <w:color w:val="0000EE"/>
                <w:w w:val="89"/>
              </w:rPr>
            </w:pPr>
            <w:hyperlink w:anchor="page97">
              <w:r>
                <w:rPr>
                  <w:rFonts w:ascii="Arial" w:cs="Arial" w:eastAsia="Arial" w:hAnsi="Arial"/>
                  <w:sz w:val="18"/>
                  <w:szCs w:val="18"/>
                  <w:color w:val="0000EE"/>
                  <w:w w:val="89"/>
                </w:rPr>
                <w:t>Statement of Changes in Stockholder’s Equity</w:t>
              </w:r>
            </w:hyperlink>
          </w:p>
        </w:tc>
        <w:tc>
          <w:tcPr>
            <w:tcW w:w="5840" w:type="dxa"/>
            <w:vAlign w:val="bottom"/>
            <w:gridSpan w:val="2"/>
          </w:tcPr>
          <w:p>
            <w:pPr>
              <w:spacing w:after="0"/>
              <w:rPr>
                <w:sz w:val="16"/>
                <w:szCs w:val="16"/>
                <w:color w:val="auto"/>
              </w:rPr>
            </w:pPr>
          </w:p>
        </w:tc>
        <w:tc>
          <w:tcPr>
            <w:tcW w:w="2280" w:type="dxa"/>
            <w:vAlign w:val="bottom"/>
          </w:tcPr>
          <w:p>
            <w:pPr>
              <w:ind w:left="1880"/>
              <w:spacing w:after="0" w:line="194" w:lineRule="exact"/>
              <w:rPr>
                <w:sz w:val="20"/>
                <w:szCs w:val="20"/>
                <w:color w:val="auto"/>
              </w:rPr>
            </w:pPr>
            <w:r>
              <w:rPr>
                <w:rFonts w:ascii="Arial" w:cs="Arial" w:eastAsia="Arial" w:hAnsi="Arial"/>
                <w:sz w:val="18"/>
                <w:szCs w:val="18"/>
                <w:color w:val="auto"/>
              </w:rPr>
              <w:t>F-5</w:t>
            </w:r>
          </w:p>
        </w:tc>
      </w:tr>
      <w:tr>
        <w:trPr>
          <w:trHeight w:val="193"/>
        </w:trPr>
        <w:tc>
          <w:tcPr>
            <w:tcW w:w="9140" w:type="dxa"/>
            <w:vAlign w:val="bottom"/>
            <w:gridSpan w:val="7"/>
          </w:tcPr>
          <w:p>
            <w:pPr>
              <w:spacing w:after="0" w:line="194" w:lineRule="exact"/>
              <w:rPr>
                <w:rFonts w:ascii="Arial" w:cs="Arial" w:eastAsia="Arial" w:hAnsi="Arial"/>
                <w:sz w:val="18"/>
                <w:szCs w:val="18"/>
                <w:color w:val="0000EE"/>
              </w:rPr>
            </w:pPr>
            <w:hyperlink w:anchor="page98">
              <w:r>
                <w:rPr>
                  <w:rFonts w:ascii="Arial" w:cs="Arial" w:eastAsia="Arial" w:hAnsi="Arial"/>
                  <w:sz w:val="18"/>
                  <w:szCs w:val="18"/>
                  <w:color w:val="0000EE"/>
                </w:rPr>
                <w:t>Statement of Cash Flows</w:t>
              </w:r>
            </w:hyperlink>
          </w:p>
        </w:tc>
        <w:tc>
          <w:tcPr>
            <w:tcW w:w="2280" w:type="dxa"/>
            <w:vAlign w:val="bottom"/>
          </w:tcPr>
          <w:p>
            <w:pPr>
              <w:ind w:left="1880"/>
              <w:spacing w:after="0" w:line="194" w:lineRule="exact"/>
              <w:rPr>
                <w:sz w:val="20"/>
                <w:szCs w:val="20"/>
                <w:color w:val="auto"/>
              </w:rPr>
            </w:pPr>
            <w:r>
              <w:rPr>
                <w:rFonts w:ascii="Arial" w:cs="Arial" w:eastAsia="Arial" w:hAnsi="Arial"/>
                <w:sz w:val="18"/>
                <w:szCs w:val="18"/>
                <w:color w:val="auto"/>
              </w:rPr>
              <w:t>F-6</w:t>
            </w:r>
          </w:p>
        </w:tc>
      </w:tr>
      <w:tr>
        <w:trPr>
          <w:trHeight w:val="20"/>
        </w:trPr>
        <w:tc>
          <w:tcPr>
            <w:tcW w:w="17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0" w:type="dxa"/>
            <w:vAlign w:val="bottom"/>
            <w:gridSpan w:val="3"/>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3"/>
        </w:trPr>
        <w:tc>
          <w:tcPr>
            <w:tcW w:w="9140" w:type="dxa"/>
            <w:vAlign w:val="bottom"/>
            <w:gridSpan w:val="7"/>
          </w:tcPr>
          <w:p>
            <w:pPr>
              <w:spacing w:after="0" w:line="194" w:lineRule="exact"/>
              <w:rPr>
                <w:rFonts w:ascii="Arial" w:cs="Arial" w:eastAsia="Arial" w:hAnsi="Arial"/>
                <w:sz w:val="18"/>
                <w:szCs w:val="18"/>
                <w:color w:val="0000EE"/>
              </w:rPr>
            </w:pPr>
            <w:hyperlink w:anchor="page99">
              <w:r>
                <w:rPr>
                  <w:rFonts w:ascii="Arial" w:cs="Arial" w:eastAsia="Arial" w:hAnsi="Arial"/>
                  <w:sz w:val="18"/>
                  <w:szCs w:val="18"/>
                  <w:color w:val="0000EE"/>
                </w:rPr>
                <w:t>Notes to Financial Statements</w:t>
              </w:r>
            </w:hyperlink>
          </w:p>
        </w:tc>
        <w:tc>
          <w:tcPr>
            <w:tcW w:w="2280" w:type="dxa"/>
            <w:vAlign w:val="bottom"/>
          </w:tcPr>
          <w:p>
            <w:pPr>
              <w:ind w:left="1880"/>
              <w:spacing w:after="0" w:line="194" w:lineRule="exact"/>
              <w:rPr>
                <w:sz w:val="20"/>
                <w:szCs w:val="20"/>
                <w:color w:val="auto"/>
              </w:rPr>
            </w:pPr>
            <w:r>
              <w:rPr>
                <w:rFonts w:ascii="Arial" w:cs="Arial" w:eastAsia="Arial" w:hAnsi="Arial"/>
                <w:sz w:val="18"/>
                <w:szCs w:val="18"/>
                <w:color w:val="auto"/>
              </w:rPr>
              <w:t>F-7</w:t>
            </w:r>
          </w:p>
        </w:tc>
      </w:tr>
      <w:tr>
        <w:trPr>
          <w:trHeight w:val="680"/>
        </w:trPr>
        <w:tc>
          <w:tcPr>
            <w:tcW w:w="102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jc w:val="center"/>
              <w:ind w:right="1791"/>
              <w:spacing w:after="0"/>
              <w:rPr>
                <w:sz w:val="20"/>
                <w:szCs w:val="20"/>
                <w:color w:val="auto"/>
              </w:rPr>
            </w:pPr>
            <w:r>
              <w:rPr>
                <w:rFonts w:ascii="Arial" w:cs="Arial" w:eastAsia="Arial" w:hAnsi="Arial"/>
                <w:sz w:val="18"/>
                <w:szCs w:val="18"/>
                <w:color w:val="auto"/>
                <w:w w:val="88"/>
              </w:rPr>
              <w:t>F-1</w:t>
            </w: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68"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 of</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0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have audited the accompanying balance sheet of M I Acquisitions, Inc. (the “Company”) as of September 11, 2015, and the related statements of operations, changes in stockholder’s equity and cash flows for the period from April 23, 2015 (inception) through September 11, 2015. These financial statements are the responsibility of the Company’s management. Our responsibility is to express an opinion on these financial statements based on our audit.</w:t>
      </w:r>
    </w:p>
    <w:p>
      <w:pPr>
        <w:spacing w:after="0" w:line="15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M I Acquisitions, Inc., as of September 11, 2015, and the results of its operations and its cash flows for the period from April 23, 2015 (inception) through September 11, 2015 in conformity with accounting principles generally accepted in the United States of America.</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accompanying financial statements have been prepared assuming the Company will continue as a going concern. As discussed in Note 1 to the financial statements, the Company has no present revenue, its business plan is dependent on the completion of a financing and the Company’s cash and working capital as of September 11, 2015 are not sufficient to complete its planned activities for the upcoming year. These conditions raise substantial doubt about the Company’s ability to continue as a going concern. Management’s plans regarding these matters are also described in Notes 1 and 3. These financial statements do not include any adjustments that might result from the outcome of this uncertainty.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/s/Marcum </w:t>
      </w:r>
      <w:r>
        <w:rPr>
          <w:rFonts w:ascii="Arial" w:cs="Arial" w:eastAsia="Arial" w:hAnsi="Arial"/>
          <w:sz w:val="12"/>
          <w:szCs w:val="12"/>
          <w:color w:val="auto"/>
        </w:rPr>
        <w:t>LLP</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October 9, 2015</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94" w:name="page95"/>
    <w:bookmarkEnd w:id="9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80" w:right="580"/>
        <w:spacing w:after="0" w:line="253" w:lineRule="auto"/>
        <w:rPr>
          <w:sz w:val="20"/>
          <w:szCs w:val="20"/>
          <w:color w:val="auto"/>
        </w:rPr>
      </w:pPr>
      <w:r>
        <w:rPr>
          <w:rFonts w:ascii="Arial" w:cs="Arial" w:eastAsia="Arial" w:hAnsi="Arial"/>
          <w:sz w:val="18"/>
          <w:szCs w:val="18"/>
          <w:color w:val="auto"/>
        </w:rPr>
        <w:t>Current asset: cash and cash equivalents Deferred offering costs</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br w:type="column"/>
      </w:r>
    </w:p>
    <w:p>
      <w:pPr>
        <w:jc w:val="center"/>
        <w:ind w:right="4340"/>
        <w:spacing w:after="0"/>
        <w:rPr>
          <w:sz w:val="20"/>
          <w:szCs w:val="20"/>
          <w:color w:val="auto"/>
        </w:rPr>
      </w:pPr>
      <w:r>
        <w:rPr>
          <w:rFonts w:ascii="Arial" w:cs="Arial" w:eastAsia="Arial" w:hAnsi="Arial"/>
          <w:sz w:val="18"/>
          <w:szCs w:val="18"/>
          <w:b w:val="1"/>
          <w:bCs w:val="1"/>
          <w:color w:val="auto"/>
        </w:rPr>
        <w:t>M I Acquisitions, Inc.</w:t>
      </w:r>
    </w:p>
    <w:p>
      <w:pPr>
        <w:spacing w:after="0" w:line="23" w:lineRule="exact"/>
        <w:rPr>
          <w:sz w:val="20"/>
          <w:szCs w:val="20"/>
          <w:color w:val="auto"/>
        </w:rPr>
      </w:pPr>
    </w:p>
    <w:p>
      <w:pPr>
        <w:jc w:val="center"/>
        <w:ind w:right="4340"/>
        <w:spacing w:after="0"/>
        <w:rPr>
          <w:sz w:val="20"/>
          <w:szCs w:val="20"/>
          <w:color w:val="auto"/>
        </w:rPr>
      </w:pPr>
      <w:r>
        <w:rPr>
          <w:rFonts w:ascii="Arial" w:cs="Arial" w:eastAsia="Arial" w:hAnsi="Arial"/>
          <w:sz w:val="18"/>
          <w:szCs w:val="18"/>
          <w:b w:val="1"/>
          <w:bCs w:val="1"/>
          <w:color w:val="auto"/>
        </w:rPr>
        <w:t>Balance Sheet</w:t>
      </w:r>
    </w:p>
    <w:p>
      <w:pPr>
        <w:spacing w:after="0" w:line="6" w:lineRule="exact"/>
        <w:rPr>
          <w:sz w:val="20"/>
          <w:szCs w:val="20"/>
          <w:color w:val="auto"/>
        </w:rPr>
      </w:pPr>
    </w:p>
    <w:p>
      <w:pPr>
        <w:jc w:val="center"/>
        <w:ind w:right="4340"/>
        <w:spacing w:after="0"/>
        <w:rPr>
          <w:sz w:val="20"/>
          <w:szCs w:val="20"/>
          <w:color w:val="auto"/>
        </w:rPr>
      </w:pPr>
      <w:r>
        <w:rPr>
          <w:rFonts w:ascii="Arial" w:cs="Arial" w:eastAsia="Arial" w:hAnsi="Arial"/>
          <w:sz w:val="18"/>
          <w:szCs w:val="18"/>
          <w:b w:val="1"/>
          <w:bCs w:val="1"/>
          <w:color w:val="auto"/>
        </w:rPr>
        <w:t>September 11, 2015</w:t>
      </w:r>
    </w:p>
    <w:p>
      <w:pPr>
        <w:spacing w:after="0" w:line="203" w:lineRule="exact"/>
        <w:rPr>
          <w:sz w:val="20"/>
          <w:szCs w:val="20"/>
          <w:color w:val="auto"/>
        </w:rPr>
      </w:pPr>
    </w:p>
    <w:p>
      <w:pPr>
        <w:ind w:left="1140"/>
        <w:spacing w:after="0"/>
        <w:rPr>
          <w:sz w:val="20"/>
          <w:szCs w:val="20"/>
          <w:color w:val="auto"/>
        </w:rPr>
      </w:pPr>
      <w:r>
        <w:rPr>
          <w:rFonts w:ascii="Arial" w:cs="Arial" w:eastAsia="Arial" w:hAnsi="Arial"/>
          <w:sz w:val="18"/>
          <w:szCs w:val="18"/>
          <w:b w:val="1"/>
          <w:bCs w:val="1"/>
          <w:u w:val="single" w:color="auto"/>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-2750820</wp:posOffset>
            </wp:positionH>
            <wp:positionV relativeFrom="paragraph">
              <wp:posOffset>-119380</wp:posOffset>
            </wp:positionV>
            <wp:extent cx="7248525" cy="135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8525" cy="135255"/>
                    </a:xfrm>
                    <a:prstGeom prst="rect">
                      <a:avLst/>
                    </a:prstGeom>
                    <a:noFill/>
                  </pic:spPr>
                </pic:pic>
              </a:graphicData>
            </a:graphic>
          </wp:anchor>
        </w:drawing>
      </w:r>
    </w:p>
    <w:p>
      <w:pPr>
        <w:spacing w:after="0" w:line="206" w:lineRule="exact"/>
        <w:rPr>
          <w:sz w:val="20"/>
          <w:szCs w:val="20"/>
          <w:color w:val="auto"/>
        </w:rPr>
      </w:pPr>
    </w:p>
    <w:p>
      <w:pPr>
        <w:jc w:val="both"/>
        <w:ind w:left="5840"/>
        <w:spacing w:after="0"/>
        <w:tabs>
          <w:tab w:leader="none" w:pos="65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-2750820</wp:posOffset>
            </wp:positionH>
            <wp:positionV relativeFrom="paragraph">
              <wp:posOffset>-123190</wp:posOffset>
            </wp:positionV>
            <wp:extent cx="7248525" cy="135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8525" cy="135255"/>
                    </a:xfrm>
                    <a:prstGeom prst="rect">
                      <a:avLst/>
                    </a:prstGeom>
                    <a:noFill/>
                  </pic:spPr>
                </pic:pic>
              </a:graphicData>
            </a:graphic>
          </wp:anchor>
        </w:drawing>
      </w:r>
    </w:p>
    <w:p>
      <w:pPr>
        <w:jc w:val="right"/>
        <w:ind w:right="100"/>
        <w:spacing w:after="0"/>
        <w:rPr>
          <w:sz w:val="20"/>
          <w:szCs w:val="20"/>
          <w:color w:val="auto"/>
        </w:rPr>
      </w:pPr>
      <w:r>
        <w:rPr>
          <w:rFonts w:ascii="Arial" w:cs="Arial" w:eastAsia="Arial" w:hAnsi="Arial"/>
          <w:sz w:val="18"/>
          <w:szCs w:val="18"/>
          <w:color w:val="auto"/>
        </w:rPr>
        <w:t>108,957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-2750820</wp:posOffset>
            </wp:positionH>
            <wp:positionV relativeFrom="paragraph">
              <wp:posOffset>12065</wp:posOffset>
            </wp:positionV>
            <wp:extent cx="7248525" cy="1606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8525" cy="160655"/>
                    </a:xfrm>
                    <a:prstGeom prst="rect">
                      <a:avLst/>
                    </a:prstGeom>
                    <a:noFill/>
                  </pic:spPr>
                </pic:pic>
              </a:graphicData>
            </a:graphic>
          </wp:anchor>
        </w:drawing>
      </w:r>
    </w:p>
    <w:p>
      <w:pPr>
        <w:spacing w:after="0" w:line="7" w:lineRule="exact"/>
        <w:rPr>
          <w:sz w:val="20"/>
          <w:szCs w:val="20"/>
          <w:color w:val="auto"/>
        </w:rPr>
      </w:pPr>
    </w:p>
    <w:p>
      <w:pPr>
        <w:ind w:left="5840"/>
        <w:spacing w:after="0"/>
        <w:tabs>
          <w:tab w:leader="none" w:pos="638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113,957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46990</wp:posOffset>
            </wp:positionV>
            <wp:extent cx="7194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9455"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-2750820</wp:posOffset>
            </wp:positionH>
            <wp:positionV relativeFrom="paragraph">
              <wp:posOffset>-119380</wp:posOffset>
            </wp:positionV>
            <wp:extent cx="7248525" cy="135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8525" cy="135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20" w:space="720"/>
            <w:col w:w="7080"/>
          </w:cols>
          <w:pgMar w:left="240" w:top="868" w:right="239" w:bottom="1440" w:gutter="0" w:footer="0" w:header="0"/>
        </w:sectPr>
      </w:pP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10180" w:type="dxa"/>
            <w:vAlign w:val="bottom"/>
          </w:tcPr>
          <w:p>
            <w:pPr>
              <w:ind w:left="180"/>
              <w:spacing w:after="0"/>
              <w:rPr>
                <w:sz w:val="20"/>
                <w:szCs w:val="20"/>
                <w:color w:val="auto"/>
              </w:rPr>
            </w:pPr>
            <w:r>
              <w:rPr>
                <w:rFonts w:ascii="Arial" w:cs="Arial" w:eastAsia="Arial" w:hAnsi="Arial"/>
                <w:sz w:val="18"/>
                <w:szCs w:val="18"/>
                <w:color w:val="auto"/>
              </w:rPr>
              <w:t>Note payable</w:t>
            </w: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55,000</w:t>
            </w:r>
          </w:p>
        </w:tc>
      </w:tr>
      <w:tr>
        <w:trPr>
          <w:trHeight w:val="227"/>
        </w:trPr>
        <w:tc>
          <w:tcPr>
            <w:tcW w:w="10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 payable – related party</w:t>
            </w: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w:t>
            </w:r>
          </w:p>
        </w:tc>
      </w:tr>
      <w:tr>
        <w:trPr>
          <w:trHeight w:val="207"/>
        </w:trPr>
        <w:tc>
          <w:tcPr>
            <w:tcW w:w="10180" w:type="dxa"/>
            <w:vAlign w:val="bottom"/>
            <w:tcBorders>
              <w:bottom w:val="single" w:sz="8" w:color="CCEEFF"/>
            </w:tcBorders>
          </w:tcPr>
          <w:p>
            <w:pPr>
              <w:ind w:left="280"/>
              <w:spacing w:after="0"/>
              <w:rPr>
                <w:sz w:val="20"/>
                <w:szCs w:val="20"/>
                <w:color w:val="auto"/>
              </w:rPr>
            </w:pPr>
            <w:r>
              <w:rPr>
                <w:rFonts w:ascii="Arial" w:cs="Arial" w:eastAsia="Arial" w:hAnsi="Arial"/>
                <w:sz w:val="18"/>
                <w:szCs w:val="18"/>
                <w:b w:val="1"/>
                <w:bCs w:val="1"/>
                <w:color w:val="auto"/>
              </w:rPr>
              <w:t>Total Current Liabilities</w:t>
            </w:r>
          </w:p>
        </w:tc>
        <w:tc>
          <w:tcPr>
            <w:tcW w:w="3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90,000</w:t>
            </w:r>
          </w:p>
        </w:tc>
        <w:tc>
          <w:tcPr>
            <w:tcW w:w="100" w:type="dxa"/>
            <w:vAlign w:val="bottom"/>
            <w:tcBorders>
              <w:bottom w:val="single" w:sz="8" w:color="CCEEFF"/>
            </w:tcBorders>
          </w:tcPr>
          <w:p>
            <w:pPr>
              <w:spacing w:after="0"/>
              <w:rPr>
                <w:sz w:val="17"/>
                <w:szCs w:val="17"/>
                <w:color w:val="auto"/>
              </w:rPr>
            </w:pPr>
          </w:p>
        </w:tc>
      </w:tr>
      <w:tr>
        <w:trPr>
          <w:trHeight w:val="207"/>
        </w:trPr>
        <w:tc>
          <w:tcPr>
            <w:tcW w:w="10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rPr>
          <w:sz w:val="20"/>
          <w:szCs w:val="20"/>
          <w:color w:val="auto"/>
        </w:rPr>
      </w:pPr>
      <w:r>
        <w:rPr>
          <w:rFonts w:ascii="Arial" w:cs="Arial" w:eastAsia="Arial" w:hAnsi="Arial"/>
          <w:sz w:val="18"/>
          <w:szCs w:val="18"/>
          <w:b w:val="1"/>
          <w:bCs w:val="1"/>
          <w:color w:val="auto"/>
        </w:rPr>
        <w:t>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248525" cy="135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8525" cy="13525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type w:val="continuous"/>
        </w:sect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Equity:</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Common stock, $0.001 par value; 50,000,000 shares authorized; 1,437,500 shares issued and outstanding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7248525" cy="135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8525" cy="135255"/>
                    </a:xfrm>
                    <a:prstGeom prst="rect">
                      <a:avLst/>
                    </a:prstGeom>
                    <a:noFill/>
                  </pic:spPr>
                </pic:pic>
              </a:graphicData>
            </a:graphic>
          </wp:anchor>
        </w:drawing>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Additional paid in capital</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248525" cy="144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8525" cy="14414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b w:val="1"/>
          <w:bCs w:val="1"/>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248525" cy="144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8525" cy="14414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227330</wp:posOffset>
            </wp:positionV>
            <wp:extent cx="14478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4478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1,438</w:t>
      </w:r>
    </w:p>
    <w:p>
      <w:pPr>
        <w:spacing w:after="0" w:line="1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23,562</w:t>
      </w:r>
    </w:p>
    <w:p>
      <w:pPr>
        <w:spacing w:after="0" w:line="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(1,043)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7194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9455" cy="8255"/>
                    </a:xfrm>
                    <a:prstGeom prst="rect">
                      <a:avLst/>
                    </a:prstGeom>
                    <a:noFill/>
                  </pic:spPr>
                </pic:pic>
              </a:graphicData>
            </a:graphic>
          </wp:anchor>
        </w:drawing>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23,957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155575</wp:posOffset>
            </wp:positionV>
            <wp:extent cx="7194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9455" cy="8255"/>
                    </a:xfrm>
                    <a:prstGeom prst="rect">
                      <a:avLst/>
                    </a:prstGeom>
                    <a:noFill/>
                  </pic:spPr>
                </pic:pic>
              </a:graphicData>
            </a:graphic>
          </wp:anchor>
        </w:drawing>
      </w:r>
    </w:p>
    <w:p>
      <w:pPr>
        <w:spacing w:after="0" w:line="234" w:lineRule="exact"/>
        <w:rPr>
          <w:sz w:val="20"/>
          <w:szCs w:val="20"/>
          <w:color w:val="auto"/>
        </w:rPr>
      </w:pPr>
    </w:p>
    <w:p>
      <w:pPr>
        <w:ind w:left="560" w:hanging="559"/>
        <w:spacing w:after="0"/>
        <w:tabs>
          <w:tab w:leader="none" w:pos="560"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113,957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94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94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40005</wp:posOffset>
            </wp:positionV>
            <wp:extent cx="7194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94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460" w:space="720"/>
            <w:col w:w="1240"/>
          </w:cols>
          <w:pgMar w:left="240" w:top="868" w:right="239" w:bottom="1440" w:gutter="0" w:footer="0" w:header="0"/>
          <w:type w:val="continuous"/>
        </w:sectPr>
      </w:pPr>
    </w:p>
    <w:p>
      <w:pPr>
        <w:spacing w:after="0" w:line="211" w:lineRule="exact"/>
        <w:rPr>
          <w:sz w:val="20"/>
          <w:szCs w:val="20"/>
          <w:color w:val="auto"/>
        </w:rPr>
      </w:pPr>
    </w:p>
    <w:p>
      <w:pPr>
        <w:ind w:left="320" w:right="220" w:hanging="313"/>
        <w:spacing w:after="0" w:line="267" w:lineRule="auto"/>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This number includes an aggregate of up to 187,500 shares of common stock that are subject to forfeiture if the over-allotment option is not exercised by the underwriters.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type w:val="continuous"/>
        </w:sectPr>
      </w:pPr>
    </w:p>
    <w:bookmarkStart w:id="95" w:name="page96"/>
    <w:bookmarkEnd w:id="95"/>
    <w:p>
      <w:pPr>
        <w:ind w:left="4900"/>
        <w:spacing w:after="0"/>
        <w:rPr>
          <w:sz w:val="20"/>
          <w:szCs w:val="20"/>
          <w:color w:val="auto"/>
        </w:rPr>
      </w:pPr>
      <w:r>
        <w:rPr>
          <w:rFonts w:ascii="Arial" w:cs="Arial" w:eastAsia="Arial" w:hAnsi="Arial"/>
          <w:sz w:val="18"/>
          <w:szCs w:val="18"/>
          <w:b w:val="1"/>
          <w:bCs w:val="1"/>
          <w:color w:val="auto"/>
        </w:rPr>
        <w:t>M I Acquisitions, Inc.</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Statement of Operations</w:t>
      </w:r>
    </w:p>
    <w:p>
      <w:pPr>
        <w:spacing w:after="0" w:line="6"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For The Period from April 23, 2015 (Inception) through September 11,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76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914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6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restart"/>
          </w:tcPr>
          <w:p>
            <w:pPr>
              <w:spacing w:after="0"/>
              <w:rPr>
                <w:sz w:val="16"/>
                <w:szCs w:val="16"/>
                <w:color w:val="auto"/>
              </w:rPr>
            </w:pPr>
          </w:p>
        </w:tc>
        <w:tc>
          <w:tcPr>
            <w:tcW w:w="9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20" w:type="dxa"/>
            <w:vAlign w:val="bottom"/>
            <w:vMerge w:val="continue"/>
          </w:tcPr>
          <w:p>
            <w:pPr>
              <w:spacing w:after="0"/>
              <w:rPr>
                <w:sz w:val="24"/>
                <w:szCs w:val="24"/>
                <w:color w:val="auto"/>
              </w:rPr>
            </w:pPr>
          </w:p>
        </w:tc>
        <w:tc>
          <w:tcPr>
            <w:tcW w:w="9140" w:type="dxa"/>
            <w:vAlign w:val="bottom"/>
            <w:tcBorders>
              <w:bottom w:val="single" w:sz="8" w:color="CCEEFF"/>
            </w:tcBorders>
            <w:shd w:val="clear" w:color="auto" w:fill="CCEEFF"/>
          </w:tcPr>
          <w:p>
            <w:pPr>
              <w:spacing w:after="0" w:line="280" w:lineRule="exact"/>
              <w:rPr>
                <w:sz w:val="20"/>
                <w:szCs w:val="20"/>
                <w:color w:val="auto"/>
              </w:rPr>
            </w:pPr>
            <w:r>
              <w:rPr>
                <w:rFonts w:ascii="Arial" w:cs="Arial" w:eastAsia="Arial" w:hAnsi="Arial"/>
                <w:sz w:val="18"/>
                <w:szCs w:val="18"/>
                <w:b w:val="1"/>
                <w:bCs w:val="1"/>
                <w:color w:val="auto"/>
              </w:rPr>
              <w:t xml:space="preserve">Weighted average shares of common stock outstanding - basic and diluted </w:t>
            </w:r>
            <w:r>
              <w:rPr>
                <w:rFonts w:ascii="Arial" w:cs="Arial" w:eastAsia="Arial" w:hAnsi="Arial"/>
                <w:sz w:val="29"/>
                <w:szCs w:val="29"/>
                <w:b w:val="1"/>
                <w:bCs w:val="1"/>
                <w:color w:val="auto"/>
                <w:vertAlign w:val="superscript"/>
              </w:rPr>
              <w:t>(1)</w:t>
            </w:r>
          </w:p>
        </w:tc>
        <w:tc>
          <w:tcPr>
            <w:tcW w:w="76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restart"/>
          </w:tcPr>
          <w:p>
            <w:pPr>
              <w:spacing w:after="0"/>
              <w:rPr>
                <w:sz w:val="16"/>
                <w:szCs w:val="16"/>
                <w:color w:val="auto"/>
              </w:rPr>
            </w:pPr>
          </w:p>
        </w:tc>
        <w:tc>
          <w:tcPr>
            <w:tcW w:w="9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shares of common stock - basic and diluted</w:t>
            </w:r>
          </w:p>
        </w:tc>
        <w:tc>
          <w:tcPr>
            <w:tcW w:w="76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169545</wp:posOffset>
            </wp:positionV>
            <wp:extent cx="14478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447800" cy="8255"/>
                    </a:xfrm>
                    <a:prstGeom prst="rect">
                      <a:avLst/>
                    </a:prstGeom>
                    <a:noFill/>
                  </pic:spPr>
                </pic:pic>
              </a:graphicData>
            </a:graphic>
          </wp:anchor>
        </w:drawing>
      </w:r>
    </w:p>
    <w:p>
      <w:pPr>
        <w:spacing w:after="0" w:line="314" w:lineRule="exact"/>
        <w:rPr>
          <w:sz w:val="20"/>
          <w:szCs w:val="20"/>
          <w:color w:val="auto"/>
        </w:rPr>
      </w:pPr>
    </w:p>
    <w:p>
      <w:pPr>
        <w:ind w:left="320" w:right="200" w:hanging="313"/>
        <w:spacing w:after="0" w:line="267" w:lineRule="auto"/>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This number excludes an aggregate of up to 187,500 shares of common stock that are subject to forfeiture if the over-allotment option is not exercised by the underwriters.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96" w:name="page97"/>
    <w:bookmarkEnd w:id="96"/>
    <w:p>
      <w:pPr>
        <w:jc w:val="center"/>
        <w:ind w:right="80"/>
        <w:spacing w:after="0"/>
        <w:rPr>
          <w:sz w:val="20"/>
          <w:szCs w:val="20"/>
          <w:color w:val="auto"/>
        </w:rPr>
      </w:pPr>
      <w:r>
        <w:rPr>
          <w:rFonts w:ascii="Arial" w:cs="Arial" w:eastAsia="Arial" w:hAnsi="Arial"/>
          <w:sz w:val="18"/>
          <w:szCs w:val="18"/>
          <w:b w:val="1"/>
          <w:bCs w:val="1"/>
          <w:color w:val="auto"/>
        </w:rPr>
        <w:t>M I Acquisitions,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Period from April 23, 2015 (Inception) through September 11, 2015</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240" w:type="dxa"/>
            <w:vAlign w:val="bottom"/>
            <w:gridSpan w:val="5"/>
          </w:tcPr>
          <w:p>
            <w:pPr>
              <w:jc w:val="right"/>
              <w:ind w:right="1100"/>
              <w:spacing w:after="0"/>
              <w:rPr>
                <w:sz w:val="20"/>
                <w:szCs w:val="20"/>
                <w:color w:val="auto"/>
              </w:rPr>
            </w:pPr>
            <w:r>
              <w:rPr>
                <w:rFonts w:ascii="Arial" w:cs="Arial" w:eastAsia="Arial" w:hAnsi="Arial"/>
                <w:sz w:val="18"/>
                <w:szCs w:val="18"/>
                <w:b w:val="1"/>
                <w:bCs w:val="1"/>
                <w:color w:val="auto"/>
              </w:rPr>
              <w:t xml:space="preserve">Common Stock </w:t>
            </w:r>
            <w:r>
              <w:rPr>
                <w:rFonts w:ascii="Arial" w:cs="Arial" w:eastAsia="Arial" w:hAnsi="Arial"/>
                <w:sz w:val="29"/>
                <w:szCs w:val="29"/>
                <w:b w:val="1"/>
                <w:bCs w:val="1"/>
                <w:color w:val="auto"/>
                <w:vertAlign w:val="superscript"/>
              </w:rPr>
              <w:t>(1)</w:t>
            </w:r>
          </w:p>
        </w:tc>
        <w:tc>
          <w:tcPr>
            <w:tcW w:w="18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4"/>
              </w:rPr>
              <w:t>Additional Paid-In</w:t>
            </w:r>
          </w:p>
        </w:tc>
        <w:tc>
          <w:tcPr>
            <w:tcW w:w="100" w:type="dxa"/>
            <w:vAlign w:val="bottom"/>
          </w:tcPr>
          <w:p>
            <w:pPr>
              <w:spacing w:after="0"/>
              <w:rPr>
                <w:sz w:val="24"/>
                <w:szCs w:val="24"/>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Accumulated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620" w:type="dxa"/>
            <w:vAlign w:val="bottom"/>
            <w:gridSpan w:val="2"/>
          </w:tcPr>
          <w:p>
            <w:pPr>
              <w:ind w:left="38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Amount</w:t>
            </w:r>
          </w:p>
        </w:tc>
        <w:tc>
          <w:tcPr>
            <w:tcW w:w="280" w:type="dxa"/>
            <w:vAlign w:val="bottom"/>
          </w:tcPr>
          <w:p>
            <w:pPr>
              <w:spacing w:after="0"/>
              <w:rPr>
                <w:sz w:val="20"/>
                <w:szCs w:val="20"/>
                <w:color w:val="auto"/>
              </w:rPr>
            </w:pPr>
          </w:p>
        </w:tc>
        <w:tc>
          <w:tcPr>
            <w:tcW w:w="154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Capital</w:t>
            </w:r>
          </w:p>
        </w:tc>
        <w:tc>
          <w:tcPr>
            <w:tcW w:w="100" w:type="dxa"/>
            <w:vAlign w:val="bottom"/>
          </w:tcPr>
          <w:p>
            <w:pPr>
              <w:spacing w:after="0"/>
              <w:rPr>
                <w:sz w:val="20"/>
                <w:szCs w:val="20"/>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April 23, 2015 (Inception)</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ind w:right="122"/>
              <w:spacing w:after="0"/>
              <w:rPr>
                <w:sz w:val="20"/>
                <w:szCs w:val="20"/>
                <w:color w:val="auto"/>
              </w:rPr>
            </w:pPr>
            <w:r>
              <w:rPr>
                <w:rFonts w:ascii="Arial" w:cs="Arial" w:eastAsia="Arial" w:hAnsi="Arial"/>
                <w:sz w:val="14"/>
                <w:szCs w:val="14"/>
                <w:b w:val="1"/>
                <w:bCs w:val="1"/>
                <w:color w:val="auto"/>
                <w:w w:val="76"/>
              </w:rPr>
              <w:t>$</w:t>
            </w: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to Initial</w:t>
            </w: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Stockholder</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1,437,500</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23,562</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342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vMerge w:val="continue"/>
          </w:tcPr>
          <w:p>
            <w:pPr>
              <w:spacing w:after="0"/>
              <w:rPr>
                <w:sz w:val="21"/>
                <w:szCs w:val="21"/>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September 11, 2015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14,37,500</w:t>
            </w: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1,438</w:t>
            </w:r>
          </w:p>
        </w:tc>
        <w:tc>
          <w:tcPr>
            <w:tcW w:w="36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22"/>
              <w:spacing w:after="0"/>
              <w:rPr>
                <w:sz w:val="20"/>
                <w:szCs w:val="20"/>
                <w:color w:val="auto"/>
              </w:rPr>
            </w:pPr>
            <w:r>
              <w:rPr>
                <w:rFonts w:ascii="Arial" w:cs="Arial" w:eastAsia="Arial" w:hAnsi="Arial"/>
                <w:sz w:val="14"/>
                <w:szCs w:val="14"/>
                <w:b w:val="1"/>
                <w:bCs w:val="1"/>
                <w:color w:val="auto"/>
                <w:w w:val="76"/>
              </w:rPr>
              <w:t>$</w:t>
            </w: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23,562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(1,043)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23,957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40" w:firstLine="7"/>
        <w:spacing w:after="0" w:line="267" w:lineRule="auto"/>
        <w:tabs>
          <w:tab w:leader="none" w:pos="2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This number includes an aggregate of up to 187,500 shares of common stock that are subject to forfeiture if the over-allotment option is not exercised by the underwriters.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760" w:type="dxa"/>
            <w:vAlign w:val="bottom"/>
          </w:tcPr>
          <w:p>
            <w:pPr>
              <w:ind w:left="540"/>
              <w:spacing w:after="0"/>
              <w:rPr>
                <w:sz w:val="20"/>
                <w:szCs w:val="20"/>
                <w:color w:val="auto"/>
              </w:rPr>
            </w:pPr>
            <w:r>
              <w:rPr>
                <w:rFonts w:ascii="Arial" w:cs="Arial" w:eastAsia="Arial" w:hAnsi="Arial"/>
                <w:sz w:val="18"/>
                <w:szCs w:val="18"/>
                <w:b w:val="1"/>
                <w:bCs w:val="1"/>
                <w:color w:val="auto"/>
              </w:rPr>
              <w:t>M I Acquisitions, Inc.</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760" w:type="dxa"/>
            <w:vAlign w:val="bottom"/>
          </w:tcPr>
          <w:p>
            <w:pPr>
              <w:jc w:val="center"/>
              <w:ind w:right="2871"/>
              <w:spacing w:after="0"/>
              <w:rPr>
                <w:sz w:val="20"/>
                <w:szCs w:val="20"/>
                <w:color w:val="auto"/>
              </w:rPr>
            </w:pPr>
            <w:r>
              <w:rPr>
                <w:rFonts w:ascii="Arial" w:cs="Arial" w:eastAsia="Arial" w:hAnsi="Arial"/>
                <w:sz w:val="18"/>
                <w:szCs w:val="18"/>
                <w:b w:val="1"/>
                <w:bCs w:val="1"/>
                <w:color w:val="auto"/>
                <w:w w:val="87"/>
              </w:rPr>
              <w:t>Statement of Cash Flows</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40" w:type="dxa"/>
            <w:vAlign w:val="bottom"/>
            <w:gridSpan w:val="2"/>
          </w:tcPr>
          <w:p>
            <w:pPr>
              <w:jc w:val="center"/>
              <w:ind w:left="1271"/>
              <w:spacing w:after="0"/>
              <w:rPr>
                <w:sz w:val="20"/>
                <w:szCs w:val="20"/>
                <w:color w:val="auto"/>
              </w:rPr>
            </w:pPr>
            <w:r>
              <w:rPr>
                <w:rFonts w:ascii="Arial" w:cs="Arial" w:eastAsia="Arial" w:hAnsi="Arial"/>
                <w:sz w:val="18"/>
                <w:szCs w:val="18"/>
                <w:b w:val="1"/>
                <w:bCs w:val="1"/>
                <w:color w:val="auto"/>
                <w:w w:val="90"/>
              </w:rPr>
              <w:t>For The Period from April 23, 2015 (Inception) through September 11, 2015</w:t>
            </w: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40" w:type="dxa"/>
            <w:vAlign w:val="bottom"/>
            <w:gridSpan w:val="2"/>
          </w:tcPr>
          <w:p>
            <w:pPr>
              <w:ind w:left="16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40" w:type="dxa"/>
            <w:vAlign w:val="bottom"/>
            <w:gridSpan w:val="2"/>
          </w:tcPr>
          <w:p>
            <w:pPr>
              <w:ind w:left="300"/>
              <w:spacing w:after="0"/>
              <w:rPr>
                <w:sz w:val="20"/>
                <w:szCs w:val="20"/>
                <w:color w:val="auto"/>
              </w:rPr>
            </w:pPr>
            <w:r>
              <w:rPr>
                <w:rFonts w:ascii="Arial" w:cs="Arial" w:eastAsia="Arial" w:hAnsi="Arial"/>
                <w:sz w:val="18"/>
                <w:szCs w:val="18"/>
                <w:color w:val="auto"/>
              </w:rPr>
              <w:t>Formation and organization costs paid by related parties</w:t>
            </w:r>
          </w:p>
        </w:tc>
        <w:tc>
          <w:tcPr>
            <w:tcW w:w="3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004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Net Cash Used In Operating Activities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428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40" w:type="dxa"/>
            <w:vAlign w:val="bottom"/>
            <w:gridSpan w:val="2"/>
          </w:tcPr>
          <w:p>
            <w:pPr>
              <w:ind w:left="160"/>
              <w:spacing w:after="0"/>
              <w:rPr>
                <w:sz w:val="20"/>
                <w:szCs w:val="20"/>
                <w:color w:val="auto"/>
              </w:rPr>
            </w:pPr>
            <w:r>
              <w:rPr>
                <w:rFonts w:ascii="Arial" w:cs="Arial" w:eastAsia="Arial" w:hAnsi="Arial"/>
                <w:sz w:val="18"/>
                <w:szCs w:val="18"/>
                <w:color w:val="auto"/>
              </w:rPr>
              <w:t>Proceeds from issuance of common stock</w:t>
            </w:r>
          </w:p>
        </w:tc>
        <w:tc>
          <w:tcPr>
            <w:tcW w:w="3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004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Net Cash Provided By Financing Activities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428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3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280" w:type="dxa"/>
            <w:vAlign w:val="bottom"/>
            <w:tcBorders>
              <w:bottom w:val="single" w:sz="8" w:color="CCEEFF"/>
            </w:tcBorders>
          </w:tcPr>
          <w:p>
            <w:pPr>
              <w:spacing w:after="0"/>
              <w:rPr>
                <w:sz w:val="19"/>
                <w:szCs w:val="19"/>
                <w:color w:val="auto"/>
              </w:rPr>
            </w:pPr>
          </w:p>
        </w:tc>
        <w:tc>
          <w:tcPr>
            <w:tcW w:w="57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restart"/>
          </w:tcPr>
          <w:p>
            <w:pPr>
              <w:spacing w:after="0"/>
              <w:rPr>
                <w:sz w:val="16"/>
                <w:szCs w:val="16"/>
                <w:color w:val="auto"/>
              </w:rPr>
            </w:pPr>
          </w:p>
        </w:tc>
        <w:tc>
          <w:tcPr>
            <w:tcW w:w="428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10040" w:type="dxa"/>
            <w:vAlign w:val="bottom"/>
            <w:gridSpan w:val="2"/>
            <w:shd w:val="clear" w:color="auto" w:fill="CCEEFF"/>
          </w:tcPr>
          <w:p>
            <w:pPr>
              <w:spacing w:after="0" w:line="174" w:lineRule="exact"/>
              <w:rPr>
                <w:sz w:val="20"/>
                <w:szCs w:val="20"/>
                <w:color w:val="auto"/>
              </w:rPr>
            </w:pPr>
            <w:r>
              <w:rPr>
                <w:rFonts w:ascii="Arial" w:cs="Arial" w:eastAsia="Arial" w:hAnsi="Arial"/>
                <w:sz w:val="18"/>
                <w:szCs w:val="18"/>
                <w:b w:val="1"/>
                <w:bCs w:val="1"/>
                <w:color w:val="auto"/>
              </w:rPr>
              <w:t>Supplemental disclosure of non-cash financing activities:</w:t>
            </w: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80" w:type="dxa"/>
            <w:vAlign w:val="bottom"/>
            <w:tcBorders>
              <w:top w:val="single" w:sz="8" w:color="auto"/>
            </w:tcBorders>
          </w:tcPr>
          <w:p>
            <w:pPr>
              <w:spacing w:after="0"/>
              <w:rPr>
                <w:sz w:val="18"/>
                <w:szCs w:val="18"/>
                <w:color w:val="auto"/>
              </w:rPr>
            </w:pPr>
          </w:p>
        </w:tc>
        <w:tc>
          <w:tcPr>
            <w:tcW w:w="57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Payment of deferred offering costs by issuance of note and related party note</w:t>
            </w: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108,957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40" w:type="dxa"/>
            <w:vAlign w:val="bottom"/>
            <w:gridSpan w:val="2"/>
            <w:vMerge w:val="restart"/>
          </w:tcPr>
          <w:p>
            <w:pPr>
              <w:ind w:left="160"/>
              <w:spacing w:after="0"/>
              <w:rPr>
                <w:sz w:val="20"/>
                <w:szCs w:val="20"/>
                <w:color w:val="auto"/>
              </w:rPr>
            </w:pPr>
            <w:r>
              <w:rPr>
                <w:rFonts w:ascii="Arial" w:cs="Arial" w:eastAsia="Arial" w:hAnsi="Arial"/>
                <w:sz w:val="18"/>
                <w:szCs w:val="18"/>
                <w:color w:val="auto"/>
              </w:rPr>
              <w:t>Conversion of related party notes into shares of common stock</w:t>
            </w:r>
          </w:p>
        </w:tc>
        <w:tc>
          <w:tcPr>
            <w:tcW w:w="3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10040" w:type="dxa"/>
            <w:vAlign w:val="bottom"/>
            <w:gridSpan w:val="2"/>
            <w:vMerge w:val="continue"/>
          </w:tcPr>
          <w:p>
            <w:pPr>
              <w:spacing w:after="0"/>
              <w:rPr>
                <w:sz w:val="16"/>
                <w:szCs w:val="16"/>
                <w:color w:val="auto"/>
              </w:rPr>
            </w:pPr>
          </w:p>
        </w:tc>
        <w:tc>
          <w:tcPr>
            <w:tcW w:w="380" w:type="dxa"/>
            <w:vAlign w:val="bottom"/>
            <w:tcBorders>
              <w:top w:val="single" w:sz="8" w:color="auto"/>
              <w:bottom w:val="single" w:sz="8" w:color="auto"/>
            </w:tcBorders>
          </w:tcPr>
          <w:p>
            <w:pPr>
              <w:jc w:val="right"/>
              <w:ind w:right="191"/>
              <w:spacing w:after="0" w:line="194"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8"/>
                <w:szCs w:val="18"/>
                <w:color w:val="auto"/>
              </w:rPr>
              <w:t>20,000</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4" w:lineRule="exact"/>
        <w:rPr>
          <w:sz w:val="20"/>
          <w:szCs w:val="20"/>
          <w:color w:val="auto"/>
        </w:rPr>
      </w:pPr>
    </w:p>
    <w:p>
      <w:pPr>
        <w:ind w:left="4800"/>
        <w:spacing w:after="0"/>
        <w:rPr>
          <w:sz w:val="20"/>
          <w:szCs w:val="20"/>
          <w:color w:val="auto"/>
        </w:rPr>
      </w:pPr>
      <w:r>
        <w:rPr>
          <w:rFonts w:ascii="Arial" w:cs="Arial" w:eastAsia="Arial" w:hAnsi="Arial"/>
          <w:sz w:val="21"/>
          <w:szCs w:val="21"/>
          <w:b w:val="1"/>
          <w:bCs w:val="1"/>
          <w:color w:val="auto"/>
        </w:rPr>
        <w:t>September 11,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Plan of Business Operations and Going Concern Consideration</w:t>
      </w:r>
    </w:p>
    <w:p>
      <w:pPr>
        <w:spacing w:after="0" w:line="226"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M I Acquisitions, Inc. (the “Company”) was incorporated in Delaware on April 23, 2015 as a blank check company whose objective is to acquire, through a merger, share exchange, asset acquisition, stock purchase, recapitalization, reorganization or other similar business combination, one or more businesses or entities (a “Business Combination”). The Company’s efforts to identify a prospective target business will not be limited to any particular industry or geographic region, although the Company initially intends to focus on target businesses operating in the consumer, retail or retail service industries.</w:t>
      </w:r>
    </w:p>
    <w:p>
      <w:pPr>
        <w:spacing w:after="0" w:line="162" w:lineRule="exact"/>
        <w:rPr>
          <w:sz w:val="20"/>
          <w:szCs w:val="20"/>
          <w:color w:val="auto"/>
        </w:rPr>
      </w:pPr>
    </w:p>
    <w:p>
      <w:pPr>
        <w:jc w:val="both"/>
        <w:ind w:firstLine="293"/>
        <w:spacing w:after="0" w:line="267" w:lineRule="auto"/>
        <w:rPr>
          <w:sz w:val="20"/>
          <w:szCs w:val="20"/>
          <w:color w:val="auto"/>
        </w:rPr>
      </w:pPr>
      <w:r>
        <w:rPr>
          <w:rFonts w:ascii="Arial" w:cs="Arial" w:eastAsia="Arial" w:hAnsi="Arial"/>
          <w:sz w:val="18"/>
          <w:szCs w:val="18"/>
          <w:color w:val="auto"/>
        </w:rPr>
        <w:t>At September 11, 2015, the Company had not yet commenced any operations. All activity through September 11, 2015 relates to the Company’s formation and the proposed public offering described below. The Company has selected December 31 as its fiscal year-end.</w:t>
      </w:r>
    </w:p>
    <w:p>
      <w:pPr>
        <w:spacing w:after="0" w:line="180" w:lineRule="exact"/>
        <w:rPr>
          <w:sz w:val="20"/>
          <w:szCs w:val="20"/>
          <w:color w:val="auto"/>
        </w:rPr>
      </w:pPr>
    </w:p>
    <w:p>
      <w:pPr>
        <w:jc w:val="both"/>
        <w:ind w:firstLine="293"/>
        <w:spacing w:after="0" w:line="280" w:lineRule="auto"/>
        <w:rPr>
          <w:sz w:val="20"/>
          <w:szCs w:val="20"/>
          <w:color w:val="auto"/>
        </w:rPr>
      </w:pPr>
      <w:r>
        <w:rPr>
          <w:rFonts w:ascii="Arial" w:cs="Arial" w:eastAsia="Arial" w:hAnsi="Arial"/>
          <w:sz w:val="16"/>
          <w:szCs w:val="16"/>
          <w:color w:val="auto"/>
        </w:rPr>
        <w:t>The Company’s ability to commence operations is contingent upon obtaining adequate financial resources through a proposed public offering of 5,000,000 units (or 5,750,000 units if the underwriters’ over-allotment option is exercised in full) (“Units”), at $10.00 per Unit which is discussed in Note 3 (the “Proposed Public Offering”), and the sale (the “Private Placement”) of an aggregate of 250,000 units (the “Private Units”) (or 272,500 Private Units if the underwriters’ over-allotment option is exercised in full) at $10.00 per Unit to the Company’s initial stockholder (the “Initial Stockholder”). The Company’s management has broad discretion with respect to the specific application of the net proceeds of the Proposed Public Offering and the Private Placement, although substantially all of the net proceeds are intended to be applied generally toward consummating a Business Combination. There is no assurance that the Company will be able to effect a Business Combination successfully. Upon the closing of the Proposed Public Offering and Private Placement, management has agreed that at least $10.00 per Unit sold in the Proposed Public Offering will be held in a trust account (“Trust Account”) and invested in United States government treasury bills, notes or bonds having a maturity of 180 days or less or in money market funds meeting the applicable conditions under Rule 2a-7 promulgated under the Investment Company Act of 1940, as amended, until the earlier of the consummation of its first Business Combination and the Company’s failure to consummate a Business Combination within the prescribed time. Placing funds in the Trust Account may not protect those funds from third party claims against the Company. Although the Company will seek to have all vendors, service providers, prospective target businesses or other entities it engages, execute agreements with the Company waiving any claim of any kind in or to any monies held in the Trust Account, there is no guarantee that such persons will execute such agreements. The Company’s insiders will agree to be liable under certain circumstances to ensure that the proceeds in the Trust Account are not reduced by the claims of target businesses or vendors or other entities that are owed money by the Company for service rendered, contracted for or products sold to the Company. However, they may not be able to satisfy those obligations should they arise. The remaining net proceeds (not held in the Trust Account) may be used to pay for business, legal and accounting due diligence on prospective acquisitions and continuing general and administrative expenses. The amount of proceeds not held in trust will remain constant at approximately $525,000 even if the over-allotment is exercised. In addition, (i) interest income earned on the funds in the Trust Account may be released to the Company to pay its income or other tax obligations and (ii) any remaining interest earned on the funds in the Trust Account may be released to the Company for its working capital requirements. With these exceptions, expenses incurred by the Company may be paid prior to a Business Combination only from the net proceeds of the Proposed Public Offering not held in the Trust Account (estimated to initially be $525,000); provided, however, that in order to meet its working capital needs following the consummation of the Proposed Public Offering, the Company’s Initial Stockholder, officers and directors or their affiliates may, but are not obligated to, loan the Company funds, from time to time or at any time, in whatever amount they deem reasonable in their sole discretion. Each loan would be evidenced by a promissory note. The notes would either be paid upon consummation of the Company’s initial Business Combination, without interest, or, at the lender’s discretion, up to $200,000 of the notes may be converted upon consummation of the Company’s Business Combination into additional Private Units at a price of $10.00 per Unit. If the Company does not complete a Business Combination, the loans would not be repaid.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September 11,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Plan of Business Operations and Going Concern Consideration (cont’d)</w:t>
      </w:r>
    </w:p>
    <w:p>
      <w:pPr>
        <w:spacing w:after="0" w:line="226" w:lineRule="exact"/>
        <w:rPr>
          <w:sz w:val="20"/>
          <w:szCs w:val="20"/>
          <w:color w:val="auto"/>
        </w:rPr>
      </w:pPr>
    </w:p>
    <w:p>
      <w:pPr>
        <w:jc w:val="both"/>
        <w:ind w:firstLine="293"/>
        <w:spacing w:after="0" w:line="282" w:lineRule="auto"/>
        <w:rPr>
          <w:sz w:val="20"/>
          <w:szCs w:val="20"/>
          <w:color w:val="auto"/>
        </w:rPr>
      </w:pPr>
      <w:r>
        <w:rPr>
          <w:rFonts w:ascii="Arial" w:cs="Arial" w:eastAsia="Arial" w:hAnsi="Arial"/>
          <w:sz w:val="16"/>
          <w:szCs w:val="16"/>
          <w:color w:val="auto"/>
        </w:rPr>
        <w:t>The Company will either seek stockholder approval of any Business Combination at a meeting called for such purpose at which stockholders may seek to convert their shares into their pro rata share of the aggregate amount then on deposit in the Trust Account, less any taxes then due but not yet paid, or provide stockholders with the opportunity to sell their shares to the Company by means of a tender offer for an amount equal to their pro rata share of the aggregate amount then on deposit in the Trust Account, less any taxes then due but not yet paid. The Company will proceed with a Business Combination only if it will have net tangible assets of at least $5,000,001 upon consummation of the Business Combination and, solely if stockholder approval is sought, a majority of the outstanding common shares of the Company voted are voted in favor of the Business Combination. Notwithstanding the foregoing, a public stockholder, together with any affiliate of his or any other person with whom he is acting in concert or as a “group” (as defined in Section 13(d)(3) of the Exchange Act) will be restricted from seeking conversion rights with respect to 20% or more of the common shares sold in the Proposed Public Offering. Accordingly, all shares purchased by a holder in excess of 20% of the shares sold in the Proposed Public Offering will not be converted to cash. In connection with any stockholder vote required to approve any Business Combination, the Initial Stockholder will agree (i) to vote any of its respective shares, including the common shares sold to the Initial Stockholder in connection with the organization of the Company (the “Initial Shares”), common shares included in the Private Units to be sold in the Private Placement, and any common shares which were initially issued in connection with the Proposed Public Offering, whether acquired in or after the effective date of the Proposed Public Offering, in favor of the initial Business Combination and (ii) not to convert such respective shares into a pro rata portion of the Trust Account or seek to sell their shares in connection with any tender offer the Company engages in.</w:t>
      </w:r>
    </w:p>
    <w:p>
      <w:pPr>
        <w:spacing w:after="0" w:line="174" w:lineRule="exact"/>
        <w:rPr>
          <w:sz w:val="20"/>
          <w:szCs w:val="20"/>
          <w:color w:val="auto"/>
        </w:rPr>
      </w:pPr>
    </w:p>
    <w:p>
      <w:pPr>
        <w:jc w:val="both"/>
        <w:ind w:firstLine="293"/>
        <w:spacing w:after="0" w:line="284" w:lineRule="auto"/>
        <w:rPr>
          <w:sz w:val="20"/>
          <w:szCs w:val="20"/>
          <w:color w:val="auto"/>
        </w:rPr>
      </w:pPr>
      <w:r>
        <w:rPr>
          <w:rFonts w:ascii="Arial" w:cs="Arial" w:eastAsia="Arial" w:hAnsi="Arial"/>
          <w:sz w:val="16"/>
          <w:szCs w:val="16"/>
          <w:color w:val="auto"/>
        </w:rPr>
        <w:t>Pursuant to the Company’s Certificate of Incorporation to be in effect upon consummation of the Proposed Public Offering, if the Company is unable to complete its initial Business Combination within 18 months from the date of the Proposed Public Offering (or 21 months from the closing of this offering if we have executed a letter of intent or definitive agreement for a business combination within 18 months from the closing of this offering but have not completed such business combination with the 18-month period), the Company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holders of common stock and the Company’s board of directors, dissolve and liquidate. If the Company is unable to consummate an initial Business Combination and is forced to redeem 100% of the outstanding public shares for a pro rata portion of the funds held in the Trust Account, each holder will receive a pro rata portion of the amount then in the Trust Account. Holders of warrants will receive no proceeds in connection with the liquidation. The Initial Stockholder and the holders of Private Units will not participate in any redemption distribution with respect to their initial shares and Private Units, including the common stock included in the Private Units.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the extent we are unable to consummate a business combination, we will pay the costs of liquidation from our remaining assets outside of the trust account. If such funds are insufficient, our insiders have agreed to pay the funds necessary to complete such liquidation (currently anticipated to be no more than $15,000) and have agreed not to seek repayment of such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 Consideration</w:t>
      </w:r>
    </w:p>
    <w:p>
      <w:pPr>
        <w:spacing w:after="0" w:line="220" w:lineRule="exact"/>
        <w:rPr>
          <w:sz w:val="20"/>
          <w:szCs w:val="20"/>
          <w:color w:val="auto"/>
        </w:rPr>
      </w:pPr>
    </w:p>
    <w:p>
      <w:pPr>
        <w:jc w:val="both"/>
        <w:ind w:firstLine="293"/>
        <w:spacing w:after="0" w:line="270" w:lineRule="auto"/>
        <w:rPr>
          <w:sz w:val="20"/>
          <w:szCs w:val="20"/>
          <w:color w:val="auto"/>
        </w:rPr>
      </w:pPr>
      <w:r>
        <w:rPr>
          <w:rFonts w:ascii="Arial" w:cs="Arial" w:eastAsia="Arial" w:hAnsi="Arial"/>
          <w:sz w:val="17"/>
          <w:szCs w:val="17"/>
          <w:color w:val="auto"/>
        </w:rPr>
        <w:t>At September 11, 2015, the Company had $5,000 in cash and a working capital deficit of $85,000. Further, the Company has incurred, and expects to continue to incur, significant costs in pursuit of its financing and acquisition plans. These conditions raise substantial doubt about the Company’s ability to continue as a going concern. Management plans to address this uncertainty through the Proposed Public Offering as discussed in Note 3. There is no assurance that the Company’s plans to raise capital or to consummate a Business Combination will be successful or successful within the required time period. The financial statements do not include any adjustments that might result from the outcome of this uncertainty.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0" w:lineRule="exact"/>
        <w:rPr>
          <w:sz w:val="20"/>
          <w:szCs w:val="20"/>
          <w:color w:val="auto"/>
        </w:rPr>
      </w:pPr>
    </w:p>
    <w:p>
      <w:pPr>
        <w:jc w:val="both"/>
        <w:ind w:firstLine="293"/>
        <w:spacing w:after="0" w:line="267" w:lineRule="auto"/>
        <w:rPr>
          <w:sz w:val="20"/>
          <w:szCs w:val="20"/>
          <w:color w:val="auto"/>
        </w:rPr>
      </w:pPr>
      <w:r>
        <w:rPr>
          <w:rFonts w:ascii="Arial" w:cs="Arial" w:eastAsia="Arial" w:hAnsi="Arial"/>
          <w:sz w:val="18"/>
          <w:szCs w:val="18"/>
          <w:color w:val="auto"/>
        </w:rPr>
        <w:t>The accompanying financial statements are presented in conformity with accounting principles generally accepted in the United States of America (“GAAP”) and pursuant to the rules and regulations of the Securities and Exchange Commission (“SEC”).</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September 11,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 (cont’d)</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Company considers all short-term investments with an original maturity of three months or less when purchased to be cash equivalents.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0" w:lineRule="exact"/>
        <w:rPr>
          <w:sz w:val="20"/>
          <w:szCs w:val="20"/>
          <w:color w:val="auto"/>
        </w:rPr>
      </w:pPr>
    </w:p>
    <w:p>
      <w:pPr>
        <w:jc w:val="both"/>
        <w:ind w:firstLine="293"/>
        <w:spacing w:after="0" w:line="257"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Financial Accounting Standards Board (“FASB”) Accounting Standards Codification (“ASC”) 820, “Fair Value Measurements and Disclosures,” approximates the carrying amounts represented in the balance sheet, primarily due to their short-term nature.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0" w:lineRule="exact"/>
        <w:rPr>
          <w:sz w:val="20"/>
          <w:szCs w:val="20"/>
          <w:color w:val="auto"/>
        </w:rPr>
      </w:pPr>
    </w:p>
    <w:p>
      <w:pPr>
        <w:jc w:val="both"/>
        <w:ind w:firstLine="293"/>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0" w:lineRule="exact"/>
        <w:rPr>
          <w:sz w:val="20"/>
          <w:szCs w:val="20"/>
          <w:color w:val="auto"/>
        </w:rPr>
      </w:pPr>
    </w:p>
    <w:p>
      <w:pPr>
        <w:jc w:val="both"/>
        <w:ind w:firstLine="293"/>
        <w:spacing w:after="0" w:line="257"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accounts in a financial institution which, at times may exceed the Federal depository insurance coverage of $250,000. The Company has not experienced losses on these accounts and management believes the Company is not exposed to significant risks on such accounts.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share</w:t>
      </w:r>
    </w:p>
    <w:p>
      <w:pPr>
        <w:spacing w:after="0" w:line="220" w:lineRule="exact"/>
        <w:rPr>
          <w:sz w:val="20"/>
          <w:szCs w:val="20"/>
          <w:color w:val="auto"/>
        </w:rPr>
      </w:pPr>
    </w:p>
    <w:p>
      <w:pPr>
        <w:jc w:val="both"/>
        <w:ind w:firstLine="293"/>
        <w:spacing w:after="0" w:line="257" w:lineRule="auto"/>
        <w:rPr>
          <w:sz w:val="20"/>
          <w:szCs w:val="20"/>
          <w:color w:val="auto"/>
        </w:rPr>
      </w:pPr>
      <w:r>
        <w:rPr>
          <w:rFonts w:ascii="Arial" w:cs="Arial" w:eastAsia="Arial" w:hAnsi="Arial"/>
          <w:sz w:val="18"/>
          <w:szCs w:val="18"/>
          <w:color w:val="auto"/>
        </w:rPr>
        <w:t>Loss per share is computed by dividing net loss by the weighted-average number of shares of common stock outstanding during the period excluding shares of common stock subject to forfeiture. Weighted average shares was reduced for the effect of an aggregate of 187,500 shares of common stock that are subject to forfeiture if the over-allotment option is not exercised by the underwriters.</w:t>
      </w:r>
    </w:p>
    <w:p>
      <w:pPr>
        <w:spacing w:after="0" w:line="188" w:lineRule="exact"/>
        <w:rPr>
          <w:sz w:val="20"/>
          <w:szCs w:val="20"/>
          <w:color w:val="auto"/>
        </w:rPr>
      </w:pPr>
    </w:p>
    <w:p>
      <w:pPr>
        <w:jc w:val="both"/>
        <w:ind w:firstLine="293"/>
        <w:spacing w:after="0" w:line="331" w:lineRule="auto"/>
        <w:rPr>
          <w:sz w:val="20"/>
          <w:szCs w:val="20"/>
          <w:color w:val="auto"/>
        </w:rPr>
      </w:pPr>
      <w:r>
        <w:rPr>
          <w:rFonts w:ascii="Arial" w:cs="Arial" w:eastAsia="Arial" w:hAnsi="Arial"/>
          <w:sz w:val="16"/>
          <w:szCs w:val="16"/>
          <w:color w:val="auto"/>
        </w:rPr>
        <w:t>At September 11, 2015, the Company did not have any dilutive securities and other contracts that could, potentially, be exercised or converted into common stock and then share in the earnings of the Company. As a result, diluted loss per share is the same as basic loss per share for the period presented.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0" w:lineRule="exact"/>
        <w:rPr>
          <w:sz w:val="20"/>
          <w:szCs w:val="20"/>
          <w:color w:val="auto"/>
        </w:rPr>
      </w:pPr>
    </w:p>
    <w:p>
      <w:pPr>
        <w:jc w:val="both"/>
        <w:ind w:firstLine="293"/>
        <w:spacing w:after="0" w:line="254" w:lineRule="auto"/>
        <w:rPr>
          <w:sz w:val="20"/>
          <w:szCs w:val="20"/>
          <w:color w:val="auto"/>
        </w:rPr>
      </w:pPr>
      <w:r>
        <w:rPr>
          <w:rFonts w:ascii="Arial" w:cs="Arial" w:eastAsia="Arial" w:hAnsi="Arial"/>
          <w:sz w:val="18"/>
          <w:szCs w:val="18"/>
          <w:color w:val="auto"/>
        </w:rPr>
        <w:t>The Company accounts for income taxes under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91" w:lineRule="exact"/>
        <w:rPr>
          <w:sz w:val="20"/>
          <w:szCs w:val="20"/>
          <w:color w:val="auto"/>
        </w:rPr>
      </w:pPr>
    </w:p>
    <w:p>
      <w:pPr>
        <w:jc w:val="both"/>
        <w:ind w:firstLine="293"/>
        <w:spacing w:after="0" w:line="249" w:lineRule="auto"/>
        <w:rPr>
          <w:sz w:val="20"/>
          <w:szCs w:val="20"/>
          <w:color w:val="auto"/>
        </w:rPr>
      </w:pPr>
      <w:r>
        <w:rPr>
          <w:rFonts w:ascii="Arial" w:cs="Arial" w:eastAsia="Arial" w:hAnsi="Arial"/>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periods, disclosure and transition. The Company is required to file income tax returns in the United States (federal) and in various state and local jurisdictions. Based on the Company’s evaluation, it has been concluded that there are no significant uncertain tax positions requiring recognition in the Company’s financial statements. Since the Company was incorporated on April 23, 2015, the evaluation was performed for the upcoming 2015 tax year, which will be the only period subject to examination. The Company believes that its income tax positions and deductions would be sustained on audit and does not anticipate any adjustments that would result in a material change to its financial position.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September 11,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 (cont’d)</w:t>
      </w:r>
    </w:p>
    <w:p>
      <w:pPr>
        <w:spacing w:after="0" w:line="226" w:lineRule="exact"/>
        <w:rPr>
          <w:sz w:val="20"/>
          <w:szCs w:val="20"/>
          <w:color w:val="auto"/>
        </w:rPr>
      </w:pPr>
    </w:p>
    <w:p>
      <w:pPr>
        <w:jc w:val="both"/>
        <w:ind w:firstLine="293"/>
        <w:spacing w:after="0" w:line="279" w:lineRule="auto"/>
        <w:rPr>
          <w:sz w:val="20"/>
          <w:szCs w:val="20"/>
          <w:color w:val="auto"/>
        </w:rPr>
      </w:pPr>
      <w:r>
        <w:rPr>
          <w:rFonts w:ascii="Arial" w:cs="Arial" w:eastAsia="Arial" w:hAnsi="Arial"/>
          <w:sz w:val="17"/>
          <w:szCs w:val="17"/>
          <w:color w:val="auto"/>
        </w:rPr>
        <w:t>The Company’s policy for recording interest and penalties associated with audits is to record such expense as a component of income tax expense. There were no amounts accrued for penalties or interest as of or during the period from April 23, 2015 (inception) through September 11, 2015. Management is currently unaware of any issues under review that could result in significant payments, accruals or material deviations from its position.</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income tax provision was deemed to be immaterial for the period ended September 11, 2015.</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20" w:lineRule="exact"/>
        <w:rPr>
          <w:sz w:val="20"/>
          <w:szCs w:val="20"/>
          <w:color w:val="auto"/>
        </w:rPr>
      </w:pPr>
    </w:p>
    <w:p>
      <w:pPr>
        <w:jc w:val="both"/>
        <w:ind w:firstLine="704"/>
        <w:spacing w:after="0" w:line="267" w:lineRule="auto"/>
        <w:rPr>
          <w:sz w:val="20"/>
          <w:szCs w:val="20"/>
          <w:color w:val="auto"/>
        </w:rPr>
      </w:pPr>
      <w:r>
        <w:rPr>
          <w:rFonts w:ascii="Arial" w:cs="Arial" w:eastAsia="Arial" w:hAnsi="Arial"/>
          <w:sz w:val="18"/>
          <w:szCs w:val="18"/>
          <w:color w:val="auto"/>
        </w:rPr>
        <w:t>The Company’s management reviewed all material events that have occurred after the balance sheet date through October 9, 2015, the date which these financial statements were available to be issued.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0" w:lineRule="exact"/>
        <w:rPr>
          <w:sz w:val="20"/>
          <w:szCs w:val="20"/>
          <w:color w:val="auto"/>
        </w:rPr>
      </w:pPr>
    </w:p>
    <w:p>
      <w:pPr>
        <w:jc w:val="both"/>
        <w:ind w:firstLine="320"/>
        <w:spacing w:after="0" w:line="26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accompanying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Proposed Public Offering</w:t>
      </w:r>
    </w:p>
    <w:p>
      <w:pPr>
        <w:spacing w:after="0" w:line="226" w:lineRule="exact"/>
        <w:rPr>
          <w:sz w:val="20"/>
          <w:szCs w:val="20"/>
          <w:color w:val="auto"/>
        </w:rPr>
      </w:pPr>
    </w:p>
    <w:p>
      <w:pPr>
        <w:jc w:val="both"/>
        <w:ind w:firstLine="293"/>
        <w:spacing w:after="0" w:line="281" w:lineRule="auto"/>
        <w:rPr>
          <w:sz w:val="20"/>
          <w:szCs w:val="20"/>
          <w:color w:val="auto"/>
        </w:rPr>
      </w:pPr>
      <w:r>
        <w:rPr>
          <w:rFonts w:ascii="Arial" w:cs="Arial" w:eastAsia="Arial" w:hAnsi="Arial"/>
          <w:sz w:val="16"/>
          <w:szCs w:val="16"/>
          <w:color w:val="auto"/>
        </w:rPr>
        <w:t>The Proposed Public Offering calls for the Company to offer for public sale 5,000,000 Units at a proposed offering price of $10.00 per Unit (plus up to an additional 750,000 Units solely to cover over-allotments, if any, pursuant to a 45 day over-allotment option granted to the underwriter). Each Unit consists of one share of common stock in the Company, and one Warrant (“Warrant”). Each Warrant entitles the holder to purchase one-half of one share of common stock at a price of $12.00 per full share commencing on the later of 30 days after the Company’s completion of its initial Business Combination or 12 months from the effective date of the registration statement relating to the Proposed Public Offering, and expiring five years from the completion of the Company’s initial Business Combination. The Company will not issue fractional shares. As a result, investors must exercise Warrants in multiples of two Warrants, at a price of $12.00 per full share, subject to adjustment, to validly exercise the Warrants. The Company may redeem the Warrants at a price of $0.01 per Warrant upon 30 days’ notice, only in the event that the last sale price of the common shares is at least $16.00 per share for any 20 trading days within a 30-trading day period (“30-Day Trading Period”) ending on the third day prior to the date on which notice of redemption is given, provided there is a current registration statement in effect with respect to the common shares underlying such Warrants during the 30 day redemption period. If the Company redeems the Warrants as described above, management will have the option to require all holders that wish to exercise Warrants to do so on a “cashless basis.” In accordance with the warrant agreement relating to the Warrants to be sold and issued in the Proposed Public Offering the Company is only required to use its best efforts to maintain the effectiveness of the registration statement covering the Warrants. If a registration statement is not effective within 90 days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an available exemption from registration under the Securities Act of 1933, as amended. In the event that a registration statement is not effective at the time of exercise or no exemption is available for a cashless exercise, the holder of such Warrant shall not be entitled to exercise such Warrant for cash and in no event (whether in the case of a registration statement being effective or otherwise) will the Company be required to net cash settle the Warrant exercise. If an initial Business Combination is not consummated, the Warrants will expire and will be worthless.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Deferred Offering Costs</w:t>
      </w:r>
    </w:p>
    <w:p>
      <w:pPr>
        <w:spacing w:after="0" w:line="226" w:lineRule="exact"/>
        <w:rPr>
          <w:sz w:val="20"/>
          <w:szCs w:val="20"/>
          <w:color w:val="auto"/>
        </w:rPr>
      </w:pPr>
    </w:p>
    <w:p>
      <w:pPr>
        <w:jc w:val="both"/>
        <w:ind w:firstLine="293"/>
        <w:spacing w:after="0" w:line="279" w:lineRule="auto"/>
        <w:rPr>
          <w:sz w:val="20"/>
          <w:szCs w:val="20"/>
          <w:color w:val="auto"/>
        </w:rPr>
      </w:pPr>
      <w:r>
        <w:rPr>
          <w:rFonts w:ascii="Arial" w:cs="Arial" w:eastAsia="Arial" w:hAnsi="Arial"/>
          <w:sz w:val="17"/>
          <w:szCs w:val="17"/>
          <w:color w:val="auto"/>
        </w:rPr>
        <w:t>Deferred offering costs consist principally of legal, underwriting fees and other costs incurred through the balance sheet date that are directly related to the Proposed Public Offering and that will be charged to stockholder’s equity upon the receipt of the capital raised. Should the Proposed Public Offering prove to be unsuccessful, these deferred costs as well as additional expenses to be incurred will be charged to operations.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September 11,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Notes Payable</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 Payable Related Party</w:t>
      </w:r>
    </w:p>
    <w:p>
      <w:pPr>
        <w:spacing w:after="0" w:line="226" w:lineRule="exact"/>
        <w:rPr>
          <w:sz w:val="20"/>
          <w:szCs w:val="20"/>
          <w:color w:val="auto"/>
        </w:rPr>
      </w:pPr>
    </w:p>
    <w:p>
      <w:pPr>
        <w:jc w:val="both"/>
        <w:ind w:firstLine="293"/>
        <w:spacing w:after="0" w:line="304" w:lineRule="auto"/>
        <w:rPr>
          <w:sz w:val="20"/>
          <w:szCs w:val="20"/>
          <w:color w:val="auto"/>
        </w:rPr>
      </w:pPr>
      <w:r>
        <w:rPr>
          <w:rFonts w:ascii="Arial" w:cs="Arial" w:eastAsia="Arial" w:hAnsi="Arial"/>
          <w:sz w:val="16"/>
          <w:szCs w:val="16"/>
          <w:color w:val="auto"/>
        </w:rPr>
        <w:t>On July 1, 2015, the Company issued a $35,000 principal amount unsecured promissory note to an affiliate of the Company’s executive officers. The note is non-interest bearing and payable on the earlier of (i) the consummation of the Proposed Public Offering or (ii) the date on which the Company determines not to proceed with the Proposed Public Offering. Due to the short-term nature of the note, the fair value of the note approximates the carrying amount.</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 Payable</w:t>
      </w:r>
    </w:p>
    <w:p>
      <w:pPr>
        <w:spacing w:after="0" w:line="22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On July 1, 2015, the Company issued a $55,000 principal amount unsecured promissory note. The note is non-interest bearing and payable on the earlier of</w:t>
      </w:r>
    </w:p>
    <w:p>
      <w:pPr>
        <w:spacing w:after="0" w:line="40" w:lineRule="exact"/>
        <w:rPr>
          <w:sz w:val="20"/>
          <w:szCs w:val="20"/>
          <w:color w:val="auto"/>
        </w:rPr>
      </w:pPr>
    </w:p>
    <w:p>
      <w:pPr>
        <w:ind w:right="20" w:firstLine="7"/>
        <w:spacing w:after="0" w:line="254" w:lineRule="auto"/>
        <w:tabs>
          <w:tab w:leader="none" w:pos="2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consummation of the Proposed Public Offering or (ii) the date on which the Company determines not to proceed with the Proposed Public Offering. Due to the short-term nature of the note, the fair value of the note approximates the carrying amount.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0" w:lineRule="exact"/>
        <w:rPr>
          <w:sz w:val="20"/>
          <w:szCs w:val="20"/>
          <w:color w:val="auto"/>
        </w:rPr>
      </w:pPr>
    </w:p>
    <w:p>
      <w:pPr>
        <w:jc w:val="both"/>
        <w:ind w:firstLine="293"/>
        <w:spacing w:after="0" w:line="287" w:lineRule="auto"/>
        <w:rPr>
          <w:sz w:val="20"/>
          <w:szCs w:val="20"/>
          <w:color w:val="auto"/>
        </w:rPr>
      </w:pPr>
      <w:r>
        <w:rPr>
          <w:rFonts w:ascii="Arial" w:cs="Arial" w:eastAsia="Arial" w:hAnsi="Arial"/>
          <w:sz w:val="16"/>
          <w:szCs w:val="16"/>
          <w:color w:val="auto"/>
        </w:rPr>
        <w:t>The Company will enter into an agreement with the underwriters of the Proposed Public Offering (“Underwriting Agreement”). The terms of the Proposed Public Offering are set forth in a non-binding letter of intent that is merely a statement of intent and is subject to change and further negotiation between the parties and may be adjusted prior to the execution of the Underwriting Agreement. The Underwriting Agreement will require the Company to pay an underwriting discount of 3.0% of the gross proceeds of the Proposed Public Offering as an underwriting discount and a deferred underwriting discount of up to 2.0% for an aggregate underwriting discount of 5.0% of the gross proceeds of the Proposed Public Offering, in each case as to be set forth in the Underwriting Agreement. The Company will pay the deferred underwriting fee at the closing of the Business Combination. The underwriters also purchased an interest in M SPAC LLC, an entity controlled by the Company’s insiders, which entitles it to the beneficial interest in 75,000 insider shares.</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Company paid $50,000 as of June 18, 2015 as an advance against out of pocket expenses.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Units</w:t>
      </w:r>
    </w:p>
    <w:p>
      <w:pPr>
        <w:spacing w:after="0" w:line="220" w:lineRule="exact"/>
        <w:rPr>
          <w:sz w:val="20"/>
          <w:szCs w:val="20"/>
          <w:color w:val="auto"/>
        </w:rPr>
      </w:pPr>
    </w:p>
    <w:p>
      <w:pPr>
        <w:jc w:val="both"/>
        <w:ind w:firstLine="293"/>
        <w:spacing w:after="0" w:line="273" w:lineRule="auto"/>
        <w:rPr>
          <w:sz w:val="20"/>
          <w:szCs w:val="20"/>
          <w:color w:val="auto"/>
        </w:rPr>
      </w:pPr>
      <w:r>
        <w:rPr>
          <w:rFonts w:ascii="Arial" w:cs="Arial" w:eastAsia="Arial" w:hAnsi="Arial"/>
          <w:sz w:val="17"/>
          <w:szCs w:val="17"/>
          <w:color w:val="auto"/>
        </w:rPr>
        <w:t>The Initial Stockholder have committed to purchase an aggregate of 250,000 Private Units at $10.00 per Private Unit. The Initial Stockholder have also agreed that if the over-allotment option is exercised by the underwriters, they will purchase from the Company at a price of $10.00 per Private Unit up to an additional 22,500 Private Units pro rata with the amount of the over-allotment option exercised so that at least $10.00 per share sold to the public in the Proposed Public Offering is held in the Trust Account regardless of whether the over-allotment option is exercised in full or part.</w:t>
      </w:r>
    </w:p>
    <w:p>
      <w:pPr>
        <w:spacing w:after="0" w:line="177" w:lineRule="exact"/>
        <w:rPr>
          <w:sz w:val="20"/>
          <w:szCs w:val="20"/>
          <w:color w:val="auto"/>
        </w:rPr>
      </w:pPr>
    </w:p>
    <w:p>
      <w:pPr>
        <w:jc w:val="both"/>
        <w:ind w:firstLine="293"/>
        <w:spacing w:after="0" w:line="264" w:lineRule="auto"/>
        <w:rPr>
          <w:sz w:val="20"/>
          <w:szCs w:val="20"/>
          <w:color w:val="auto"/>
        </w:rPr>
      </w:pPr>
      <w:r>
        <w:rPr>
          <w:rFonts w:ascii="Arial" w:cs="Arial" w:eastAsia="Arial" w:hAnsi="Arial"/>
          <w:sz w:val="17"/>
          <w:szCs w:val="17"/>
          <w:color w:val="auto"/>
        </w:rPr>
        <w:t>The Private Units are identical to the Units sold in the Proposed Public Offering except the Warrants included in the Private Units will be non-redeemable and may be exercised on a cashless basis, in each case so long as they continue to be held by the initial purchasers or their permitted transferees. Additionally, the holders of the Private Units have agreed (A) to vote the shares underlying their Private Units in favor of any proposed Business Combination, (B) not to propose, or vote in favor of, an amendment to the Company’s amended and restated memorandum and articles of association with respect to the Company’s pre-Business Combination activities prior to the consummation of such a Business Combination unless the Company provides dissenting Public Stockholders with the opportunity to convert their public shares in connection with any such vote, (C) not to convert any shares underlying the Private Units into the right to receive cash from the Trust Account in connection with a stockholder vote to approve an initial Business Combination or a vote to amend the provisions of the Company’s amended and restated memorandum and articles of association relating to shareholders’ rights or pre-Business Combination activity or sell their shares to the Company in connection with a tender offer the Company engages in and (D) that the shares underlying the Private Units shall not participate in any liquidating distribution upon winding up if a Business Combination is not consummated. The purchasers have also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an initial Business Combination.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September 11,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 (cont’d)</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Directed Unit Program</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the request of the Company, the underwriters will reserve up to 500,000 units for sale at the initial public offering price through a directed unit program to our officers and directors and their respective affiliates. The number of units available for sale to the public will be reduced by the number of directed units purchased by participants in the program, if any. To the extent the directed units are not purchased pursuant to the directed unit program, the units will be offered by the underwriters to the public on the same basis as all other units. Members of the Company’s management team (either directly or through affiliates), currently intend to purchase the entire 500,000 units offered pursuant to the directed unit program.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Option</w:t>
      </w:r>
    </w:p>
    <w:p>
      <w:pPr>
        <w:spacing w:after="0" w:line="220" w:lineRule="exact"/>
        <w:rPr>
          <w:sz w:val="20"/>
          <w:szCs w:val="20"/>
          <w:color w:val="auto"/>
        </w:rPr>
      </w:pPr>
    </w:p>
    <w:p>
      <w:pPr>
        <w:jc w:val="both"/>
        <w:ind w:firstLine="293"/>
        <w:spacing w:after="0" w:line="250" w:lineRule="auto"/>
        <w:rPr>
          <w:sz w:val="20"/>
          <w:szCs w:val="20"/>
          <w:color w:val="auto"/>
        </w:rPr>
      </w:pPr>
      <w:r>
        <w:rPr>
          <w:rFonts w:ascii="Arial" w:cs="Arial" w:eastAsia="Arial" w:hAnsi="Arial"/>
          <w:sz w:val="18"/>
          <w:szCs w:val="18"/>
          <w:color w:val="auto"/>
        </w:rPr>
        <w:t>The Company has agreed to sell to the underwriters, for $100, a unit purchase option to purchase up to a total of 500,000 units exercisable at $12.00 per unit (or an aggregate exercise price of $6,000,000) commencing on the later of the consummation of a Business Combination and one year from the effective date of the registration statement relating to the Proposed Public Offering. The unit purchase option expires five years from the effective date of the registration statement relating to the Proposed Public Offering. The units issuable upon exercise of this option are identical to the Units being offered in the Proposed Public Offering. The Company has agreed to grant to the holders of the unit purchase option, demand and “piggy back” registration rights for periods of five and seven years, respectively, from the effective date of this Proposed Public Offering, including securities directly and indirectly issuable upon exercise of the unit purchase option.</w:t>
      </w:r>
    </w:p>
    <w:p>
      <w:pPr>
        <w:spacing w:after="0" w:line="198" w:lineRule="exact"/>
        <w:rPr>
          <w:sz w:val="20"/>
          <w:szCs w:val="20"/>
          <w:color w:val="auto"/>
        </w:rPr>
      </w:pPr>
    </w:p>
    <w:p>
      <w:pPr>
        <w:jc w:val="both"/>
        <w:ind w:firstLine="293"/>
        <w:spacing w:after="0" w:line="265" w:lineRule="auto"/>
        <w:rPr>
          <w:sz w:val="20"/>
          <w:szCs w:val="20"/>
          <w:color w:val="auto"/>
        </w:rPr>
      </w:pPr>
      <w:r>
        <w:rPr>
          <w:rFonts w:ascii="Arial" w:cs="Arial" w:eastAsia="Arial" w:hAnsi="Arial"/>
          <w:sz w:val="17"/>
          <w:szCs w:val="17"/>
          <w:color w:val="auto"/>
        </w:rPr>
        <w:t>The Company intends to account for the fair value of the unit purchase option, inclusive of the receipt of a $100 cash payment, as an expense of the Proposed Public Offering resulting in a charge directly to stockholders’ equity. The Company estimates that the fair value of this unit purchase option is approximately $4,828,000 (or $9.66 per unit) using a Black-Scholes option-pricing model. The fair value of the unit purchase option to be granted to the placement agent is estimated as of the date of grant using the following assumptions: (1) expected volatility of 191%, (2) risk-free interest rate of 1.54% and (3) expected life of five years. The unit purchase option may be exercised for cash or on a “cashless” basis, at the holder’s option (except in the case of a forced cashless exercise upon the Company’s redemption of the Warrants, as described in Note 3), such that the holder may use the appreciated value of the unit purchase option (the difference between the exercise prices of the unit purchase option and the underlying Warrants and the market price of the Units and underlying common stock) to exercise the unit purchase option without the payment of any cash. The Company will have no obligation to net cash settle the exercise of the unit purchase option or the Warrants underlying the unit purchase option. The holder of the unit purchase option will not be entitled to exercise the unit purchase option or the Warrants underlying the unit purchase option unless a registration statement covering the securities underlying the unit purchase option is effective or an exemption from registration is available. If the holder is unable to exercise the unit purchase option or underlying Warrants, the unit purchase option or Warrants, as applicable, will expire worthless.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 Fee</w:t>
      </w:r>
    </w:p>
    <w:p>
      <w:pPr>
        <w:spacing w:after="0" w:line="220" w:lineRule="exact"/>
        <w:rPr>
          <w:sz w:val="20"/>
          <w:szCs w:val="20"/>
          <w:color w:val="auto"/>
        </w:rPr>
      </w:pPr>
    </w:p>
    <w:p>
      <w:pPr>
        <w:jc w:val="both"/>
        <w:ind w:firstLine="293"/>
        <w:spacing w:after="0" w:line="267" w:lineRule="auto"/>
        <w:rPr>
          <w:sz w:val="20"/>
          <w:szCs w:val="20"/>
          <w:color w:val="auto"/>
        </w:rPr>
      </w:pPr>
      <w:r>
        <w:rPr>
          <w:rFonts w:ascii="Arial" w:cs="Arial" w:eastAsia="Arial" w:hAnsi="Arial"/>
          <w:sz w:val="18"/>
          <w:szCs w:val="18"/>
          <w:color w:val="auto"/>
        </w:rPr>
        <w:t>The Company, commencing on the effective date of the registration statement relating to the Proposed Public Offering, has agreed to pay an affiliate of the Company’s executive officers a monthly fee of $10,000 for general and administrative services.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September 11,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 (cont’d)</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0" w:lineRule="exact"/>
        <w:rPr>
          <w:sz w:val="20"/>
          <w:szCs w:val="20"/>
          <w:color w:val="auto"/>
        </w:rPr>
      </w:pPr>
    </w:p>
    <w:p>
      <w:pPr>
        <w:jc w:val="both"/>
        <w:ind w:firstLine="293"/>
        <w:spacing w:after="0" w:line="288" w:lineRule="auto"/>
        <w:rPr>
          <w:sz w:val="20"/>
          <w:szCs w:val="20"/>
          <w:color w:val="auto"/>
        </w:rPr>
      </w:pPr>
      <w:r>
        <w:rPr>
          <w:rFonts w:ascii="Arial" w:cs="Arial" w:eastAsia="Arial" w:hAnsi="Arial"/>
          <w:sz w:val="16"/>
          <w:szCs w:val="16"/>
          <w:color w:val="auto"/>
        </w:rPr>
        <w:t>The Initial Stockholder will be entitled to registration rights with respect to their initial shares and the purchasers of the Private Units will be entitled to registration rights with respect to the Private Units (and underlying securities), pursuant to an agreement to be signed prior to or on the effective date of the Proposed Public Offering. The holders of the majority of the initial shares are entitled to demand that the Company register these shares at any time commencing three months prior to the first anniversary of the consummation of a Business Combination. The holders of the Private Units (or underlying securities) are entitled to demand that the Company register these securities at any time after the Company consummates a Business Combination. In addition, the holders have certain “piggy-back” registration rights on registration statements filed after the Company’s consummation of a Business Combination.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Company is authorized to issue 50,000,000 shares of common stock with a par value of $0.001 per share.</w:t>
      </w:r>
    </w:p>
    <w:p>
      <w:pPr>
        <w:spacing w:after="0" w:line="220" w:lineRule="exact"/>
        <w:rPr>
          <w:sz w:val="20"/>
          <w:szCs w:val="20"/>
          <w:color w:val="auto"/>
        </w:rPr>
      </w:pPr>
    </w:p>
    <w:p>
      <w:pPr>
        <w:jc w:val="both"/>
        <w:ind w:firstLine="293"/>
        <w:spacing w:after="0" w:line="266" w:lineRule="auto"/>
        <w:rPr>
          <w:sz w:val="20"/>
          <w:szCs w:val="20"/>
          <w:color w:val="auto"/>
        </w:rPr>
      </w:pPr>
      <w:r>
        <w:rPr>
          <w:rFonts w:ascii="Arial" w:cs="Arial" w:eastAsia="Arial" w:hAnsi="Arial"/>
          <w:sz w:val="17"/>
          <w:szCs w:val="17"/>
          <w:color w:val="auto"/>
        </w:rPr>
        <w:t>On April 23, 2015, 1,437,500 shares of the Company’s common stock were sold to the Initial Stockholder at a price of approximately $0.02 per share for an aggregate of $25,000. This number includes an aggregate of up to 187,500 shares that are subject to forfeiture if the over-allotment option is not exercised by the underwriters. All of these shares will be placed in escrow until (1) with respect to 50% of the shares, the earlier of six months after the date of the consummation of an initial Business Combination and the date on which the closing price of the Company’s common stock equals or exceeds $12.50 per share (as adjusted for share splits, share dividends, reorganizations and recapitalizations) for any 20 trading days within any 30-trading day period commencing after the Company’s initial business combination and (2) with respect to the remaining 50% of the insider shares, six months after the date of the consummation of an initial Business Combination, or earlier, in either case, if, subsequent to an initial Business Combination, the Company consummates a liquidation, merger, share exchange or other similar transaction which results in all of the Company’s stockholders having the right to exchange their shares for cash, securities or other property.</w:t>
      </w:r>
    </w:p>
    <w:p>
      <w:pPr>
        <w:spacing w:after="0" w:line="184" w:lineRule="exact"/>
        <w:rPr>
          <w:sz w:val="20"/>
          <w:szCs w:val="20"/>
          <w:color w:val="auto"/>
        </w:rPr>
      </w:pPr>
    </w:p>
    <w:p>
      <w:pPr>
        <w:jc w:val="both"/>
        <w:ind w:firstLine="293"/>
        <w:spacing w:after="0" w:line="283" w:lineRule="auto"/>
        <w:rPr>
          <w:sz w:val="20"/>
          <w:szCs w:val="20"/>
          <w:color w:val="auto"/>
        </w:rPr>
      </w:pPr>
      <w:r>
        <w:rPr>
          <w:rFonts w:ascii="Arial" w:cs="Arial" w:eastAsia="Arial" w:hAnsi="Arial"/>
          <w:sz w:val="16"/>
          <w:szCs w:val="16"/>
          <w:color w:val="auto"/>
        </w:rPr>
        <w:t>The Company’s insiders have agreed (A) to vote their insider shares, private shares and any public shares acquired in or after the Offering in favor of any proposed Business Combination, (B) not to propose, or vote in favor of, an amendment to the Company’s certificate of incorporation that would affect the substance or timing of its obligation to redeem 100% of its public shares if it does not complete its initial business combination within 18 months from the closing of the Offering (or 21 months, as applicable), unless the Company provides its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the Company to pay its franchise and income taxes, divided by the number of then outstanding public shares, (C) not to convert any shares (including the insider shares and private shares) into the right to receive cash from the Trust Account in connection with a stockholder vote to approve the Company’s proposed initial Business Combination (or sell any shares they hold to the Company in a tender offer in connection with a proposed initial Business Combination) or a vote to amend the provisions of the Company’s certificate of incorporation relating to the substance or timing of its obligation to redeem 100% of the Company’s public shares if it does not complete its initial business combination within 18 months from the closing of the Offering (or 21 months, as applicable) and (D) that the insider shares and private shares shall not be entitled to be redeemed for a pro rata portion of the funds held in the Trust Account if a Business Combination is not consummated.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b w:val="1"/>
          <w:bCs w:val="1"/>
          <w:color w:val="auto"/>
        </w:rPr>
        <w:t>Until __________, 2015 (25 days after the date of this prospectus), all dealers that buy, sell or trade our ordinary shares, whether or not participating</w:t>
      </w:r>
    </w:p>
    <w:p>
      <w:pPr>
        <w:spacing w:after="0" w:line="36" w:lineRule="exact"/>
        <w:rPr>
          <w:sz w:val="20"/>
          <w:szCs w:val="20"/>
          <w:color w:val="auto"/>
        </w:rPr>
      </w:pPr>
    </w:p>
    <w:p>
      <w:pPr>
        <w:ind w:right="920"/>
        <w:spacing w:after="0" w:line="237" w:lineRule="auto"/>
        <w:rPr>
          <w:sz w:val="20"/>
          <w:szCs w:val="20"/>
          <w:color w:val="auto"/>
        </w:rPr>
      </w:pPr>
      <w:r>
        <w:rPr>
          <w:rFonts w:ascii="Arial" w:cs="Arial" w:eastAsia="Arial" w:hAnsi="Arial"/>
          <w:sz w:val="18"/>
          <w:szCs w:val="18"/>
          <w:b w:val="1"/>
          <w:bCs w:val="1"/>
          <w:color w:val="auto"/>
        </w:rPr>
        <w:t>in this offering, may be required to deliver a prospectus. This is in addition to the dealers’ obligation to deliver a prospectus when acting as underwriters and with respect to their unsold allotments or subscriptions.</w:t>
      </w:r>
    </w:p>
    <w:p>
      <w:pPr>
        <w:spacing w:after="0" w:line="17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No dealer, salesperson or any other person is authorized to give any information or make any representations in connection with this offering other than those contained in this prospectus and, if given or made, the information or representations must not be relied upon as having been authorized by us. This prospectus does not constitute an offer to sell or a solicitation of an offer to buy any security other than the securities offered by this prospectus, or an offer to sell or a solicitation of an offer to buy any securities by anyone in any jurisdiction in which the offer or solicitation is not authorized or is unlawful.</w:t>
      </w:r>
    </w:p>
    <w:p>
      <w:pPr>
        <w:spacing w:after="0" w:line="156"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$50,000,000</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M I Acquisitions, Inc.</w:t>
      </w:r>
    </w:p>
    <w:p>
      <w:pPr>
        <w:spacing w:after="0" w:line="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5,000,000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2900045</wp:posOffset>
            </wp:positionH>
            <wp:positionV relativeFrom="paragraph">
              <wp:posOffset>173990</wp:posOffset>
            </wp:positionV>
            <wp:extent cx="14566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2900045</wp:posOffset>
            </wp:positionH>
            <wp:positionV relativeFrom="paragraph">
              <wp:posOffset>49530</wp:posOffset>
            </wp:positionV>
            <wp:extent cx="14566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35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Sole Book-Running Manager</w:t>
      </w:r>
    </w:p>
    <w:p>
      <w:pPr>
        <w:spacing w:after="0" w:line="1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Chardan Capital Markets, LLC</w:t>
      </w:r>
    </w:p>
    <w:p>
      <w:pPr>
        <w:spacing w:after="0" w:line="209"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409575</wp:posOffset>
            </wp:positionV>
            <wp:extent cx="724852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106" w:name="page107"/>
    <w:bookmarkEnd w:id="106"/>
    <w:p>
      <w:pPr>
        <w:ind w:left="5740"/>
        <w:spacing w:after="0"/>
        <w:rPr>
          <w:sz w:val="20"/>
          <w:szCs w:val="20"/>
          <w:color w:val="auto"/>
        </w:rPr>
      </w:pPr>
      <w:r>
        <w:rPr>
          <w:rFonts w:ascii="Arial" w:cs="Arial" w:eastAsia="Arial" w:hAnsi="Arial"/>
          <w:sz w:val="18"/>
          <w:szCs w:val="18"/>
          <w:b w:val="1"/>
          <w:bCs w:val="1"/>
          <w:color w:val="auto"/>
        </w:rPr>
        <w:t>PART II</w:t>
      </w:r>
    </w:p>
    <w:p>
      <w:pPr>
        <w:spacing w:after="0" w:line="22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26"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 estimated expenses payable by us in connection with the offering described in this registration statement (other than the underwriting discount and commissions) will be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Trustees fee</w:t>
            </w: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r>
      <w:tr>
        <w:trPr>
          <w:trHeight w:val="213"/>
        </w:trPr>
        <w:tc>
          <w:tcPr>
            <w:tcW w:w="10060" w:type="dxa"/>
            <w:vAlign w:val="bottom"/>
            <w:gridSpan w:val="2"/>
          </w:tcPr>
          <w:p>
            <w:pPr>
              <w:spacing w:after="0"/>
              <w:rPr>
                <w:sz w:val="20"/>
                <w:szCs w:val="20"/>
                <w:color w:val="auto"/>
              </w:rPr>
            </w:pPr>
            <w:r>
              <w:rPr>
                <w:rFonts w:ascii="Arial" w:cs="Arial" w:eastAsia="Arial" w:hAnsi="Arial"/>
                <w:sz w:val="18"/>
                <w:szCs w:val="18"/>
                <w:color w:val="auto"/>
              </w:rPr>
              <w:t>SEC Registration fees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10,171</w:t>
            </w:r>
          </w:p>
        </w:tc>
        <w:tc>
          <w:tcPr>
            <w:tcW w:w="100" w:type="dxa"/>
            <w:vAlign w:val="bottom"/>
          </w:tcPr>
          <w:p>
            <w:pPr>
              <w:spacing w:after="0"/>
              <w:rPr>
                <w:sz w:val="18"/>
                <w:szCs w:val="18"/>
                <w:color w:val="auto"/>
              </w:rPr>
            </w:pPr>
          </w:p>
        </w:tc>
      </w:tr>
      <w:tr>
        <w:trPr>
          <w:trHeight w:val="213"/>
        </w:trPr>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15,650</w:t>
            </w:r>
          </w:p>
        </w:tc>
        <w:tc>
          <w:tcPr>
            <w:tcW w:w="100" w:type="dxa"/>
            <w:vAlign w:val="bottom"/>
            <w:shd w:val="clear" w:color="auto" w:fill="CCEEFF"/>
          </w:tcPr>
          <w:p>
            <w:pPr>
              <w:spacing w:after="0"/>
              <w:rPr>
                <w:sz w:val="18"/>
                <w:szCs w:val="18"/>
                <w:color w:val="auto"/>
              </w:rPr>
            </w:pPr>
          </w:p>
        </w:tc>
      </w:tr>
      <w:tr>
        <w:trPr>
          <w:trHeight w:val="213"/>
        </w:trPr>
        <w:tc>
          <w:tcPr>
            <w:tcW w:w="1006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53,500</w:t>
            </w:r>
          </w:p>
        </w:tc>
        <w:tc>
          <w:tcPr>
            <w:tcW w:w="100" w:type="dxa"/>
            <w:vAlign w:val="bottom"/>
          </w:tcPr>
          <w:p>
            <w:pPr>
              <w:spacing w:after="0"/>
              <w:rPr>
                <w:sz w:val="18"/>
                <w:szCs w:val="18"/>
                <w:color w:val="auto"/>
              </w:rPr>
            </w:pPr>
          </w:p>
        </w:tc>
      </w:tr>
      <w:tr>
        <w:trPr>
          <w:trHeight w:val="213"/>
        </w:trPr>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listing fees</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8"/>
                <w:szCs w:val="18"/>
                <w:color w:val="auto"/>
              </w:rPr>
            </w:pPr>
          </w:p>
        </w:tc>
      </w:tr>
      <w:tr>
        <w:trPr>
          <w:trHeight w:val="213"/>
        </w:trPr>
        <w:tc>
          <w:tcPr>
            <w:tcW w:w="1006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8"/>
                <w:szCs w:val="18"/>
                <w:color w:val="auto"/>
              </w:rPr>
            </w:pPr>
          </w:p>
        </w:tc>
      </w:tr>
      <w:tr>
        <w:trPr>
          <w:trHeight w:val="213"/>
        </w:trPr>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305,000</w:t>
            </w:r>
          </w:p>
        </w:tc>
        <w:tc>
          <w:tcPr>
            <w:tcW w:w="100" w:type="dxa"/>
            <w:vAlign w:val="bottom"/>
            <w:shd w:val="clear" w:color="auto" w:fill="CCEEFF"/>
          </w:tcPr>
          <w:p>
            <w:pPr>
              <w:spacing w:after="0"/>
              <w:rPr>
                <w:sz w:val="18"/>
                <w:szCs w:val="18"/>
                <w:color w:val="auto"/>
              </w:rPr>
            </w:pPr>
          </w:p>
        </w:tc>
      </w:tr>
      <w:tr>
        <w:trPr>
          <w:trHeight w:val="226"/>
        </w:trPr>
        <w:tc>
          <w:tcPr>
            <w:tcW w:w="10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Miscellaneous (1)</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15,769</w:t>
            </w:r>
          </w:p>
        </w:tc>
        <w:tc>
          <w:tcPr>
            <w:tcW w:w="100" w:type="dxa"/>
            <w:vAlign w:val="bottom"/>
            <w:tcBorders>
              <w:bottom w:val="single" w:sz="8" w:color="CCEEFF"/>
            </w:tcBorders>
          </w:tcPr>
          <w:p>
            <w:pPr>
              <w:spacing w:after="0"/>
              <w:rPr>
                <w:sz w:val="19"/>
                <w:szCs w:val="19"/>
                <w:color w:val="auto"/>
              </w:rPr>
            </w:pPr>
          </w:p>
        </w:tc>
      </w:tr>
      <w:tr>
        <w:trPr>
          <w:trHeight w:val="207"/>
        </w:trPr>
        <w:tc>
          <w:tcPr>
            <w:tcW w:w="228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9"/>
        </w:trPr>
        <w:tc>
          <w:tcPr>
            <w:tcW w:w="10060" w:type="dxa"/>
            <w:vAlign w:val="bottom"/>
            <w:gridSpan w:val="2"/>
          </w:tcPr>
          <w:p>
            <w:pPr>
              <w:ind w:left="96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475,000</w:t>
            </w:r>
          </w:p>
        </w:tc>
        <w:tc>
          <w:tcPr>
            <w:tcW w:w="100" w:type="dxa"/>
            <w:vAlign w:val="bottom"/>
          </w:tcPr>
          <w:p>
            <w:pPr>
              <w:spacing w:after="0"/>
              <w:rPr>
                <w:sz w:val="20"/>
                <w:szCs w:val="20"/>
                <w:color w:val="auto"/>
              </w:rPr>
            </w:pPr>
          </w:p>
        </w:tc>
      </w:tr>
      <w:tr>
        <w:trPr>
          <w:trHeight w:val="20"/>
        </w:trPr>
        <w:tc>
          <w:tcPr>
            <w:tcW w:w="228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7"/>
        </w:trPr>
        <w:tc>
          <w:tcPr>
            <w:tcW w:w="2280" w:type="dxa"/>
            <w:vAlign w:val="bottom"/>
            <w:tcBorders>
              <w:bottom w:val="single" w:sz="8" w:color="auto"/>
            </w:tcBorders>
          </w:tcPr>
          <w:p>
            <w:pPr>
              <w:spacing w:after="0"/>
              <w:rPr>
                <w:sz w:val="21"/>
                <w:szCs w:val="21"/>
                <w:color w:val="auto"/>
              </w:rPr>
            </w:pPr>
          </w:p>
        </w:tc>
        <w:tc>
          <w:tcPr>
            <w:tcW w:w="7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214" w:lineRule="exact"/>
        <w:rPr>
          <w:sz w:val="20"/>
          <w:szCs w:val="20"/>
          <w:color w:val="auto"/>
        </w:rPr>
      </w:pPr>
    </w:p>
    <w:p>
      <w:pPr>
        <w:ind w:left="580" w:hanging="573"/>
        <w:spacing w:after="0" w:line="267"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This amount represents additional expenses that may be incurred by the Company in connection with the offering and over and above those specifically listed above, including liability insurance, distribution and mailing costs.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26"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Our certificate of incorporation provides that all directors, officers, employees and agents of the registrant shall be entitled to be indemnified by us to the fullest extent permitted by Section 145 of the Delaware General Corporation Law.</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Section 145 of the Delaware General Corporation Law concerning indemnification of officers, directors, employees and agents is set forth below.</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“Section 145. Indemnification of officers, directors, employees and agents; insurance.</w:t>
      </w:r>
    </w:p>
    <w:p>
      <w:pPr>
        <w:spacing w:after="0" w:line="220" w:lineRule="exact"/>
        <w:rPr>
          <w:sz w:val="20"/>
          <w:szCs w:val="20"/>
          <w:color w:val="auto"/>
        </w:rPr>
      </w:pPr>
    </w:p>
    <w:p>
      <w:pPr>
        <w:jc w:val="both"/>
        <w:ind w:firstLine="7"/>
        <w:spacing w:after="0" w:line="284" w:lineRule="auto"/>
        <w:tabs>
          <w:tab w:leader="none" w:pos="248" w:val="left"/>
        </w:tabs>
        <w:numPr>
          <w:ilvl w:val="0"/>
          <w:numId w:val="57"/>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69" w:lineRule="exact"/>
        <w:rPr>
          <w:rFonts w:ascii="Arial" w:cs="Arial" w:eastAsia="Arial" w:hAnsi="Arial"/>
          <w:sz w:val="16"/>
          <w:szCs w:val="16"/>
          <w:color w:val="auto"/>
        </w:rPr>
      </w:pPr>
    </w:p>
    <w:p>
      <w:pPr>
        <w:jc w:val="both"/>
        <w:ind w:firstLine="7"/>
        <w:spacing w:after="0" w:line="284" w:lineRule="auto"/>
        <w:tabs>
          <w:tab w:leader="none" w:pos="258" w:val="left"/>
        </w:tabs>
        <w:numPr>
          <w:ilvl w:val="0"/>
          <w:numId w:val="57"/>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107" w:name="page108"/>
    <w:bookmarkEnd w:id="107"/>
    <w:p>
      <w:pPr>
        <w:jc w:val="both"/>
        <w:ind w:firstLine="7"/>
        <w:spacing w:after="0" w:line="257" w:lineRule="auto"/>
        <w:tabs>
          <w:tab w:leader="none" w:pos="25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188" w:lineRule="exact"/>
        <w:rPr>
          <w:rFonts w:ascii="Arial" w:cs="Arial" w:eastAsia="Arial" w:hAnsi="Arial"/>
          <w:sz w:val="18"/>
          <w:szCs w:val="18"/>
          <w:color w:val="auto"/>
        </w:rPr>
      </w:pPr>
    </w:p>
    <w:p>
      <w:pPr>
        <w:jc w:val="both"/>
        <w:ind w:firstLine="7"/>
        <w:spacing w:after="0" w:line="288" w:lineRule="auto"/>
        <w:tabs>
          <w:tab w:leader="none" w:pos="268"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68" w:lineRule="exact"/>
        <w:rPr>
          <w:rFonts w:ascii="Arial" w:cs="Arial" w:eastAsia="Arial" w:hAnsi="Arial"/>
          <w:sz w:val="16"/>
          <w:szCs w:val="16"/>
          <w:color w:val="auto"/>
        </w:rPr>
      </w:pPr>
    </w:p>
    <w:p>
      <w:pPr>
        <w:jc w:val="both"/>
        <w:ind w:firstLine="7"/>
        <w:spacing w:after="0" w:line="252" w:lineRule="auto"/>
        <w:tabs>
          <w:tab w:leader="none" w:pos="274"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93" w:lineRule="exact"/>
        <w:rPr>
          <w:rFonts w:ascii="Arial" w:cs="Arial" w:eastAsia="Arial" w:hAnsi="Arial"/>
          <w:sz w:val="18"/>
          <w:szCs w:val="18"/>
          <w:color w:val="auto"/>
        </w:rPr>
      </w:pPr>
    </w:p>
    <w:p>
      <w:pPr>
        <w:jc w:val="both"/>
        <w:ind w:firstLine="7"/>
        <w:spacing w:after="0" w:line="267" w:lineRule="auto"/>
        <w:tabs>
          <w:tab w:leader="none" w:pos="224"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84" w:lineRule="exact"/>
        <w:rPr>
          <w:rFonts w:ascii="Arial" w:cs="Arial" w:eastAsia="Arial" w:hAnsi="Arial"/>
          <w:sz w:val="17"/>
          <w:szCs w:val="17"/>
          <w:color w:val="auto"/>
        </w:rPr>
      </w:pPr>
    </w:p>
    <w:p>
      <w:pPr>
        <w:jc w:val="both"/>
        <w:ind w:firstLine="7"/>
        <w:spacing w:after="0" w:line="273" w:lineRule="auto"/>
        <w:tabs>
          <w:tab w:leader="none" w:pos="27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390" w:lineRule="exact"/>
        <w:rPr>
          <w:rFonts w:ascii="Arial" w:cs="Arial" w:eastAsia="Arial" w:hAnsi="Arial"/>
          <w:sz w:val="17"/>
          <w:szCs w:val="17"/>
          <w:color w:val="auto"/>
        </w:rPr>
      </w:pPr>
    </w:p>
    <w:p>
      <w:pPr>
        <w:jc w:val="both"/>
        <w:ind w:firstLine="7"/>
        <w:spacing w:after="0" w:line="269" w:lineRule="auto"/>
        <w:tabs>
          <w:tab w:leader="none" w:pos="253" w:val="left"/>
        </w:tabs>
        <w:numPr>
          <w:ilvl w:val="0"/>
          <w:numId w:val="58"/>
        </w:numPr>
        <w:rPr>
          <w:rFonts w:ascii="Arial" w:cs="Arial" w:eastAsia="Arial" w:hAnsi="Arial"/>
          <w:sz w:val="17"/>
          <w:szCs w:val="17"/>
          <w:color w:val="auto"/>
        </w:rPr>
      </w:pPr>
      <w:r>
        <w:rPr>
          <w:rFonts w:ascii="Arial" w:cs="Arial" w:eastAsia="Arial" w:hAnsi="Arial"/>
          <w:sz w:val="17"/>
          <w:szCs w:val="17"/>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178" w:lineRule="exact"/>
        <w:rPr>
          <w:rFonts w:ascii="Arial" w:cs="Arial" w:eastAsia="Arial" w:hAnsi="Arial"/>
          <w:sz w:val="17"/>
          <w:szCs w:val="17"/>
          <w:color w:val="auto"/>
        </w:rPr>
      </w:pPr>
    </w:p>
    <w:p>
      <w:pPr>
        <w:jc w:val="both"/>
        <w:ind w:firstLine="7"/>
        <w:spacing w:after="0" w:line="251" w:lineRule="auto"/>
        <w:tabs>
          <w:tab w:leader="none" w:pos="235"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108" w:name="page109"/>
    <w:bookmarkEnd w:id="108"/>
    <w:p>
      <w:pPr>
        <w:jc w:val="both"/>
        <w:ind w:firstLine="7"/>
        <w:spacing w:after="0" w:line="257" w:lineRule="auto"/>
        <w:tabs>
          <w:tab w:leader="none" w:pos="232"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188" w:lineRule="exact"/>
        <w:rPr>
          <w:rFonts w:ascii="Arial" w:cs="Arial" w:eastAsia="Arial" w:hAnsi="Arial"/>
          <w:sz w:val="18"/>
          <w:szCs w:val="18"/>
          <w:color w:val="auto"/>
        </w:rPr>
      </w:pPr>
    </w:p>
    <w:p>
      <w:pPr>
        <w:jc w:val="both"/>
        <w:ind w:firstLine="7"/>
        <w:spacing w:after="0" w:line="257" w:lineRule="auto"/>
        <w:tabs>
          <w:tab w:leader="none" w:pos="27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9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accordance with Section 102(b)(7) of the DGCL, our certificate of incorporation, will provide that no director shall be personally liable to us or any of our stockholders for monetary damages resulting from breaches of their fiduciary duty as directors, except to the extent such limitation on or exemption from liability is not permitted under the DGCL unless they violated their duty of loyalty to the Company or its stockholders, acted in bad faith, knowingly or intentionally violated the law, authorized unlawful payments of dividends, unlawful stock purchases or unlawful redemptions, or derived improper personal benefit from their actions as directors. The effect of this provision of our certificate of incorporation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20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the DGCL is amended to authorize corporate action further eliminating or limiting the liability of directors, then, in accordance with our certificate of incorporation, the liability of our directors to us or our stockholders will be eliminated or limited to the fullest extent authorized by the DGCL, as so amended. Any repeal or amendment of provisions of our certificate of incorporation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spacing w:after="0" w:line="18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certificate of incorporation will also provide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 Notwithstanding the foregoing, a person eligible for indemnification pursuant to our certificate of incorporation will be indemnified by us in connection with a proceeding initiated by such person only if such proceeding was authorized by our board of directors, except for proceedings to enforce rights to indemnification.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109" w:name="page110"/>
    <w:bookmarkEnd w:id="109"/>
    <w:p>
      <w:pPr>
        <w:jc w:val="both"/>
        <w:spacing w:after="0" w:line="270" w:lineRule="auto"/>
        <w:rPr>
          <w:sz w:val="20"/>
          <w:szCs w:val="20"/>
          <w:color w:val="auto"/>
        </w:rPr>
      </w:pPr>
      <w:r>
        <w:rPr>
          <w:rFonts w:ascii="Arial" w:cs="Arial" w:eastAsia="Arial" w:hAnsi="Arial"/>
          <w:sz w:val="17"/>
          <w:szCs w:val="17"/>
          <w:color w:val="auto"/>
        </w:rPr>
        <w:t>The right to indemnification conferred by our certificate of incorporation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certificate of incorporation or otherwise.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rights to indemnification and advancement of expenses will not be deemed exclusive of any other rights which any person covered by our certificate of incorporation may have or hereafter acquire under law, our certificate of incorporation, our bylaws, an agreement, vote of stockholders or disinterested directors, or otherwise.</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Any repeal or amendment of provisions of our certificate of incorporation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certificate of incorporation will also permit us, to the extent and in the manner authorized or permitted by law, to indemnify and to advance expenses to persons other that those specifically covered by our certificate of incorporation.</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bylaws, which we intend to adopt immediately prior to the closing of this offering, include the provisions relating to advancement of expenses and indemnification rights consistent with those set forth in our certificate of incorporation.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9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enter into indemnity agreements with each of our officers and directors a form of which is filed as Exhibit 10.6 to this Registration Statement. These agreements will require us to indemnify these individuals to the fullest extent permitted under Delaware law and to advance expenses incurred as a result of any proceeding against them as to which they could be indemnified.</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Underwriting Agreement filed as Exhibit 1.1 to this Registration Statement, we have agreed to indemnify the Underwriters and the Underwriters have agreed to indemnify us against certain civil liabilities that may be incurred in connection with this offering, including certain liabilities under the Securities Act.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2015, our insiders purchased an aggregate of 1,437,500 shares of our common stock for an aggregate purchase price of $25,000, or approximately $.02 per share. Such shares were issued in connection with our organization pursuant to the exemption from registration contained in Section 4(a)(2) of the Securities Act as they were sold to accredited investors.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the Company’s insiders (and/or their designees) have committed to purchase an aggregate of 250,000 private units from us on a private placement basis simultaneously with the consummation of this offering, for an aggregate purchase price of $2,500,000. These purchases will take place on a private placement basis simultaneously with the consummation of our initial public offering. Our insiders have also agreed that if the over-allotment option is exercised by the underwriters in full or in part, they will purchase from us at a price of $10.00 per unit the number of private units (up to a maximum of 22,500 private units) that is necessary to maintain in the trust account an amount equal to $10.00 per share sold to the public in this offering. These purchases will be made pursuant to the exemption from registration contained in Section 4(a)(2) of the Securities Act.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exhibit index attached hereto is incorporated herein by reference.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(a) The undersigned registrant hereby undertakes:</w:t>
      </w:r>
    </w:p>
    <w:p>
      <w:pPr>
        <w:spacing w:after="0" w:line="220" w:lineRule="exact"/>
        <w:rPr>
          <w:sz w:val="20"/>
          <w:szCs w:val="20"/>
          <w:color w:val="auto"/>
        </w:rPr>
      </w:pPr>
    </w:p>
    <w:p>
      <w:pPr>
        <w:ind w:right="2340" w:firstLine="7"/>
        <w:spacing w:after="0" w:line="494" w:lineRule="auto"/>
        <w:tabs>
          <w:tab w:leader="none" w:pos="252"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 i. To include any prospectus required by Section 10(a)(3) of the Securities Act of 1933;</w:t>
      </w:r>
    </w:p>
    <w:p>
      <w:pPr>
        <w:spacing w:after="0" w:line="1" w:lineRule="exact"/>
        <w:rPr>
          <w:sz w:val="20"/>
          <w:szCs w:val="20"/>
          <w:color w:val="auto"/>
        </w:rPr>
      </w:pPr>
    </w:p>
    <w:p>
      <w:pPr>
        <w:jc w:val="both"/>
        <w:ind w:firstLine="7"/>
        <w:spacing w:after="0" w:line="269" w:lineRule="auto"/>
        <w:tabs>
          <w:tab w:leader="none" w:pos="207" w:val="left"/>
        </w:tabs>
        <w:numPr>
          <w:ilvl w:val="0"/>
          <w:numId w:val="61"/>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78" w:lineRule="exact"/>
        <w:rPr>
          <w:rFonts w:ascii="Arial" w:cs="Arial" w:eastAsia="Arial" w:hAnsi="Arial"/>
          <w:sz w:val="17"/>
          <w:szCs w:val="17"/>
          <w:color w:val="auto"/>
        </w:rPr>
      </w:pPr>
    </w:p>
    <w:p>
      <w:pPr>
        <w:ind w:firstLine="7"/>
        <w:spacing w:after="0" w:line="267" w:lineRule="auto"/>
        <w:tabs>
          <w:tab w:leader="none" w:pos="24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0" w:lineRule="exact"/>
        <w:rPr>
          <w:sz w:val="20"/>
          <w:szCs w:val="20"/>
          <w:color w:val="auto"/>
        </w:rPr>
      </w:pPr>
    </w:p>
    <w:p>
      <w:pPr>
        <w:jc w:val="both"/>
        <w:ind w:firstLine="7"/>
        <w:spacing w:after="0" w:line="257" w:lineRule="auto"/>
        <w:tabs>
          <w:tab w:leader="none" w:pos="276"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8" w:lineRule="exact"/>
        <w:rPr>
          <w:rFonts w:ascii="Arial" w:cs="Arial" w:eastAsia="Arial" w:hAnsi="Arial"/>
          <w:sz w:val="18"/>
          <w:szCs w:val="18"/>
          <w:color w:val="auto"/>
        </w:rPr>
      </w:pPr>
    </w:p>
    <w:p>
      <w:pPr>
        <w:ind w:firstLine="7"/>
        <w:spacing w:after="0" w:line="267" w:lineRule="auto"/>
        <w:tabs>
          <w:tab w:leader="none" w:pos="263"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9" w:lineRule="exact"/>
        <w:rPr>
          <w:rFonts w:ascii="Arial" w:cs="Arial" w:eastAsia="Arial" w:hAnsi="Arial"/>
          <w:sz w:val="18"/>
          <w:szCs w:val="18"/>
          <w:color w:val="auto"/>
        </w:rPr>
      </w:pPr>
    </w:p>
    <w:p>
      <w:pPr>
        <w:jc w:val="both"/>
        <w:ind w:firstLine="7"/>
        <w:spacing w:after="0" w:line="254" w:lineRule="auto"/>
        <w:tabs>
          <w:tab w:leader="none" w:pos="25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91" w:lineRule="exact"/>
        <w:rPr>
          <w:sz w:val="20"/>
          <w:szCs w:val="20"/>
          <w:color w:val="auto"/>
        </w:rPr>
      </w:pPr>
    </w:p>
    <w:p>
      <w:pPr>
        <w:ind w:left="220" w:hanging="213"/>
        <w:spacing w:after="0"/>
        <w:tabs>
          <w:tab w:leader="none" w:pos="2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219" w:lineRule="exact"/>
        <w:rPr>
          <w:rFonts w:ascii="Arial" w:cs="Arial" w:eastAsia="Arial" w:hAnsi="Arial"/>
          <w:sz w:val="18"/>
          <w:szCs w:val="18"/>
          <w:color w:val="auto"/>
        </w:rPr>
      </w:pPr>
    </w:p>
    <w:p>
      <w:pPr>
        <w:ind w:firstLine="7"/>
        <w:spacing w:after="0" w:line="267" w:lineRule="auto"/>
        <w:tabs>
          <w:tab w:leader="none" w:pos="289"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9" w:lineRule="exact"/>
        <w:rPr>
          <w:rFonts w:ascii="Arial" w:cs="Arial" w:eastAsia="Arial" w:hAnsi="Arial"/>
          <w:sz w:val="18"/>
          <w:szCs w:val="18"/>
          <w:color w:val="auto"/>
        </w:rPr>
      </w:pPr>
    </w:p>
    <w:p>
      <w:pPr>
        <w:ind w:firstLine="7"/>
        <w:spacing w:after="0" w:line="267" w:lineRule="auto"/>
        <w:tabs>
          <w:tab w:leader="none" w:pos="324"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9" w:lineRule="exact"/>
        <w:rPr>
          <w:rFonts w:ascii="Arial" w:cs="Arial" w:eastAsia="Arial" w:hAnsi="Arial"/>
          <w:sz w:val="18"/>
          <w:szCs w:val="18"/>
          <w:color w:val="auto"/>
        </w:rPr>
      </w:pPr>
    </w:p>
    <w:p>
      <w:pPr>
        <w:ind w:left="300" w:hanging="293"/>
        <w:spacing w:after="0"/>
        <w:tabs>
          <w:tab w:leader="none" w:pos="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0" w:lineRule="exact"/>
        <w:rPr>
          <w:sz w:val="20"/>
          <w:szCs w:val="20"/>
          <w:color w:val="auto"/>
        </w:rPr>
      </w:pPr>
    </w:p>
    <w:p>
      <w:pPr>
        <w:jc w:val="both"/>
        <w:ind w:firstLine="7"/>
        <w:spacing w:after="0" w:line="287" w:lineRule="auto"/>
        <w:tabs>
          <w:tab w:leader="none" w:pos="266"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111" w:name="page112"/>
    <w:bookmarkEnd w:id="111"/>
    <w:p>
      <w:pPr>
        <w:ind w:right="20" w:firstLine="7"/>
        <w:spacing w:after="0" w:line="267" w:lineRule="auto"/>
        <w:tabs>
          <w:tab w:leader="none" w:pos="256"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undersigned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79" w:lineRule="exact"/>
        <w:rPr>
          <w:rFonts w:ascii="Arial" w:cs="Arial" w:eastAsia="Arial" w:hAnsi="Arial"/>
          <w:sz w:val="18"/>
          <w:szCs w:val="18"/>
          <w:color w:val="auto"/>
        </w:rPr>
      </w:pPr>
    </w:p>
    <w:p>
      <w:pPr>
        <w:jc w:val="both"/>
        <w:ind w:firstLine="7"/>
        <w:spacing w:after="0" w:line="287" w:lineRule="auto"/>
        <w:tabs>
          <w:tab w:leader="none" w:pos="265"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66" w:lineRule="exact"/>
        <w:rPr>
          <w:rFonts w:ascii="Arial" w:cs="Arial" w:eastAsia="Arial" w:hAnsi="Arial"/>
          <w:sz w:val="16"/>
          <w:szCs w:val="16"/>
          <w:color w:val="auto"/>
        </w:rPr>
      </w:pPr>
    </w:p>
    <w:p>
      <w:pPr>
        <w:ind w:left="260" w:hanging="253"/>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0" w:lineRule="exact"/>
        <w:rPr>
          <w:sz w:val="20"/>
          <w:szCs w:val="20"/>
          <w:color w:val="auto"/>
        </w:rPr>
      </w:pPr>
    </w:p>
    <w:p>
      <w:pPr>
        <w:jc w:val="both"/>
        <w:ind w:firstLine="7"/>
        <w:spacing w:after="0" w:line="257" w:lineRule="auto"/>
        <w:tabs>
          <w:tab w:leader="none" w:pos="279"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8" w:lineRule="exact"/>
        <w:rPr>
          <w:rFonts w:ascii="Arial" w:cs="Arial" w:eastAsia="Arial" w:hAnsi="Arial"/>
          <w:sz w:val="18"/>
          <w:szCs w:val="18"/>
          <w:color w:val="auto"/>
        </w:rPr>
      </w:pPr>
    </w:p>
    <w:p>
      <w:pPr>
        <w:jc w:val="both"/>
        <w:ind w:firstLine="7"/>
        <w:spacing w:after="0" w:line="257" w:lineRule="auto"/>
        <w:tabs>
          <w:tab w:leader="none" w:pos="266"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SIGNATURES</w:t>
      </w:r>
    </w:p>
    <w:p>
      <w:pPr>
        <w:spacing w:after="0" w:line="199"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_____________, State of ___________, on the ___ day of October, 2015.</w:t>
      </w:r>
    </w:p>
    <w:p>
      <w:pPr>
        <w:spacing w:after="0" w:line="280"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M I ACQUISITIONS, INC.</w:t>
      </w:r>
    </w:p>
    <w:p>
      <w:pPr>
        <w:spacing w:after="0" w:line="22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4449445</wp:posOffset>
            </wp:positionH>
            <wp:positionV relativeFrom="paragraph">
              <wp:posOffset>12065</wp:posOffset>
            </wp:positionV>
            <wp:extent cx="20828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ind w:left="6740"/>
        <w:spacing w:after="0"/>
        <w:rPr>
          <w:sz w:val="20"/>
          <w:szCs w:val="20"/>
          <w:color w:val="auto"/>
        </w:rPr>
      </w:pPr>
      <w:r>
        <w:rPr>
          <w:rFonts w:ascii="Arial" w:cs="Arial" w:eastAsia="Arial" w:hAnsi="Arial"/>
          <w:sz w:val="18"/>
          <w:szCs w:val="18"/>
          <w:color w:val="auto"/>
        </w:rPr>
        <w:t>Joshua Sason</w:t>
      </w:r>
    </w:p>
    <w:p>
      <w:pPr>
        <w:spacing w:after="0" w:line="1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Executive Officer</w:t>
      </w:r>
    </w:p>
    <w:p>
      <w:pPr>
        <w:spacing w:after="0" w:line="209" w:lineRule="exact"/>
        <w:rPr>
          <w:sz w:val="20"/>
          <w:szCs w:val="20"/>
          <w:color w:val="auto"/>
        </w:rPr>
      </w:pPr>
    </w:p>
    <w:p>
      <w:pPr>
        <w:ind w:firstLine="640"/>
        <w:spacing w:after="0" w:line="26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5020" w:type="dxa"/>
            <w:vAlign w:val="bottom"/>
          </w:tcPr>
          <w:p>
            <w:pPr>
              <w:jc w:val="center"/>
              <w:spacing w:after="0"/>
              <w:rPr>
                <w:sz w:val="20"/>
                <w:szCs w:val="20"/>
                <w:color w:val="auto"/>
              </w:rPr>
            </w:pPr>
            <w:r>
              <w:rPr>
                <w:rFonts w:ascii="Arial" w:cs="Arial" w:eastAsia="Arial" w:hAnsi="Arial"/>
                <w:sz w:val="18"/>
                <w:szCs w:val="18"/>
                <w:b w:val="1"/>
                <w:bCs w:val="1"/>
                <w:color w:val="auto"/>
                <w:w w:val="97"/>
              </w:rPr>
              <w:t>Title</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27"/>
        </w:trPr>
        <w:tc>
          <w:tcPr>
            <w:tcW w:w="2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3"/>
              </w:rPr>
              <w:t>/s/ Joshua Sason</w:t>
            </w:r>
          </w:p>
        </w:tc>
        <w:tc>
          <w:tcPr>
            <w:tcW w:w="502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October___, 2015</w:t>
            </w:r>
          </w:p>
        </w:tc>
      </w:tr>
      <w:tr>
        <w:trPr>
          <w:trHeight w:val="219"/>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Joshua Sason</w:t>
            </w:r>
          </w:p>
        </w:tc>
        <w:tc>
          <w:tcPr>
            <w:tcW w:w="5020" w:type="dxa"/>
            <w:vAlign w:val="bottom"/>
          </w:tcPr>
          <w:p>
            <w:pPr>
              <w:jc w:val="center"/>
              <w:spacing w:after="0" w:line="204" w:lineRule="exact"/>
              <w:rPr>
                <w:sz w:val="20"/>
                <w:szCs w:val="20"/>
                <w:color w:val="auto"/>
              </w:rPr>
            </w:pPr>
            <w:r>
              <w:rPr>
                <w:rFonts w:ascii="Arial" w:cs="Arial" w:eastAsia="Arial" w:hAnsi="Arial"/>
                <w:sz w:val="18"/>
                <w:szCs w:val="18"/>
                <w:color w:val="auto"/>
                <w:w w:val="92"/>
              </w:rPr>
              <w:t>(Principal Executive, Accounting and Financial Officer)</w:t>
            </w:r>
          </w:p>
        </w:tc>
        <w:tc>
          <w:tcPr>
            <w:tcW w:w="2280" w:type="dxa"/>
            <w:vAlign w:val="bottom"/>
          </w:tcPr>
          <w:p>
            <w:pPr>
              <w:spacing w:after="0"/>
              <w:rPr>
                <w:sz w:val="19"/>
                <w:szCs w:val="19"/>
                <w:color w:val="auto"/>
              </w:rPr>
            </w:pPr>
          </w:p>
        </w:tc>
      </w:tr>
      <w:tr>
        <w:trPr>
          <w:trHeight w:val="649"/>
        </w:trPr>
        <w:tc>
          <w:tcPr>
            <w:tcW w:w="20" w:type="dxa"/>
            <w:vAlign w:val="bottom"/>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II-7</w:t>
            </w: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55" w:right="239" w:bottom="144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60" w:type="dxa"/>
            <w:vAlign w:val="bottom"/>
          </w:tcPr>
          <w:p>
            <w:pPr>
              <w:ind w:left="3900"/>
              <w:spacing w:after="0"/>
              <w:rPr>
                <w:sz w:val="20"/>
                <w:szCs w:val="20"/>
                <w:color w:val="auto"/>
              </w:rPr>
            </w:pPr>
            <w:r>
              <w:rPr>
                <w:rFonts w:ascii="Arial" w:cs="Arial" w:eastAsia="Arial" w:hAnsi="Arial"/>
                <w:sz w:val="18"/>
                <w:szCs w:val="18"/>
                <w:color w:val="auto"/>
              </w:rPr>
              <w:t>EXHIBIT INDEX</w:t>
            </w:r>
          </w:p>
        </w:tc>
      </w:tr>
      <w:tr>
        <w:trPr>
          <w:trHeight w:val="4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Exhibit</w:t>
            </w:r>
          </w:p>
        </w:tc>
        <w:tc>
          <w:tcPr>
            <w:tcW w:w="240" w:type="dxa"/>
            <w:vAlign w:val="bottom"/>
          </w:tcPr>
          <w:p>
            <w:pPr>
              <w:spacing w:after="0"/>
              <w:rPr>
                <w:sz w:val="24"/>
                <w:szCs w:val="24"/>
                <w:color w:val="auto"/>
              </w:rPr>
            </w:pPr>
          </w:p>
        </w:tc>
        <w:tc>
          <w:tcPr>
            <w:tcW w:w="10260" w:type="dxa"/>
            <w:vAlign w:val="bottom"/>
          </w:tcPr>
          <w:p>
            <w:pPr>
              <w:spacing w:after="0"/>
              <w:rPr>
                <w:sz w:val="24"/>
                <w:szCs w:val="24"/>
                <w:color w:val="auto"/>
              </w:rPr>
            </w:pPr>
          </w:p>
        </w:tc>
      </w:tr>
      <w:tr>
        <w:trPr>
          <w:trHeight w:val="225"/>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No.</w:t>
            </w:r>
          </w:p>
        </w:tc>
        <w:tc>
          <w:tcPr>
            <w:tcW w:w="240" w:type="dxa"/>
            <w:vAlign w:val="bottom"/>
          </w:tcPr>
          <w:p>
            <w:pPr>
              <w:spacing w:after="0"/>
              <w:rPr>
                <w:sz w:val="19"/>
                <w:szCs w:val="19"/>
                <w:color w:val="auto"/>
              </w:rPr>
            </w:pPr>
          </w:p>
        </w:tc>
        <w:tc>
          <w:tcPr>
            <w:tcW w:w="10260" w:type="dxa"/>
            <w:vAlign w:val="bottom"/>
            <w:tcBorders>
              <w:bottom w:val="single" w:sz="8" w:color="auto"/>
            </w:tcBorders>
          </w:tcPr>
          <w:p>
            <w:pPr>
              <w:ind w:left="4720"/>
              <w:spacing w:after="0"/>
              <w:rPr>
                <w:sz w:val="20"/>
                <w:szCs w:val="20"/>
                <w:color w:val="auto"/>
              </w:rPr>
            </w:pPr>
            <w:r>
              <w:rPr>
                <w:rFonts w:ascii="Arial" w:cs="Arial" w:eastAsia="Arial" w:hAnsi="Arial"/>
                <w:sz w:val="18"/>
                <w:szCs w:val="18"/>
                <w:color w:val="auto"/>
              </w:rPr>
              <w:t>Description</w:t>
            </w:r>
          </w:p>
        </w:tc>
      </w:tr>
      <w:tr>
        <w:trPr>
          <w:trHeight w:val="406"/>
        </w:trPr>
        <w:tc>
          <w:tcPr>
            <w:tcW w:w="920" w:type="dxa"/>
            <w:vAlign w:val="bottom"/>
          </w:tcPr>
          <w:p>
            <w:pPr>
              <w:spacing w:after="0"/>
              <w:rPr>
                <w:sz w:val="20"/>
                <w:szCs w:val="20"/>
                <w:color w:val="auto"/>
              </w:rPr>
            </w:pPr>
            <w:r>
              <w:rPr>
                <w:rFonts w:ascii="Arial" w:cs="Arial" w:eastAsia="Arial" w:hAnsi="Arial"/>
                <w:sz w:val="18"/>
                <w:szCs w:val="18"/>
                <w:color w:val="auto"/>
              </w:rPr>
              <w:t>1.1*</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Form of Underwriting Agreement.</w:t>
            </w:r>
          </w:p>
        </w:tc>
      </w:tr>
      <w:tr>
        <w:trPr>
          <w:trHeight w:val="413"/>
        </w:trPr>
        <w:tc>
          <w:tcPr>
            <w:tcW w:w="920" w:type="dxa"/>
            <w:vAlign w:val="bottom"/>
          </w:tcPr>
          <w:p>
            <w:pPr>
              <w:jc w:val="center"/>
              <w:ind w:right="411"/>
              <w:spacing w:after="0"/>
              <w:rPr>
                <w:sz w:val="20"/>
                <w:szCs w:val="20"/>
                <w:color w:val="auto"/>
              </w:rPr>
            </w:pPr>
            <w:r>
              <w:rPr>
                <w:rFonts w:ascii="Arial" w:cs="Arial" w:eastAsia="Arial" w:hAnsi="Arial"/>
                <w:sz w:val="18"/>
                <w:szCs w:val="18"/>
                <w:color w:val="auto"/>
                <w:w w:val="93"/>
              </w:rPr>
              <w:t>3.1*</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Certificate of Incorporation.</w:t>
            </w:r>
          </w:p>
        </w:tc>
      </w:tr>
      <w:tr>
        <w:trPr>
          <w:trHeight w:val="413"/>
        </w:trPr>
        <w:tc>
          <w:tcPr>
            <w:tcW w:w="920" w:type="dxa"/>
            <w:vAlign w:val="bottom"/>
          </w:tcPr>
          <w:p>
            <w:pPr>
              <w:jc w:val="center"/>
              <w:ind w:right="411"/>
              <w:spacing w:after="0"/>
              <w:rPr>
                <w:sz w:val="20"/>
                <w:szCs w:val="20"/>
                <w:color w:val="auto"/>
              </w:rPr>
            </w:pPr>
            <w:r>
              <w:rPr>
                <w:rFonts w:ascii="Arial" w:cs="Arial" w:eastAsia="Arial" w:hAnsi="Arial"/>
                <w:sz w:val="18"/>
                <w:szCs w:val="18"/>
                <w:color w:val="auto"/>
                <w:w w:val="93"/>
              </w:rPr>
              <w:t>3.2*</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Form of Amended and Restated Certificate of Incorporation</w:t>
            </w:r>
          </w:p>
        </w:tc>
      </w:tr>
      <w:tr>
        <w:trPr>
          <w:trHeight w:val="413"/>
        </w:trPr>
        <w:tc>
          <w:tcPr>
            <w:tcW w:w="920" w:type="dxa"/>
            <w:vAlign w:val="bottom"/>
          </w:tcPr>
          <w:p>
            <w:pPr>
              <w:jc w:val="center"/>
              <w:ind w:right="411"/>
              <w:spacing w:after="0"/>
              <w:rPr>
                <w:sz w:val="20"/>
                <w:szCs w:val="20"/>
                <w:color w:val="auto"/>
              </w:rPr>
            </w:pPr>
            <w:r>
              <w:rPr>
                <w:rFonts w:ascii="Arial" w:cs="Arial" w:eastAsia="Arial" w:hAnsi="Arial"/>
                <w:sz w:val="18"/>
                <w:szCs w:val="18"/>
                <w:color w:val="auto"/>
                <w:w w:val="93"/>
              </w:rPr>
              <w:t>3.3*</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Bylaws.</w:t>
            </w:r>
          </w:p>
        </w:tc>
      </w:tr>
      <w:tr>
        <w:trPr>
          <w:trHeight w:val="413"/>
        </w:trPr>
        <w:tc>
          <w:tcPr>
            <w:tcW w:w="920" w:type="dxa"/>
            <w:vAlign w:val="bottom"/>
          </w:tcPr>
          <w:p>
            <w:pPr>
              <w:jc w:val="center"/>
              <w:ind w:right="411"/>
              <w:spacing w:after="0"/>
              <w:rPr>
                <w:sz w:val="20"/>
                <w:szCs w:val="20"/>
                <w:color w:val="auto"/>
              </w:rPr>
            </w:pPr>
            <w:r>
              <w:rPr>
                <w:rFonts w:ascii="Arial" w:cs="Arial" w:eastAsia="Arial" w:hAnsi="Arial"/>
                <w:sz w:val="18"/>
                <w:szCs w:val="18"/>
                <w:color w:val="auto"/>
                <w:w w:val="93"/>
              </w:rPr>
              <w:t>4.1*</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Specimen Unit Certificate (filed herewith).</w:t>
            </w:r>
          </w:p>
        </w:tc>
      </w:tr>
      <w:tr>
        <w:trPr>
          <w:trHeight w:val="413"/>
        </w:trPr>
        <w:tc>
          <w:tcPr>
            <w:tcW w:w="920" w:type="dxa"/>
            <w:vAlign w:val="bottom"/>
          </w:tcPr>
          <w:p>
            <w:pPr>
              <w:jc w:val="center"/>
              <w:ind w:right="411"/>
              <w:spacing w:after="0"/>
              <w:rPr>
                <w:sz w:val="20"/>
                <w:szCs w:val="20"/>
                <w:color w:val="auto"/>
              </w:rPr>
            </w:pPr>
            <w:r>
              <w:rPr>
                <w:rFonts w:ascii="Arial" w:cs="Arial" w:eastAsia="Arial" w:hAnsi="Arial"/>
                <w:sz w:val="18"/>
                <w:szCs w:val="18"/>
                <w:color w:val="auto"/>
                <w:w w:val="93"/>
              </w:rPr>
              <w:t>4.2*</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Specimen Common Stock Certificate (filed herewith).</w:t>
            </w:r>
          </w:p>
        </w:tc>
      </w:tr>
      <w:tr>
        <w:trPr>
          <w:trHeight w:val="413"/>
        </w:trPr>
        <w:tc>
          <w:tcPr>
            <w:tcW w:w="920" w:type="dxa"/>
            <w:vAlign w:val="bottom"/>
          </w:tcPr>
          <w:p>
            <w:pPr>
              <w:jc w:val="center"/>
              <w:ind w:right="411"/>
              <w:spacing w:after="0"/>
              <w:rPr>
                <w:sz w:val="20"/>
                <w:szCs w:val="20"/>
                <w:color w:val="auto"/>
              </w:rPr>
            </w:pPr>
            <w:r>
              <w:rPr>
                <w:rFonts w:ascii="Arial" w:cs="Arial" w:eastAsia="Arial" w:hAnsi="Arial"/>
                <w:sz w:val="18"/>
                <w:szCs w:val="18"/>
                <w:color w:val="auto"/>
                <w:w w:val="93"/>
              </w:rPr>
              <w:t>4.3*</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Specimen Warrant Certificate (filed herewith).</w:t>
            </w:r>
          </w:p>
        </w:tc>
      </w:tr>
      <w:tr>
        <w:trPr>
          <w:trHeight w:val="413"/>
        </w:trPr>
        <w:tc>
          <w:tcPr>
            <w:tcW w:w="920" w:type="dxa"/>
            <w:vAlign w:val="bottom"/>
          </w:tcPr>
          <w:p>
            <w:pPr>
              <w:jc w:val="center"/>
              <w:ind w:right="411"/>
              <w:spacing w:after="0"/>
              <w:rPr>
                <w:sz w:val="20"/>
                <w:szCs w:val="20"/>
                <w:color w:val="auto"/>
              </w:rPr>
            </w:pPr>
            <w:r>
              <w:rPr>
                <w:rFonts w:ascii="Arial" w:cs="Arial" w:eastAsia="Arial" w:hAnsi="Arial"/>
                <w:sz w:val="18"/>
                <w:szCs w:val="18"/>
                <w:color w:val="auto"/>
                <w:w w:val="93"/>
              </w:rPr>
              <w:t>4.4*</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Form of Warrant Agreement by and between Continental Stock Transfer &amp; Trust Company and the Registrant (filed herewith).</w:t>
            </w:r>
          </w:p>
        </w:tc>
      </w:tr>
      <w:tr>
        <w:trPr>
          <w:trHeight w:val="413"/>
        </w:trPr>
        <w:tc>
          <w:tcPr>
            <w:tcW w:w="920" w:type="dxa"/>
            <w:vAlign w:val="bottom"/>
          </w:tcPr>
          <w:p>
            <w:pPr>
              <w:jc w:val="center"/>
              <w:ind w:right="411"/>
              <w:spacing w:after="0"/>
              <w:rPr>
                <w:sz w:val="20"/>
                <w:szCs w:val="20"/>
                <w:color w:val="auto"/>
              </w:rPr>
            </w:pPr>
            <w:r>
              <w:rPr>
                <w:rFonts w:ascii="Arial" w:cs="Arial" w:eastAsia="Arial" w:hAnsi="Arial"/>
                <w:sz w:val="18"/>
                <w:szCs w:val="18"/>
                <w:color w:val="auto"/>
                <w:w w:val="93"/>
              </w:rPr>
              <w:t>4.5*</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Form of Unit Purchase Option between the Registrant and Chardan Capital Markets, LLC (filed herewith).</w:t>
            </w:r>
          </w:p>
        </w:tc>
      </w:tr>
      <w:tr>
        <w:trPr>
          <w:trHeight w:val="413"/>
        </w:trPr>
        <w:tc>
          <w:tcPr>
            <w:tcW w:w="920" w:type="dxa"/>
            <w:vAlign w:val="bottom"/>
          </w:tcPr>
          <w:p>
            <w:pPr>
              <w:jc w:val="center"/>
              <w:ind w:right="411"/>
              <w:spacing w:after="0"/>
              <w:rPr>
                <w:sz w:val="20"/>
                <w:szCs w:val="20"/>
                <w:color w:val="auto"/>
              </w:rPr>
            </w:pPr>
            <w:r>
              <w:rPr>
                <w:rFonts w:ascii="Arial" w:cs="Arial" w:eastAsia="Arial" w:hAnsi="Arial"/>
                <w:sz w:val="18"/>
                <w:szCs w:val="18"/>
                <w:color w:val="auto"/>
                <w:w w:val="93"/>
              </w:rPr>
              <w:t>5.1*</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Opinion of Loeb &amp; Loeb LLP</w:t>
            </w:r>
          </w:p>
        </w:tc>
      </w:tr>
      <w:tr>
        <w:trPr>
          <w:trHeight w:val="413"/>
        </w:trPr>
        <w:tc>
          <w:tcPr>
            <w:tcW w:w="920" w:type="dxa"/>
            <w:vAlign w:val="bottom"/>
          </w:tcPr>
          <w:p>
            <w:pPr>
              <w:jc w:val="center"/>
              <w:ind w:right="431"/>
              <w:spacing w:after="0"/>
              <w:rPr>
                <w:sz w:val="20"/>
                <w:szCs w:val="20"/>
                <w:color w:val="auto"/>
              </w:rPr>
            </w:pPr>
            <w:r>
              <w:rPr>
                <w:rFonts w:ascii="Arial" w:cs="Arial" w:eastAsia="Arial" w:hAnsi="Arial"/>
                <w:sz w:val="18"/>
                <w:szCs w:val="18"/>
                <w:color w:val="auto"/>
                <w:w w:val="95"/>
              </w:rPr>
              <w:t>10.1*</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Form of Promissory Note, dated as of April 23, 2015, issued to Insiders.</w:t>
            </w:r>
          </w:p>
        </w:tc>
      </w:tr>
      <w:tr>
        <w:trPr>
          <w:trHeight w:val="413"/>
        </w:trPr>
        <w:tc>
          <w:tcPr>
            <w:tcW w:w="920" w:type="dxa"/>
            <w:vAlign w:val="bottom"/>
          </w:tcPr>
          <w:p>
            <w:pPr>
              <w:jc w:val="center"/>
              <w:ind w:right="431"/>
              <w:spacing w:after="0"/>
              <w:rPr>
                <w:sz w:val="20"/>
                <w:szCs w:val="20"/>
                <w:color w:val="auto"/>
              </w:rPr>
            </w:pPr>
            <w:r>
              <w:rPr>
                <w:rFonts w:ascii="Arial" w:cs="Arial" w:eastAsia="Arial" w:hAnsi="Arial"/>
                <w:sz w:val="18"/>
                <w:szCs w:val="18"/>
                <w:color w:val="auto"/>
                <w:w w:val="95"/>
              </w:rPr>
              <w:t>10.2*</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Form of Letter Agreement among the Registrant and the Registrant’s Officers and Directors</w:t>
            </w:r>
          </w:p>
        </w:tc>
      </w:tr>
      <w:tr>
        <w:trPr>
          <w:trHeight w:val="413"/>
        </w:trPr>
        <w:tc>
          <w:tcPr>
            <w:tcW w:w="920" w:type="dxa"/>
            <w:vAlign w:val="bottom"/>
          </w:tcPr>
          <w:p>
            <w:pPr>
              <w:jc w:val="center"/>
              <w:ind w:right="431"/>
              <w:spacing w:after="0"/>
              <w:rPr>
                <w:sz w:val="20"/>
                <w:szCs w:val="20"/>
                <w:color w:val="auto"/>
              </w:rPr>
            </w:pPr>
            <w:r>
              <w:rPr>
                <w:rFonts w:ascii="Arial" w:cs="Arial" w:eastAsia="Arial" w:hAnsi="Arial"/>
                <w:sz w:val="18"/>
                <w:szCs w:val="18"/>
                <w:color w:val="auto"/>
                <w:w w:val="95"/>
              </w:rPr>
              <w:t>10.3*</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7"/>
              </w:rPr>
              <w:t>Form of Investment Management Trust Agreement by and between Continental Stock Transfer &amp; Trust Company and the Registrant</w:t>
            </w:r>
          </w:p>
        </w:tc>
      </w:tr>
      <w:tr>
        <w:trPr>
          <w:trHeight w:val="413"/>
        </w:trPr>
        <w:tc>
          <w:tcPr>
            <w:tcW w:w="920" w:type="dxa"/>
            <w:vAlign w:val="bottom"/>
          </w:tcPr>
          <w:p>
            <w:pPr>
              <w:jc w:val="center"/>
              <w:ind w:right="431"/>
              <w:spacing w:after="0"/>
              <w:rPr>
                <w:sz w:val="20"/>
                <w:szCs w:val="20"/>
                <w:color w:val="auto"/>
              </w:rPr>
            </w:pPr>
            <w:r>
              <w:rPr>
                <w:rFonts w:ascii="Arial" w:cs="Arial" w:eastAsia="Arial" w:hAnsi="Arial"/>
                <w:sz w:val="18"/>
                <w:szCs w:val="18"/>
                <w:color w:val="auto"/>
                <w:w w:val="95"/>
              </w:rPr>
              <w:t>10.4*</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8"/>
              </w:rPr>
              <w:t>Form of Stock Escrow Agreement among the Registrant, Continental Stock Transfer &amp; Trust Company, and the Initial Stockholders</w:t>
            </w:r>
          </w:p>
        </w:tc>
      </w:tr>
      <w:tr>
        <w:trPr>
          <w:trHeight w:val="413"/>
        </w:trPr>
        <w:tc>
          <w:tcPr>
            <w:tcW w:w="920" w:type="dxa"/>
            <w:vAlign w:val="bottom"/>
          </w:tcPr>
          <w:p>
            <w:pPr>
              <w:jc w:val="center"/>
              <w:ind w:right="431"/>
              <w:spacing w:after="0"/>
              <w:rPr>
                <w:sz w:val="20"/>
                <w:szCs w:val="20"/>
                <w:color w:val="auto"/>
              </w:rPr>
            </w:pPr>
            <w:r>
              <w:rPr>
                <w:rFonts w:ascii="Arial" w:cs="Arial" w:eastAsia="Arial" w:hAnsi="Arial"/>
                <w:sz w:val="18"/>
                <w:szCs w:val="18"/>
                <w:color w:val="auto"/>
                <w:w w:val="95"/>
              </w:rPr>
              <w:t>10.5*</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Form of Registration Rights Agreement by and between the Registrant and Initial Stockholders</w:t>
            </w:r>
          </w:p>
        </w:tc>
      </w:tr>
      <w:tr>
        <w:trPr>
          <w:trHeight w:val="413"/>
        </w:trPr>
        <w:tc>
          <w:tcPr>
            <w:tcW w:w="920" w:type="dxa"/>
            <w:vAlign w:val="bottom"/>
          </w:tcPr>
          <w:p>
            <w:pPr>
              <w:jc w:val="center"/>
              <w:ind w:right="431"/>
              <w:spacing w:after="0"/>
              <w:rPr>
                <w:sz w:val="20"/>
                <w:szCs w:val="20"/>
                <w:color w:val="auto"/>
              </w:rPr>
            </w:pPr>
            <w:r>
              <w:rPr>
                <w:rFonts w:ascii="Arial" w:cs="Arial" w:eastAsia="Arial" w:hAnsi="Arial"/>
                <w:sz w:val="18"/>
                <w:szCs w:val="18"/>
                <w:color w:val="auto"/>
                <w:w w:val="95"/>
              </w:rPr>
              <w:t>10.6*</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Form of Indemnity Agreement</w:t>
            </w:r>
          </w:p>
        </w:tc>
      </w:tr>
      <w:tr>
        <w:trPr>
          <w:trHeight w:val="413"/>
        </w:trPr>
        <w:tc>
          <w:tcPr>
            <w:tcW w:w="920" w:type="dxa"/>
            <w:vAlign w:val="bottom"/>
          </w:tcPr>
          <w:p>
            <w:pPr>
              <w:jc w:val="center"/>
              <w:ind w:right="431"/>
              <w:spacing w:after="0"/>
              <w:rPr>
                <w:sz w:val="20"/>
                <w:szCs w:val="20"/>
                <w:color w:val="auto"/>
              </w:rPr>
            </w:pPr>
            <w:r>
              <w:rPr>
                <w:rFonts w:ascii="Arial" w:cs="Arial" w:eastAsia="Arial" w:hAnsi="Arial"/>
                <w:sz w:val="18"/>
                <w:szCs w:val="18"/>
                <w:color w:val="auto"/>
                <w:w w:val="95"/>
              </w:rPr>
              <w:t>10.7*</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Administrative Services Agreement by and between the Registrant and Magna Management LLC.</w:t>
            </w:r>
          </w:p>
        </w:tc>
      </w:tr>
      <w:tr>
        <w:trPr>
          <w:trHeight w:val="413"/>
        </w:trPr>
        <w:tc>
          <w:tcPr>
            <w:tcW w:w="920" w:type="dxa"/>
            <w:vAlign w:val="bottom"/>
          </w:tcPr>
          <w:p>
            <w:pPr>
              <w:jc w:val="center"/>
              <w:ind w:right="431"/>
              <w:spacing w:after="0"/>
              <w:rPr>
                <w:sz w:val="20"/>
                <w:szCs w:val="20"/>
                <w:color w:val="auto"/>
              </w:rPr>
            </w:pPr>
            <w:r>
              <w:rPr>
                <w:rFonts w:ascii="Arial" w:cs="Arial" w:eastAsia="Arial" w:hAnsi="Arial"/>
                <w:sz w:val="18"/>
                <w:szCs w:val="18"/>
                <w:color w:val="auto"/>
                <w:w w:val="95"/>
              </w:rPr>
              <w:t>10.8*</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Form of Private Units Purchase Agreement between the Registrant and M SPAC LLC</w:t>
            </w:r>
          </w:p>
        </w:tc>
      </w:tr>
      <w:tr>
        <w:trPr>
          <w:trHeight w:val="413"/>
        </w:trPr>
        <w:tc>
          <w:tcPr>
            <w:tcW w:w="920" w:type="dxa"/>
            <w:vAlign w:val="bottom"/>
          </w:tcPr>
          <w:p>
            <w:pPr>
              <w:jc w:val="center"/>
              <w:ind w:right="431"/>
              <w:spacing w:after="0"/>
              <w:rPr>
                <w:sz w:val="20"/>
                <w:szCs w:val="20"/>
                <w:color w:val="auto"/>
              </w:rPr>
            </w:pPr>
            <w:r>
              <w:rPr>
                <w:rFonts w:ascii="Arial" w:cs="Arial" w:eastAsia="Arial" w:hAnsi="Arial"/>
                <w:sz w:val="18"/>
                <w:szCs w:val="18"/>
                <w:color w:val="auto"/>
                <w:w w:val="95"/>
              </w:rPr>
              <w:t>10.9*</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Form of Right of First Refusal and Corporate Opportunities Agreement</w:t>
            </w:r>
          </w:p>
        </w:tc>
      </w:tr>
      <w:tr>
        <w:trPr>
          <w:trHeight w:val="413"/>
        </w:trPr>
        <w:tc>
          <w:tcPr>
            <w:tcW w:w="920" w:type="dxa"/>
            <w:vAlign w:val="bottom"/>
          </w:tcPr>
          <w:p>
            <w:pPr>
              <w:spacing w:after="0"/>
              <w:rPr>
                <w:sz w:val="20"/>
                <w:szCs w:val="20"/>
                <w:color w:val="auto"/>
              </w:rPr>
            </w:pPr>
            <w:r>
              <w:rPr>
                <w:rFonts w:ascii="Arial" w:cs="Arial" w:eastAsia="Arial" w:hAnsi="Arial"/>
                <w:sz w:val="18"/>
                <w:szCs w:val="18"/>
                <w:color w:val="auto"/>
              </w:rPr>
              <w:t>14*</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Form of Code of Ethics</w:t>
            </w:r>
          </w:p>
        </w:tc>
      </w:tr>
      <w:tr>
        <w:trPr>
          <w:trHeight w:val="413"/>
        </w:trPr>
        <w:tc>
          <w:tcPr>
            <w:tcW w:w="920" w:type="dxa"/>
            <w:vAlign w:val="bottom"/>
          </w:tcPr>
          <w:p>
            <w:pPr>
              <w:jc w:val="center"/>
              <w:ind w:right="431"/>
              <w:spacing w:after="0"/>
              <w:rPr>
                <w:sz w:val="20"/>
                <w:szCs w:val="20"/>
                <w:color w:val="auto"/>
              </w:rPr>
            </w:pPr>
            <w:r>
              <w:rPr>
                <w:rFonts w:ascii="Arial" w:cs="Arial" w:eastAsia="Arial" w:hAnsi="Arial"/>
                <w:sz w:val="18"/>
                <w:szCs w:val="18"/>
                <w:color w:val="auto"/>
                <w:w w:val="95"/>
              </w:rPr>
              <w:t>23.1*</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Consent of Marcum LLP</w:t>
            </w:r>
          </w:p>
        </w:tc>
      </w:tr>
      <w:tr>
        <w:trPr>
          <w:trHeight w:val="413"/>
        </w:trPr>
        <w:tc>
          <w:tcPr>
            <w:tcW w:w="920" w:type="dxa"/>
            <w:vAlign w:val="bottom"/>
          </w:tcPr>
          <w:p>
            <w:pPr>
              <w:jc w:val="center"/>
              <w:ind w:right="431"/>
              <w:spacing w:after="0"/>
              <w:rPr>
                <w:sz w:val="20"/>
                <w:szCs w:val="20"/>
                <w:color w:val="auto"/>
              </w:rPr>
            </w:pPr>
            <w:r>
              <w:rPr>
                <w:rFonts w:ascii="Arial" w:cs="Arial" w:eastAsia="Arial" w:hAnsi="Arial"/>
                <w:sz w:val="18"/>
                <w:szCs w:val="18"/>
                <w:color w:val="auto"/>
                <w:w w:val="95"/>
              </w:rPr>
              <w:t>23.2*</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Consent of Loeb &amp; Loeb LLP (included on Exhibit 5.1).</w:t>
            </w:r>
          </w:p>
        </w:tc>
      </w:tr>
      <w:tr>
        <w:trPr>
          <w:trHeight w:val="413"/>
        </w:trPr>
        <w:tc>
          <w:tcPr>
            <w:tcW w:w="920" w:type="dxa"/>
            <w:vAlign w:val="bottom"/>
          </w:tcPr>
          <w:p>
            <w:pPr>
              <w:spacing w:after="0"/>
              <w:rPr>
                <w:sz w:val="20"/>
                <w:szCs w:val="20"/>
                <w:color w:val="auto"/>
              </w:rPr>
            </w:pPr>
            <w:r>
              <w:rPr>
                <w:rFonts w:ascii="Arial" w:cs="Arial" w:eastAsia="Arial" w:hAnsi="Arial"/>
                <w:sz w:val="18"/>
                <w:szCs w:val="18"/>
                <w:color w:val="auto"/>
              </w:rPr>
              <w:t>24*</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Power of Attorney.</w:t>
            </w:r>
          </w:p>
        </w:tc>
      </w:tr>
      <w:tr>
        <w:trPr>
          <w:trHeight w:val="413"/>
        </w:trPr>
        <w:tc>
          <w:tcPr>
            <w:tcW w:w="920" w:type="dxa"/>
            <w:vAlign w:val="bottom"/>
          </w:tcPr>
          <w:p>
            <w:pPr>
              <w:jc w:val="center"/>
              <w:ind w:right="431"/>
              <w:spacing w:after="0"/>
              <w:rPr>
                <w:sz w:val="20"/>
                <w:szCs w:val="20"/>
                <w:color w:val="auto"/>
              </w:rPr>
            </w:pPr>
            <w:r>
              <w:rPr>
                <w:rFonts w:ascii="Arial" w:cs="Arial" w:eastAsia="Arial" w:hAnsi="Arial"/>
                <w:sz w:val="18"/>
                <w:szCs w:val="18"/>
                <w:color w:val="auto"/>
                <w:w w:val="95"/>
              </w:rPr>
              <w:t>99.1*</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Form of Audit Committee Charter</w:t>
            </w:r>
          </w:p>
        </w:tc>
      </w:tr>
      <w:tr>
        <w:trPr>
          <w:trHeight w:val="413"/>
        </w:trPr>
        <w:tc>
          <w:tcPr>
            <w:tcW w:w="920" w:type="dxa"/>
            <w:vAlign w:val="bottom"/>
          </w:tcPr>
          <w:p>
            <w:pPr>
              <w:jc w:val="center"/>
              <w:ind w:right="431"/>
              <w:spacing w:after="0"/>
              <w:rPr>
                <w:sz w:val="20"/>
                <w:szCs w:val="20"/>
                <w:color w:val="auto"/>
              </w:rPr>
            </w:pPr>
            <w:r>
              <w:rPr>
                <w:rFonts w:ascii="Arial" w:cs="Arial" w:eastAsia="Arial" w:hAnsi="Arial"/>
                <w:sz w:val="18"/>
                <w:szCs w:val="18"/>
                <w:color w:val="auto"/>
                <w:w w:val="95"/>
              </w:rPr>
              <w:t>99.2*</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Form of Compensation Committee Charter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170180</wp:posOffset>
            </wp:positionV>
            <wp:extent cx="14478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44780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sectPr>
      <w:pgSz w:w="11900" w:h="16838" w:orient="portrait"/>
      <w:cols w:equalWidth="0" w:num="1">
        <w:col w:w="11420"/>
      </w:cols>
      <w:pgMar w:left="240" w:top="8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1)"/>
      <w:numFmt w:val="decimal"/>
      <w:start w:val="1"/>
    </w:lvl>
  </w:abstractNum>
  <w:abstractNum w:abstractNumId="1">
    <w:nsid w:val="614FD4A1"/>
    <w:multiLevelType w:val="hybridMultilevel"/>
    <w:lvl w:ilvl="0">
      <w:lvlJc w:val="left"/>
      <w:lvlText w:val="(%1)"/>
      <w:numFmt w:val="decimal"/>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1)"/>
      <w:numFmt w:val="decimal"/>
      <w:start w:val="1"/>
    </w:lvl>
  </w:abstractNum>
  <w:abstractNum w:abstractNumId="4">
    <w:nsid w:val="440BADFC"/>
    <w:multiLevelType w:val="hybridMultilevel"/>
    <w:lvl w:ilvl="0">
      <w:lvlJc w:val="left"/>
      <w:lvlText w:val="(%1)"/>
      <w:numFmt w:val="decimal"/>
      <w:start w:val="2"/>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1)"/>
      <w:numFmt w:val="decimal"/>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1)"/>
      <w:numFmt w:val="decimal"/>
      <w:start w:val="1"/>
    </w:lvl>
  </w:abstractNum>
  <w:abstractNum w:abstractNumId="20">
    <w:nsid w:val="1D4ED43B"/>
    <w:multiLevelType w:val="hybridMultilevel"/>
    <w:lvl w:ilvl="0">
      <w:lvlJc w:val="left"/>
      <w:lvlText w:val="(%1)"/>
      <w:numFmt w:val="decimal"/>
      <w:start w:val="3"/>
    </w:lvl>
  </w:abstractNum>
  <w:abstractNum w:abstractNumId="21">
    <w:nsid w:val="725A06FB"/>
    <w:multiLevelType w:val="hybridMultilevel"/>
    <w:lvl w:ilvl="0">
      <w:lvlJc w:val="left"/>
      <w:lvlText w:val="(%1)"/>
      <w:numFmt w:val="decimal"/>
      <w:start w:val="1"/>
    </w:lvl>
  </w:abstractNum>
  <w:abstractNum w:abstractNumId="22">
    <w:nsid w:val="2CD89A32"/>
    <w:multiLevelType w:val="hybridMultilevel"/>
    <w:lvl w:ilvl="0">
      <w:lvlJc w:val="left"/>
      <w:lvlText w:val="(%1)"/>
      <w:numFmt w:val="decimal"/>
      <w:start w:val="1"/>
    </w:lvl>
  </w:abstractNum>
  <w:abstractNum w:abstractNumId="23">
    <w:nsid w:val="57E4CCAF"/>
    <w:multiLevelType w:val="hybridMultilevel"/>
    <w:lvl w:ilvl="0">
      <w:lvlJc w:val="left"/>
      <w:lvlText w:val="(%1)"/>
      <w:numFmt w:val="decimal"/>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1)"/>
      <w:numFmt w:val="decimal"/>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1)"/>
      <w:numFmt w:val="decimal"/>
      <w:start w:val="1"/>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
      <w:numFmt w:val="bullet"/>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1)"/>
      <w:numFmt w:val="decimal"/>
      <w:start w:val="1"/>
    </w:lvl>
  </w:abstractNum>
  <w:abstractNum w:abstractNumId="52">
    <w:nsid w:val="15B5AF5C"/>
    <w:multiLevelType w:val="hybridMultilevel"/>
    <w:lvl w:ilvl="0">
      <w:lvlJc w:val="left"/>
      <w:lvlText w:val="(%1)"/>
      <w:numFmt w:val="decimal"/>
      <w:start w:val="1"/>
    </w:lvl>
  </w:abstractNum>
  <w:abstractNum w:abstractNumId="53">
    <w:nsid w:val="741226BB"/>
    <w:multiLevelType w:val="hybridMultilevel"/>
    <w:lvl w:ilvl="0">
      <w:lvlJc w:val="left"/>
      <w:lvlText w:val="(%1)"/>
      <w:numFmt w:val="decimal"/>
      <w:start w:val="1"/>
    </w:lvl>
  </w:abstractNum>
  <w:abstractNum w:abstractNumId="54">
    <w:nsid w:val="D34B6A8"/>
    <w:multiLevelType w:val="hybridMultilevel"/>
    <w:lvl w:ilvl="0">
      <w:lvlJc w:val="left"/>
      <w:lvlText w:val="(%1)"/>
      <w:numFmt w:val="lowerRoman"/>
      <w:start w:val="1"/>
    </w:lvl>
  </w:abstractNum>
  <w:abstractNum w:abstractNumId="55">
    <w:nsid w:val="10233C99"/>
    <w:multiLevelType w:val="hybridMultilevel"/>
    <w:lvl w:ilvl="0">
      <w:lvlJc w:val="left"/>
      <w:lvlText w:val="(%1)"/>
      <w:numFmt w:val="decimal"/>
      <w:start w:val="1"/>
    </w:lvl>
  </w:abstractNum>
  <w:abstractNum w:abstractNumId="56">
    <w:nsid w:val="3F6AB60F"/>
    <w:multiLevelType w:val="hybridMultilevel"/>
    <w:lvl w:ilvl="0">
      <w:lvlJc w:val="left"/>
      <w:lvlText w:val="(%1)"/>
      <w:numFmt w:val="lowerLetter"/>
      <w:start w:val="1"/>
    </w:lvl>
  </w:abstractNum>
  <w:abstractNum w:abstractNumId="57">
    <w:nsid w:val="61574095"/>
    <w:multiLevelType w:val="hybridMultilevel"/>
    <w:lvl w:ilvl="0">
      <w:lvlJc w:val="left"/>
      <w:lvlText w:val="(%1)"/>
      <w:numFmt w:val="lowerLetter"/>
      <w:start w:val="3"/>
    </w:lvl>
  </w:abstractNum>
  <w:abstractNum w:abstractNumId="58">
    <w:nsid w:val="7E0C57B1"/>
    <w:multiLevelType w:val="hybridMultilevel"/>
    <w:lvl w:ilvl="0">
      <w:lvlJc w:val="left"/>
      <w:lvlText w:val="(%1)"/>
      <w:numFmt w:val="lowerLetter"/>
      <w:start w:val="10"/>
    </w:lvl>
  </w:abstractNum>
  <w:abstractNum w:abstractNumId="59">
    <w:nsid w:val="77AE35EB"/>
    <w:multiLevelType w:val="hybridMultilevel"/>
    <w:lvl w:ilvl="0">
      <w:lvlJc w:val="left"/>
      <w:lvlText w:val="(%1)"/>
      <w:numFmt w:val="decimal"/>
      <w:start w:val="1"/>
    </w:lvl>
  </w:abstractNum>
  <w:abstractNum w:abstractNumId="60">
    <w:nsid w:val="579BE4F1"/>
    <w:multiLevelType w:val="hybridMultilevel"/>
    <w:lvl w:ilvl="0">
      <w:lvlJc w:val="left"/>
      <w:lvlText w:val="%1."/>
      <w:numFmt w:val="lowerRoman"/>
      <w:start w:val="2"/>
    </w:lvl>
  </w:abstractNum>
  <w:abstractNum w:abstractNumId="61">
    <w:nsid w:val="310C50B3"/>
    <w:multiLevelType w:val="hybridMultilevel"/>
    <w:lvl w:ilvl="0">
      <w:lvlJc w:val="left"/>
      <w:lvlText w:val="(%1)"/>
      <w:numFmt w:val="decimal"/>
      <w:start w:val="2"/>
    </w:lvl>
  </w:abstractNum>
  <w:abstractNum w:abstractNumId="62">
    <w:nsid w:val="5FF87E05"/>
    <w:multiLevelType w:val="hybridMultilevel"/>
    <w:lvl w:ilvl="0">
      <w:lvlJc w:val="left"/>
      <w:lvlText w:val="(%1)"/>
      <w:numFmt w:val="lowerRoman"/>
      <w:start w:val="1"/>
    </w:lvl>
  </w:abstractNum>
  <w:abstractNum w:abstractNumId="63">
    <w:nsid w:val="2F305DEF"/>
    <w:multiLevelType w:val="hybridMultilevel"/>
    <w:lvl w:ilvl="0">
      <w:lvlJc w:val="left"/>
      <w:lvlText w:val="(%1)"/>
      <w:numFmt w:val="decimal"/>
      <w:start w:val="5"/>
    </w:lvl>
  </w:abstractNum>
  <w:abstractNum w:abstractNumId="64">
    <w:nsid w:val="25A70BF7"/>
    <w:multiLevelType w:val="hybridMultilevel"/>
    <w:lvl w:ilvl="0">
      <w:lvlJc w:val="left"/>
      <w:lvlText w:val="(%1)"/>
      <w:numFmt w:val="lowerLetter"/>
      <w:start w:val="2"/>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2020-01-24T20:21:24Z</dcterms:created>
  <dcterms:modified xsi:type="dcterms:W3CDTF">2020-01-24T20:21:24Z</dcterms:modified>
</cp:coreProperties>
</file>