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 I Acquisition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55304A203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9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55304A203</w:t>
      </w:r>
    </w:p>
    <w:p>
      <w:pPr>
        <w:spacing w:after="0" w:line="207" w:lineRule="exact"/>
        <w:rPr>
          <w:sz w:val="24"/>
          <w:szCs w:val="24"/>
          <w:color w:val="auto"/>
        </w:rPr>
      </w:pPr>
    </w:p>
    <w:p>
      <w:pPr>
        <w:ind w:right="38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Bulldog Investors LLC,</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right="80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145,309</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244,691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145,309</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244,691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390,000 -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5.45%</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4"/>
          <w:szCs w:val="24"/>
          <w:color w:val="auto"/>
        </w:rPr>
      </w:pPr>
    </w:p>
    <w:p>
      <w:pPr>
        <w:ind w:right="389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Phillip Goldstein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145,309</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244,691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145,309</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244,691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390,000 -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5.45%</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Andrew Dakos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145,309</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244,691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145,309</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244,691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390,000 -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5.45%</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Samuels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right="809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145,309</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244,691</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145,309</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244,691</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390,000 -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5.45%</w:t>
      </w:r>
    </w:p>
    <w:p>
      <w:pPr>
        <w:spacing w:after="0" w:line="202"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right="70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M I Acquisition Inc.</w:t>
      </w:r>
    </w:p>
    <w:p>
      <w:pPr>
        <w:spacing w:after="0" w:line="208" w:lineRule="exact"/>
        <w:rPr>
          <w:rFonts w:ascii="Courier New" w:cs="Courier New" w:eastAsia="Courier New" w:hAnsi="Courier New"/>
          <w:sz w:val="18"/>
          <w:szCs w:val="18"/>
          <w:color w:val="auto"/>
        </w:rPr>
      </w:pPr>
    </w:p>
    <w:p>
      <w:pPr>
        <w:ind w:right="36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Issuer's Principal Executive Office is: C/O Magna Management LLC</w:t>
      </w:r>
    </w:p>
    <w:p>
      <w:pPr>
        <w:spacing w:after="0" w:line="5"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Hanover Square New York, NY 10004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 The names of the Persons Filing are:</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Bulldog Investors LLC, Phillip Goldstein, Andrew Dakos and Steven Samuels</w:t>
      </w:r>
    </w:p>
    <w:p>
      <w:pPr>
        <w:spacing w:after="0" w:line="208" w:lineRule="exact"/>
        <w:rPr>
          <w:sz w:val="20"/>
          <w:szCs w:val="20"/>
          <w:color w:val="auto"/>
        </w:rPr>
      </w:pPr>
    </w:p>
    <w:p>
      <w:pPr>
        <w:ind w:right="483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principal place of business and principal office is:</w:t>
      </w:r>
    </w:p>
    <w:p>
      <w:pPr>
        <w:spacing w:after="0" w:line="5"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Park 80 West, 250 Pehle Ave. Suite 708 Saddle Brook, NJ 07663</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55304A203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statement is filed pursuant to 240.13d-1(b). The person filing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390,000</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5.45%</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145,309</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244,691</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145,309</w:t>
      </w:r>
    </w:p>
    <w:p>
      <w:pPr>
        <w:spacing w:after="0" w:line="5" w:lineRule="exact"/>
        <w:rPr>
          <w:rFonts w:ascii="Courier New" w:cs="Courier New" w:eastAsia="Courier New" w:hAnsi="Courier New"/>
          <w:sz w:val="18"/>
          <w:szCs w:val="18"/>
          <w:color w:val="auto"/>
        </w:rPr>
      </w:pPr>
    </w:p>
    <w:p>
      <w:pPr>
        <w:ind w:right="419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244,691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____.</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Clients of Bulldog Investors, LLC are entitled to receive dividends and sales proceeds.</w:t>
      </w:r>
    </w:p>
    <w:p>
      <w:pPr>
        <w:spacing w:after="0" w:line="208"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6"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8"/>
          <w:szCs w:val="18"/>
          <w:color w:val="auto"/>
        </w:rPr>
        <w:t>As per the 10-Q filing on 11/14/16, there were 7,161,716 shares of common stock outstanding as of 11/11/16. The percentages set forth herein were derived using such number. Phillip Goldstein, Andrew Dakos and Steven Samuels own Bulldog Investors, LLC, a registered investment adviser. As of January 27, 2017, Bulldog Investors, LLC is deemed to be the beneficial owner of 390,000 shares of MACQU by virtue of Bulldog Investors, LLC's power to direct the vote of, and dispose of, these shares. These 390,000 shares of MACQU include 145,309 shares (representing 2.03% of MACQU's outstanding shares) that are beneficially owned by the following entities over which Messrs. Goldstein, Dakos and Samuels exercise control: Opportunity Partners LP, Calapasas West Partners LP, Full Value Special Situations Fund LP, Full Value Offshore Fund Ltd., Full Value Partners LP, Opportunity Income Plus Fund LP, and MCM Opportunity Partners LP (collectively, Bulldog Investors Funds). Bulldog Investors Funds may be deemed to constitute a group. All other shares included in the aforementioned 390,000 shares of MACQU owned by Bulldog Investors, LLC (solely by virtue of its power to sell or direct the vote of these shares) are also beneficially owned by clients of Bulldog Investors, LLC who are not members of any group. The total number of these "non-group" shares is 244,691 shares (representing 3.42% of MACQU's outstanding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Phillip Goldstein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2017</w:t>
      </w:r>
    </w:p>
    <w:p>
      <w:pPr>
        <w:spacing w:after="0" w:line="238" w:lineRule="auto"/>
        <w:rPr>
          <w:sz w:val="20"/>
          <w:szCs w:val="20"/>
          <w:color w:val="auto"/>
        </w:rPr>
      </w:pPr>
      <w:r>
        <w:rPr>
          <w:rFonts w:ascii="Courier New" w:cs="Courier New" w:eastAsia="Courier New" w:hAnsi="Courier New"/>
          <w:sz w:val="18"/>
          <w:szCs w:val="18"/>
          <w:color w:val="auto"/>
        </w:rPr>
        <w:t>/s/</w:t>
      </w:r>
    </w:p>
    <w:p>
      <w:pPr>
        <w:spacing w:after="0"/>
        <w:rPr>
          <w:sz w:val="20"/>
          <w:szCs w:val="20"/>
          <w:color w:val="auto"/>
        </w:rPr>
      </w:pPr>
      <w:r>
        <w:rPr>
          <w:rFonts w:ascii="Courier New" w:cs="Courier New" w:eastAsia="Courier New" w:hAnsi="Courier New"/>
          <w:sz w:val="18"/>
          <w:szCs w:val="18"/>
          <w:color w:val="auto"/>
        </w:rPr>
        <w:t>Andrew Dakos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2017</w:t>
      </w:r>
    </w:p>
    <w:p>
      <w:pPr>
        <w:spacing w:after="0" w:line="200" w:lineRule="exact"/>
        <w:rPr>
          <w:sz w:val="20"/>
          <w:szCs w:val="20"/>
          <w:color w:val="auto"/>
        </w:rPr>
      </w:pPr>
    </w:p>
    <w:p>
      <w:pPr>
        <w:sectPr>
          <w:pgSz w:w="11900" w:h="16838" w:orient="portrait"/>
          <w:cols w:equalWidth="0" w:num="2">
            <w:col w:w="640" w:space="220"/>
            <w:col w:w="935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Steven Samuels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2017</w:t>
      </w:r>
    </w:p>
    <w:p>
      <w:pPr>
        <w:spacing w:after="0" w:line="200" w:lineRule="exact"/>
        <w:rPr>
          <w:sz w:val="20"/>
          <w:szCs w:val="20"/>
          <w:color w:val="auto"/>
        </w:rPr>
      </w:pPr>
    </w:p>
    <w:p>
      <w:pPr>
        <w:sectPr>
          <w:pgSz w:w="11900" w:h="16838" w:orient="portrait"/>
          <w:cols w:equalWidth="0" w:num="2">
            <w:col w:w="640" w:space="220"/>
            <w:col w:w="935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Bulldog Investors, LLC</w:t>
      </w:r>
    </w:p>
    <w:p>
      <w:pPr>
        <w:spacing w:after="0" w:line="238" w:lineRule="auto"/>
        <w:rPr>
          <w:sz w:val="20"/>
          <w:szCs w:val="20"/>
          <w:color w:val="auto"/>
        </w:rPr>
      </w:pPr>
      <w:r>
        <w:rPr>
          <w:rFonts w:ascii="Courier New" w:cs="Courier New" w:eastAsia="Courier New" w:hAnsi="Courier New"/>
          <w:sz w:val="18"/>
          <w:szCs w:val="18"/>
          <w:color w:val="auto"/>
        </w:rPr>
        <w:t>By: /s/ Andrew Dakos</w:t>
      </w:r>
    </w:p>
    <w:p>
      <w:pPr>
        <w:spacing w:after="0"/>
        <w:rPr>
          <w:sz w:val="20"/>
          <w:szCs w:val="20"/>
          <w:color w:val="auto"/>
        </w:rPr>
      </w:pPr>
      <w:r>
        <w:rPr>
          <w:rFonts w:ascii="Courier New" w:cs="Courier New" w:eastAsia="Courier New" w:hAnsi="Courier New"/>
          <w:sz w:val="18"/>
          <w:szCs w:val="18"/>
          <w:color w:val="auto"/>
        </w:rPr>
        <w:t>Andrew Dakos, Member</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30, 2017</w:t>
      </w:r>
    </w:p>
    <w:p>
      <w:pPr>
        <w:spacing w:after="0" w:line="207" w:lineRule="exact"/>
        <w:rPr>
          <w:sz w:val="20"/>
          <w:szCs w:val="20"/>
          <w:color w:val="auto"/>
        </w:rPr>
      </w:pPr>
    </w:p>
    <w:p>
      <w:pPr>
        <w:ind w:left="1280" w:right="3159" w:hanging="1263"/>
        <w:spacing w:after="0" w:line="290" w:lineRule="auto"/>
        <w:rPr>
          <w:sz w:val="20"/>
          <w:szCs w:val="20"/>
          <w:color w:val="auto"/>
        </w:rPr>
      </w:pPr>
      <w:r>
        <w:rPr>
          <w:rFonts w:ascii="Courier New" w:cs="Courier New" w:eastAsia="Courier New" w:hAnsi="Courier New"/>
          <w:sz w:val="16"/>
          <w:szCs w:val="16"/>
          <w:color w:val="auto"/>
        </w:rPr>
        <w:t>Footnote 1: The reporting persons disclaim beneficial ownership except to the extent of any pecuniary interest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Agreement to make joint filings.</w:t>
      </w:r>
    </w:p>
    <w:p>
      <w:pPr>
        <w:spacing w:after="0" w:line="207"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Agreement made as of the 30th day of January 2017, by and among Bulldog Investors, LLC, Phillip Goldstein, Andrew Dakos, and Steven Samuels.</w:t>
      </w:r>
    </w:p>
    <w:p>
      <w:pPr>
        <w:spacing w:after="0" w:line="209"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WHEREAS, Rule 13d-1(k)(1) under the Securities Exchange Act of 1934 provides that whenever two or more persons are required to file a statement containing the information required by Schedule 13G with respect to the same securities, only one such statement need be filed, so long as, among other things, such filing includes as an exhibit an agreement among such persons that such a</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statement is filed on behalf of each of them;</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WHEREAS, in connection with certain holdings of M I Acquisition Inc. ("MACQU"), each of the parties to this Agreement is required to file a statement containing the information required by Schedule 13G with respect to the same holdings of MACQU;</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NOW THEREFORE, the parties hereby agree that one statement containing the information required by Schedule 13G shall be filed on behalf of each party hereto.</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 WITNESS WHEREOF, this Agreement has been duly executed by the parties hereto as of the day and year first written above.</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Phillip Goldstein</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Phillip Goldstein</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 Andrew Dakos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Dakos</w:t>
      </w:r>
    </w:p>
    <w:p>
      <w:pPr>
        <w:spacing w:after="0" w:line="200" w:lineRule="exact"/>
        <w:rPr>
          <w:sz w:val="20"/>
          <w:szCs w:val="20"/>
          <w:color w:val="auto"/>
        </w:rPr>
      </w:pPr>
    </w:p>
    <w:p>
      <w:pPr>
        <w:sectPr>
          <w:pgSz w:w="11900" w:h="16838" w:orient="portrait"/>
          <w:cols w:equalWidth="0" w:num="2">
            <w:col w:w="2660" w:space="720"/>
            <w:col w:w="6839"/>
          </w:cols>
          <w:pgMar w:left="240" w:top="136" w:right="1440" w:bottom="1440" w:gutter="0" w:footer="0" w:header="0"/>
          <w:type w:val="continuous"/>
        </w:sectPr>
      </w:pPr>
    </w:p>
    <w:p>
      <w:pPr>
        <w:spacing w:after="0" w:line="20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BULLDOG INVESTORS, LLC</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jc w:val="right"/>
        <w:spacing w:after="0" w:line="290" w:lineRule="auto"/>
        <w:rPr>
          <w:sz w:val="20"/>
          <w:szCs w:val="20"/>
          <w:color w:val="auto"/>
        </w:rPr>
      </w:pPr>
      <w:r>
        <w:rPr>
          <w:rFonts w:ascii="Courier New" w:cs="Courier New" w:eastAsia="Courier New" w:hAnsi="Courier New"/>
          <w:sz w:val="16"/>
          <w:szCs w:val="16"/>
          <w:color w:val="auto"/>
        </w:rPr>
        <w:t>By: /s/ Steven Samuels Steven Samuels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Andrew Dakos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Andrew Dakos, Member</w:t>
      </w:r>
    </w:p>
    <w:sectPr>
      <w:pgSz w:w="11900" w:h="16838" w:orient="portrait"/>
      <w:cols w:equalWidth="0" w:num="2">
        <w:col w:w="2320" w:space="540"/>
        <w:col w:w="7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5"/>
    </w:lvl>
  </w:abstractNum>
  <w:abstractNum w:abstractNumId="2">
    <w:nsid w:val="12200854"/>
    <w:multiLevelType w:val="hybridMultilevel"/>
    <w:lvl w:ilvl="0">
      <w:lvlJc w:val="left"/>
      <w:lvlText w:val="%1."/>
      <w:numFmt w:val="decimal"/>
      <w:start w:val="1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2020-01-16T02:41:46Z</dcterms:created>
  <dcterms:modified xsi:type="dcterms:W3CDTF">2020-01-16T02:41:46Z</dcterms:modified>
</cp:coreProperties>
</file>