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8-K/A</w:t>
      </w:r>
    </w:p>
    <w:p>
      <w:pPr>
        <w:spacing w:after="0" w:line="225"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424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July 25, 2018</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Date of Report (Date of earliest event reported)</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Priority Technology Holdings, Inc.</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2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93"/>
              </w:rPr>
              <w:t>Delaware</w:t>
            </w:r>
          </w:p>
        </w:tc>
        <w:tc>
          <w:tcPr>
            <w:tcW w:w="3000" w:type="dxa"/>
            <w:vAlign w:val="bottom"/>
            <w:gridSpan w:val="3"/>
          </w:tcPr>
          <w:p>
            <w:pPr>
              <w:jc w:val="right"/>
              <w:ind w:right="1360"/>
              <w:spacing w:after="0"/>
              <w:rPr>
                <w:sz w:val="20"/>
                <w:szCs w:val="20"/>
                <w:color w:val="auto"/>
              </w:rPr>
            </w:pPr>
            <w:r>
              <w:rPr>
                <w:rFonts w:ascii="Arial" w:cs="Arial" w:eastAsia="Arial" w:hAnsi="Arial"/>
                <w:sz w:val="18"/>
                <w:szCs w:val="18"/>
                <w:b w:val="1"/>
                <w:bCs w:val="1"/>
                <w:color w:val="auto"/>
              </w:rPr>
              <w:t>001-37872</w:t>
            </w:r>
          </w:p>
        </w:tc>
        <w:tc>
          <w:tcPr>
            <w:tcW w:w="3860" w:type="dxa"/>
            <w:vAlign w:val="bottom"/>
            <w:gridSpan w:val="2"/>
          </w:tcPr>
          <w:p>
            <w:pPr>
              <w:jc w:val="right"/>
              <w:ind w:right="1330"/>
              <w:spacing w:after="0"/>
              <w:rPr>
                <w:sz w:val="20"/>
                <w:szCs w:val="20"/>
                <w:color w:val="auto"/>
              </w:rPr>
            </w:pPr>
            <w:r>
              <w:rPr>
                <w:rFonts w:ascii="Arial" w:cs="Arial" w:eastAsia="Arial" w:hAnsi="Arial"/>
                <w:sz w:val="18"/>
                <w:szCs w:val="18"/>
                <w:b w:val="1"/>
                <w:bCs w:val="1"/>
                <w:color w:val="auto"/>
              </w:rPr>
              <w:t>47-4257046</w:t>
            </w:r>
          </w:p>
        </w:tc>
        <w:tc>
          <w:tcPr>
            <w:tcW w:w="2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3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1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000" w:type="dxa"/>
            <w:vAlign w:val="bottom"/>
            <w:tcBorders>
              <w:top w:val="single" w:sz="8" w:color="auto"/>
            </w:tcBorders>
            <w:gridSpan w:val="3"/>
          </w:tcPr>
          <w:p>
            <w:pPr>
              <w:jc w:val="center"/>
              <w:ind w:right="540"/>
              <w:spacing w:after="0"/>
              <w:rPr>
                <w:sz w:val="20"/>
                <w:szCs w:val="20"/>
                <w:color w:val="auto"/>
              </w:rPr>
            </w:pPr>
            <w:r>
              <w:rPr>
                <w:rFonts w:ascii="Arial" w:cs="Arial" w:eastAsia="Arial" w:hAnsi="Arial"/>
                <w:sz w:val="18"/>
                <w:szCs w:val="18"/>
                <w:color w:val="auto"/>
                <w:w w:val="92"/>
              </w:rPr>
              <w:t>(Commission File Number)</w:t>
            </w:r>
          </w:p>
        </w:tc>
        <w:tc>
          <w:tcPr>
            <w:tcW w:w="140" w:type="dxa"/>
            <w:vAlign w:val="bottom"/>
          </w:tcPr>
          <w:p>
            <w:pPr>
              <w:spacing w:after="0"/>
              <w:rPr>
                <w:sz w:val="18"/>
                <w:szCs w:val="18"/>
                <w:color w:val="auto"/>
              </w:rPr>
            </w:pPr>
          </w:p>
        </w:tc>
        <w:tc>
          <w:tcPr>
            <w:tcW w:w="372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(I.R.S. Employer Identification No.)</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520" w:type="dxa"/>
            <w:vAlign w:val="bottom"/>
            <w:gridSpan w:val="3"/>
          </w:tcPr>
          <w:p>
            <w:pPr>
              <w:jc w:val="center"/>
              <w:ind w:right="700"/>
              <w:spacing w:after="0"/>
              <w:rPr>
                <w:sz w:val="20"/>
                <w:szCs w:val="20"/>
                <w:color w:val="auto"/>
              </w:rPr>
            </w:pPr>
            <w:r>
              <w:rPr>
                <w:rFonts w:ascii="Arial" w:cs="Arial" w:eastAsia="Arial" w:hAnsi="Arial"/>
                <w:sz w:val="18"/>
                <w:szCs w:val="18"/>
                <w:color w:val="auto"/>
                <w:w w:val="92"/>
              </w:rPr>
              <w:t>incorporation)</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27"/>
        </w:trPr>
        <w:tc>
          <w:tcPr>
            <w:tcW w:w="20" w:type="dxa"/>
            <w:vAlign w:val="bottom"/>
          </w:tcPr>
          <w:p>
            <w:pPr>
              <w:spacing w:after="0"/>
              <w:rPr>
                <w:sz w:val="24"/>
                <w:szCs w:val="24"/>
                <w:color w:val="auto"/>
              </w:rPr>
            </w:pPr>
          </w:p>
        </w:tc>
        <w:tc>
          <w:tcPr>
            <w:tcW w:w="4520" w:type="dxa"/>
            <w:vAlign w:val="bottom"/>
            <w:gridSpan w:val="3"/>
          </w:tcPr>
          <w:p>
            <w:pPr>
              <w:jc w:val="center"/>
              <w:ind w:left="1050"/>
              <w:spacing w:after="0"/>
              <w:rPr>
                <w:sz w:val="20"/>
                <w:szCs w:val="20"/>
                <w:color w:val="auto"/>
              </w:rPr>
            </w:pPr>
            <w:r>
              <w:rPr>
                <w:rFonts w:ascii="Arial" w:cs="Arial" w:eastAsia="Arial" w:hAnsi="Arial"/>
                <w:sz w:val="18"/>
                <w:szCs w:val="18"/>
                <w:b w:val="1"/>
                <w:bCs w:val="1"/>
                <w:color w:val="auto"/>
                <w:w w:val="90"/>
              </w:rPr>
              <w:t>2001 Westside Parkway</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tcPr>
          <w:p>
            <w:pPr>
              <w:jc w:val="center"/>
              <w:ind w:left="1090"/>
              <w:spacing w:after="0"/>
              <w:rPr>
                <w:sz w:val="20"/>
                <w:szCs w:val="20"/>
                <w:color w:val="auto"/>
              </w:rPr>
            </w:pPr>
            <w:r>
              <w:rPr>
                <w:rFonts w:ascii="Arial" w:cs="Arial" w:eastAsia="Arial" w:hAnsi="Arial"/>
                <w:sz w:val="18"/>
                <w:szCs w:val="18"/>
                <w:b w:val="1"/>
                <w:bCs w:val="1"/>
                <w:color w:val="auto"/>
                <w:w w:val="88"/>
              </w:rPr>
              <w:t>Suite 155</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gridSpan w:val="3"/>
          </w:tcPr>
          <w:p>
            <w:pPr>
              <w:jc w:val="center"/>
              <w:ind w:left="1030"/>
              <w:spacing w:after="0"/>
              <w:rPr>
                <w:sz w:val="20"/>
                <w:szCs w:val="20"/>
                <w:color w:val="auto"/>
              </w:rPr>
            </w:pPr>
            <w:r>
              <w:rPr>
                <w:rFonts w:ascii="Arial" w:cs="Arial" w:eastAsia="Arial" w:hAnsi="Arial"/>
                <w:sz w:val="18"/>
                <w:szCs w:val="18"/>
                <w:b w:val="1"/>
                <w:bCs w:val="1"/>
                <w:color w:val="auto"/>
                <w:w w:val="95"/>
              </w:rPr>
              <w:t>Alpharetta, GA</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2"/>
          </w:tcPr>
          <w:p>
            <w:pPr>
              <w:jc w:val="right"/>
              <w:ind w:right="2470"/>
              <w:spacing w:after="0"/>
              <w:rPr>
                <w:sz w:val="20"/>
                <w:szCs w:val="20"/>
                <w:color w:val="auto"/>
              </w:rPr>
            </w:pPr>
            <w:r>
              <w:rPr>
                <w:rFonts w:ascii="Arial" w:cs="Arial" w:eastAsia="Arial" w:hAnsi="Arial"/>
                <w:sz w:val="18"/>
                <w:szCs w:val="18"/>
                <w:b w:val="1"/>
                <w:bCs w:val="1"/>
                <w:color w:val="auto"/>
              </w:rPr>
              <w:t>30004</w:t>
            </w:r>
          </w:p>
        </w:tc>
        <w:tc>
          <w:tcPr>
            <w:tcW w:w="20" w:type="dxa"/>
            <w:vAlign w:val="bottom"/>
            <w:tcBorders>
              <w:bottom w:val="single" w:sz="8" w:color="auto"/>
            </w:tcBorders>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4520" w:type="dxa"/>
            <w:vAlign w:val="bottom"/>
            <w:gridSpan w:val="3"/>
          </w:tcPr>
          <w:p>
            <w:pPr>
              <w:jc w:val="center"/>
              <w:ind w:left="1030"/>
              <w:spacing w:after="0"/>
              <w:rPr>
                <w:sz w:val="20"/>
                <w:szCs w:val="20"/>
                <w:color w:val="auto"/>
              </w:rPr>
            </w:pPr>
            <w:r>
              <w:rPr>
                <w:rFonts w:ascii="Arial" w:cs="Arial" w:eastAsia="Arial" w:hAnsi="Arial"/>
                <w:sz w:val="18"/>
                <w:szCs w:val="18"/>
                <w:color w:val="auto"/>
                <w:w w:val="92"/>
              </w:rPr>
              <w:t>(Address of Principal Executive Offices)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20" w:type="dxa"/>
            <w:vAlign w:val="bottom"/>
          </w:tcPr>
          <w:p>
            <w:pPr>
              <w:ind w:left="520"/>
              <w:spacing w:after="0"/>
              <w:rPr>
                <w:sz w:val="20"/>
                <w:szCs w:val="20"/>
                <w:color w:val="auto"/>
              </w:rPr>
            </w:pPr>
            <w:r>
              <w:rPr>
                <w:rFonts w:ascii="Arial" w:cs="Arial" w:eastAsia="Arial" w:hAnsi="Arial"/>
                <w:sz w:val="18"/>
                <w:szCs w:val="18"/>
                <w:color w:val="auto"/>
              </w:rPr>
              <w:t>(Zip Code)</w:t>
            </w:r>
          </w:p>
        </w:tc>
        <w:tc>
          <w:tcPr>
            <w:tcW w:w="20" w:type="dxa"/>
            <w:vAlign w:val="bottom"/>
          </w:tcPr>
          <w:p>
            <w:pPr>
              <w:spacing w:after="0"/>
              <w:rPr>
                <w:sz w:val="19"/>
                <w:szCs w:val="19"/>
                <w:color w:val="auto"/>
              </w:rPr>
            </w:pPr>
          </w:p>
        </w:tc>
      </w:tr>
    </w:tbl>
    <w:p>
      <w:pPr>
        <w:spacing w:after="0" w:line="18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935-5961</w:t>
      </w:r>
    </w:p>
    <w:p>
      <w:pPr>
        <w:spacing w:after="0" w:line="225" w:lineRule="exact"/>
        <w:rPr>
          <w:sz w:val="24"/>
          <w:szCs w:val="24"/>
          <w:color w:val="auto"/>
        </w:rPr>
      </w:pPr>
    </w:p>
    <w:p>
      <w:pPr>
        <w:ind w:left="1200"/>
        <w:spacing w:after="0"/>
        <w:rPr>
          <w:sz w:val="20"/>
          <w:szCs w:val="20"/>
          <w:color w:val="auto"/>
        </w:rPr>
      </w:pPr>
      <w:r>
        <w:rPr>
          <w:rFonts w:ascii="Arial" w:cs="Arial" w:eastAsia="Arial" w:hAnsi="Arial"/>
          <w:sz w:val="18"/>
          <w:szCs w:val="18"/>
          <w:b w:val="1"/>
          <w:bCs w:val="1"/>
          <w:color w:val="auto"/>
        </w:rPr>
        <w:t>M I Acquisitions, Inc., c/o Magna Management LLC, 40 Wall Street, 58th Floor, New York, NY 10005</w:t>
      </w:r>
      <w:r>
        <w:rPr>
          <w:rFonts w:ascii="Arial" w:cs="Arial" w:eastAsia="Arial" w:hAnsi="Arial"/>
          <w:sz w:val="18"/>
          <w:szCs w:val="18"/>
          <w:color w:val="auto"/>
        </w:rPr>
        <w:t>______________</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Introductory Note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25, 2018, the registrant consummated the previously announced business combination pursuant to a contribution agreement, dated February 26, 2018, as amended and restated on March 26,2018 and April 17, 2018 (the “Purchase Agreement”), by and among M I Acquisitions, Inc. (“M I Acquisitions”), Priority Investment Holdings, LLC (“PIH”) and Priority Incentive Equity Holdings, LLC (“PIEH” and, together with PIH, the “Sellers”), which provided for, among other things, the acquisition of 100% of the issued and outstanding equity securities of Priority Holdings, LLC by M I Acquisitions, which resulted in Priority Holdings, LLC becoming a wholly-owned subsidiary of M I Acquisitions (together with the other transactions contemplated by the Purchase Agreement, the “Business Combination”).</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Upon the closing of the Business Combination, the registrant changed its name from “M I Acquisitions, Inc.” to “Priority Technology Holdings, Inc.” Unless the context otherwise requires, “we,” “us,” “our” and the “Company” refer to the registrant and its subsidiaries. “M I Acquisitions” refers to the registrant prior to the closing, and “Priority” refers to the business of Priority Holdings, LLC before it became a subsidiary of Company upon the closing.</w:t>
      </w:r>
    </w:p>
    <w:p>
      <w:pPr>
        <w:spacing w:after="0" w:line="16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July 31, 2018, the Company filed a Current Report on Form 8-K (the “Original Form 8-K”) to report the closing of the Business Combination and related matters under Items 1.01, 2.01, 3.02, 3.03, 4.01, 5.03, 5.05, 5.06 and 9.01 of Form 8-K. Due to the large number of events to be reported under the specified items of Form 8-K, this Form 8-K/A is being filed to amend the Original Form 8-K to include additional matters related to the closing of the Business Combination under Items 5.01 and 5.02 of Form 8-K.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5.01 Changes in Control of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2.01 in the Original 8-K is incorporated by reference in this Item 5.01.</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5.02 Departure of Directors or Certain Officers; Election of Directors; Appointment of Certain Officers; Arrangements of Certain Officers.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and Executive Officers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the closing date, each of the executive officers of M I Acquisitions delivered his resignation as an officer, and each of the directors of M I Acquisitions, excluding Marc Manuel, delivered his resignation as a director. A description of each person appointed as an executive officer or director in connection with the closing is set forth in the section entitled “Directors and Executive Officers” in Item 2.01 of the Original 8-K and is incorporated in this Item 5.02 by reference.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Plans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disclosure set forth in the sections entitled “2018 Equity Incentive Plan” and “The Earnout Incentive Plan” in Item 2.01 of the Original 8-K is incorporated in this Item 5.02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gridSpan w:val="3"/>
          </w:tcPr>
          <w:p>
            <w:pPr>
              <w:ind w:left="20"/>
              <w:spacing w:after="0"/>
              <w:rPr>
                <w:sz w:val="20"/>
                <w:szCs w:val="20"/>
                <w:color w:val="auto"/>
              </w:rPr>
            </w:pPr>
            <w:r>
              <w:rPr>
                <w:rFonts w:ascii="Arial" w:cs="Arial" w:eastAsia="Arial" w:hAnsi="Arial"/>
                <w:sz w:val="18"/>
                <w:szCs w:val="18"/>
                <w:color w:val="auto"/>
              </w:rPr>
              <w:t>(d)</w:t>
            </w:r>
          </w:p>
        </w:tc>
        <w:tc>
          <w:tcPr>
            <w:tcW w:w="10820" w:type="dxa"/>
            <w:vAlign w:val="bottom"/>
            <w:gridSpan w:val="23"/>
          </w:tcPr>
          <w:p>
            <w:pPr>
              <w:ind w:left="40"/>
              <w:spacing w:after="0"/>
              <w:rPr>
                <w:sz w:val="20"/>
                <w:szCs w:val="20"/>
                <w:color w:val="auto"/>
              </w:rPr>
            </w:pPr>
            <w:r>
              <w:rPr>
                <w:rFonts w:ascii="Arial" w:cs="Arial" w:eastAsia="Arial" w:hAnsi="Arial"/>
                <w:sz w:val="18"/>
                <w:szCs w:val="18"/>
                <w:color w:val="auto"/>
              </w:rPr>
              <w:t>Exhibits:</w:t>
            </w:r>
          </w:p>
        </w:tc>
      </w:tr>
      <w:tr>
        <w:trPr>
          <w:trHeight w:val="432"/>
        </w:trPr>
        <w:tc>
          <w:tcPr>
            <w:tcW w:w="600" w:type="dxa"/>
            <w:vAlign w:val="bottom"/>
            <w:gridSpan w:val="6"/>
          </w:tcPr>
          <w:p>
            <w:pPr>
              <w:spacing w:after="0"/>
              <w:rPr>
                <w:sz w:val="20"/>
                <w:szCs w:val="20"/>
                <w:color w:val="auto"/>
              </w:rPr>
            </w:pPr>
            <w:r>
              <w:rPr>
                <w:rFonts w:ascii="Arial" w:cs="Arial" w:eastAsia="Arial" w:hAnsi="Arial"/>
                <w:sz w:val="18"/>
                <w:szCs w:val="18"/>
                <w:b w:val="1"/>
                <w:bCs w:val="1"/>
                <w:color w:val="auto"/>
                <w:w w:val="96"/>
              </w:rPr>
              <w:t>Exhibit</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21"/>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300" w:type="dxa"/>
            <w:vAlign w:val="bottom"/>
            <w:tcBorders>
              <w:top w:val="single" w:sz="8" w:color="auto"/>
            </w:tcBorders>
            <w:gridSpan w:val="2"/>
          </w:tcPr>
          <w:p>
            <w:pPr>
              <w:spacing w:after="0" w:line="170" w:lineRule="exact"/>
              <w:rPr>
                <w:rFonts w:ascii="Arial" w:cs="Arial" w:eastAsia="Arial" w:hAnsi="Arial"/>
                <w:sz w:val="18"/>
                <w:szCs w:val="18"/>
                <w:color w:val="0000EE"/>
              </w:rPr>
            </w:pPr>
            <w:hyperlink r:id="rId10">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160" w:type="dxa"/>
            <w:vAlign w:val="bottom"/>
            <w:tcBorders>
              <w:top w:val="single" w:sz="8" w:color="auto"/>
            </w:tcBorders>
            <w:gridSpan w:val="21"/>
          </w:tcPr>
          <w:p>
            <w:pPr>
              <w:spacing w:after="0" w:line="170" w:lineRule="exact"/>
              <w:rPr>
                <w:rFonts w:ascii="Arial" w:cs="Arial" w:eastAsia="Arial" w:hAnsi="Arial"/>
                <w:sz w:val="18"/>
                <w:szCs w:val="18"/>
                <w:color w:val="0000EE"/>
                <w:w w:val="93"/>
              </w:rPr>
            </w:pPr>
            <w:hyperlink r:id="rId10">
              <w:r>
                <w:rPr>
                  <w:rFonts w:ascii="Arial" w:cs="Arial" w:eastAsia="Arial" w:hAnsi="Arial"/>
                  <w:sz w:val="18"/>
                  <w:szCs w:val="18"/>
                  <w:color w:val="0000EE"/>
                  <w:w w:val="93"/>
                </w:rPr>
                <w:t>Second Amended and Restated Contribution Agreement, dated as of April 17, 2018, by and among Priority Investment Holdings, Priority</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4"/>
              </w:rPr>
            </w:pPr>
            <w:hyperlink r:id="rId10">
              <w:r>
                <w:rPr>
                  <w:rFonts w:ascii="Arial" w:cs="Arial" w:eastAsia="Arial" w:hAnsi="Arial"/>
                  <w:sz w:val="18"/>
                  <w:szCs w:val="18"/>
                  <w:color w:val="0000EE"/>
                  <w:w w:val="94"/>
                </w:rPr>
                <w:t>Incentive Equity Holdings, LLC and M I Acquisitions, Inc. (incorporated by reference to Annex A to the Company’s Proxy Statement on</w:t>
              </w:r>
            </w:hyperlink>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0">
              <w:r>
                <w:rPr>
                  <w:rFonts w:ascii="Arial" w:cs="Arial" w:eastAsia="Arial" w:hAnsi="Arial"/>
                  <w:sz w:val="18"/>
                  <w:szCs w:val="18"/>
                  <w:color w:val="0000EE"/>
                  <w:w w:val="90"/>
                </w:rPr>
                <w:t>Schedule 14(a) filed July 5, 2018).</w:t>
              </w:r>
            </w:hyperlink>
          </w:p>
        </w:tc>
        <w:tc>
          <w:tcPr>
            <w:tcW w:w="7660" w:type="dxa"/>
            <w:vAlign w:val="bottom"/>
            <w:gridSpan w:val="15"/>
          </w:tcPr>
          <w:p>
            <w:pPr>
              <w:spacing w:after="0"/>
              <w:rPr>
                <w:sz w:val="17"/>
                <w:szCs w:val="17"/>
                <w:color w:val="auto"/>
              </w:rPr>
            </w:pPr>
          </w:p>
        </w:tc>
      </w:tr>
      <w:tr>
        <w:trPr>
          <w:trHeight w:val="196"/>
        </w:trPr>
        <w:tc>
          <w:tcPr>
            <w:tcW w:w="320" w:type="dxa"/>
            <w:vAlign w:val="bottom"/>
            <w:gridSpan w:val="3"/>
          </w:tcPr>
          <w:p>
            <w:pPr>
              <w:spacing w:after="0" w:line="196" w:lineRule="exact"/>
              <w:rPr>
                <w:rFonts w:ascii="Arial" w:cs="Arial" w:eastAsia="Arial" w:hAnsi="Arial"/>
                <w:sz w:val="18"/>
                <w:szCs w:val="18"/>
                <w:color w:val="0000EE"/>
              </w:rPr>
            </w:pPr>
            <w:hyperlink r:id="rId10">
              <w:r>
                <w:rPr>
                  <w:rFonts w:ascii="Arial" w:cs="Arial" w:eastAsia="Arial" w:hAnsi="Arial"/>
                  <w:sz w:val="18"/>
                  <w:szCs w:val="18"/>
                  <w:color w:val="0000EE"/>
                </w:rPr>
                <w:t>2.</w:t>
              </w:r>
              <w:r>
                <w:rPr>
                  <w:rFonts w:ascii="Arial" w:cs="Arial" w:eastAsia="Arial" w:hAnsi="Arial"/>
                  <w:sz w:val="18"/>
                  <w:szCs w:val="18"/>
                  <w:u w:val="single" w:color="auto"/>
                  <w:color w:val="0000EE"/>
                </w:rPr>
                <w:t>2</w:t>
              </w:r>
            </w:hyperlink>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21"/>
          </w:tcPr>
          <w:p>
            <w:pPr>
              <w:spacing w:after="0" w:line="196" w:lineRule="exact"/>
              <w:rPr>
                <w:rFonts w:ascii="Arial" w:cs="Arial" w:eastAsia="Arial" w:hAnsi="Arial"/>
                <w:sz w:val="18"/>
                <w:szCs w:val="18"/>
                <w:color w:val="0000EE"/>
                <w:w w:val="95"/>
              </w:rPr>
            </w:pPr>
            <w:hyperlink r:id="rId10">
              <w:r>
                <w:rPr>
                  <w:rFonts w:ascii="Arial" w:cs="Arial" w:eastAsia="Arial" w:hAnsi="Arial"/>
                  <w:sz w:val="18"/>
                  <w:szCs w:val="18"/>
                  <w:color w:val="0000EE"/>
                  <w:w w:val="95"/>
                </w:rPr>
                <w:t>Purchase Agreement, dated as of February 26, 2018 by and among Priority Holdings, LLC, M SPAC LLC, M SPAC Holdings I LLC, M</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tcBorders>
              <w:top w:val="single" w:sz="8" w:color="0000EE"/>
            </w:tcBorders>
            <w:gridSpan w:val="21"/>
          </w:tcPr>
          <w:p>
            <w:pPr>
              <w:spacing w:after="0" w:line="196" w:lineRule="exact"/>
              <w:rPr>
                <w:rFonts w:ascii="Arial" w:cs="Arial" w:eastAsia="Arial" w:hAnsi="Arial"/>
                <w:sz w:val="18"/>
                <w:szCs w:val="18"/>
                <w:color w:val="0000EE"/>
                <w:w w:val="93"/>
              </w:rPr>
            </w:pPr>
            <w:hyperlink r:id="rId10">
              <w:r>
                <w:rPr>
                  <w:rFonts w:ascii="Arial" w:cs="Arial" w:eastAsia="Arial" w:hAnsi="Arial"/>
                  <w:sz w:val="18"/>
                  <w:szCs w:val="18"/>
                  <w:color w:val="0000EE"/>
                  <w:w w:val="93"/>
                </w:rPr>
                <w:t>SPAC Holdings II LLC, and M I Acquisitions, Inc. (incorporated by reference to Annex B to the Company’s Proxy Statement on Schedule</w:t>
              </w:r>
            </w:hyperlink>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10">
              <w:r>
                <w:rPr>
                  <w:rFonts w:ascii="Arial" w:cs="Arial" w:eastAsia="Arial" w:hAnsi="Arial"/>
                  <w:sz w:val="18"/>
                  <w:szCs w:val="18"/>
                  <w:color w:val="0000EE"/>
                  <w:w w:val="92"/>
                </w:rPr>
                <w:t>14(a) filed July 5, 2018).</w:t>
              </w:r>
            </w:hyperlink>
          </w:p>
        </w:tc>
        <w:tc>
          <w:tcPr>
            <w:tcW w:w="8340" w:type="dxa"/>
            <w:vAlign w:val="bottom"/>
            <w:tcBorders>
              <w:top w:val="single" w:sz="8" w:color="0000EE"/>
            </w:tcBorders>
            <w:gridSpan w:val="17"/>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320" w:type="dxa"/>
            <w:vAlign w:val="bottom"/>
            <w:gridSpan w:val="3"/>
          </w:tcPr>
          <w:p>
            <w:pPr>
              <w:spacing w:after="0" w:line="196" w:lineRule="exact"/>
              <w:rPr>
                <w:rFonts w:ascii="Arial" w:cs="Arial" w:eastAsia="Arial" w:hAnsi="Arial"/>
                <w:sz w:val="18"/>
                <w:szCs w:val="18"/>
                <w:color w:val="0000EE"/>
                <w:w w:val="93"/>
              </w:rPr>
            </w:pPr>
            <w:hyperlink r:id="rId11">
              <w:r>
                <w:rPr>
                  <w:rFonts w:ascii="Arial" w:cs="Arial" w:eastAsia="Arial" w:hAnsi="Arial"/>
                  <w:sz w:val="18"/>
                  <w:szCs w:val="18"/>
                  <w:color w:val="0000EE"/>
                  <w:w w:val="93"/>
                </w:rPr>
                <w:t>3.</w:t>
              </w:r>
              <w:r>
                <w:rPr>
                  <w:rFonts w:ascii="Arial" w:cs="Arial" w:eastAsia="Arial" w:hAnsi="Arial"/>
                  <w:sz w:val="18"/>
                  <w:szCs w:val="18"/>
                  <w:u w:val="single" w:color="auto"/>
                  <w:color w:val="0000EE"/>
                  <w:w w:val="93"/>
                </w:rPr>
                <w:t>1*</w:t>
              </w:r>
            </w:hyperlink>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21"/>
          </w:tcPr>
          <w:p>
            <w:pPr>
              <w:spacing w:after="0" w:line="196" w:lineRule="exact"/>
              <w:rPr>
                <w:rFonts w:ascii="Arial" w:cs="Arial" w:eastAsia="Arial" w:hAnsi="Arial"/>
                <w:sz w:val="18"/>
                <w:szCs w:val="18"/>
                <w:color w:val="0000EE"/>
              </w:rPr>
            </w:pPr>
            <w:hyperlink r:id="rId11">
              <w:r>
                <w:rPr>
                  <w:rFonts w:ascii="Arial" w:cs="Arial" w:eastAsia="Arial" w:hAnsi="Arial"/>
                  <w:sz w:val="18"/>
                  <w:szCs w:val="18"/>
                  <w:color w:val="0000EE"/>
                </w:rPr>
                <w:t>Second Amended and Restated Certificate of Incorporation of Priority Technology Holdings, Inc.</w:t>
              </w:r>
            </w:hyperlink>
          </w:p>
        </w:tc>
      </w:tr>
      <w:tr>
        <w:trPr>
          <w:trHeight w:val="196"/>
        </w:trPr>
        <w:tc>
          <w:tcPr>
            <w:tcW w:w="3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r:id="rId12">
              <w:r>
                <w:rPr>
                  <w:rFonts w:ascii="Arial" w:cs="Arial" w:eastAsia="Arial" w:hAnsi="Arial"/>
                  <w:sz w:val="18"/>
                  <w:szCs w:val="18"/>
                  <w:color w:val="0000EE"/>
                  <w:w w:val="93"/>
                </w:rPr>
                <w:t>3.</w:t>
              </w:r>
              <w:r>
                <w:rPr>
                  <w:rFonts w:ascii="Arial" w:cs="Arial" w:eastAsia="Arial" w:hAnsi="Arial"/>
                  <w:sz w:val="18"/>
                  <w:szCs w:val="18"/>
                  <w:u w:val="single" w:color="auto"/>
                  <w:color w:val="0000EE"/>
                  <w:w w:val="93"/>
                </w:rPr>
                <w:t>2*</w:t>
              </w:r>
            </w:hyperlink>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2">
              <w:r>
                <w:rPr>
                  <w:rFonts w:ascii="Arial" w:cs="Arial" w:eastAsia="Arial" w:hAnsi="Arial"/>
                  <w:sz w:val="18"/>
                  <w:szCs w:val="18"/>
                  <w:color w:val="0000EE"/>
                  <w:w w:val="91"/>
                </w:rPr>
                <w:t>Amended and Restated Bylaws of Priority Technology Holdings, Inc.</w:t>
              </w:r>
            </w:hyperlink>
          </w:p>
        </w:tc>
        <w:tc>
          <w:tcPr>
            <w:tcW w:w="2000" w:type="dxa"/>
            <w:vAlign w:val="bottom"/>
            <w:tcBorders>
              <w:top w:val="single" w:sz="8" w:color="0000EE"/>
            </w:tcBorders>
            <w:gridSpan w:val="5"/>
          </w:tcPr>
          <w:p>
            <w:pPr>
              <w:spacing w:after="0"/>
              <w:rPr>
                <w:sz w:val="17"/>
                <w:szCs w:val="17"/>
                <w:color w:val="auto"/>
              </w:rPr>
            </w:pPr>
          </w:p>
        </w:tc>
        <w:tc>
          <w:tcPr>
            <w:tcW w:w="3140" w:type="dxa"/>
            <w:vAlign w:val="bottom"/>
            <w:gridSpan w:val="4"/>
          </w:tcPr>
          <w:p>
            <w:pPr>
              <w:spacing w:after="0"/>
              <w:rPr>
                <w:sz w:val="17"/>
                <w:szCs w:val="17"/>
                <w:color w:val="auto"/>
              </w:rPr>
            </w:pPr>
          </w:p>
        </w:tc>
      </w:tr>
      <w:tr>
        <w:trPr>
          <w:trHeight w:val="196"/>
        </w:trPr>
        <w:tc>
          <w:tcPr>
            <w:tcW w:w="420" w:type="dxa"/>
            <w:vAlign w:val="bottom"/>
            <w:gridSpan w:val="4"/>
          </w:tcPr>
          <w:p>
            <w:pPr>
              <w:spacing w:after="0" w:line="196" w:lineRule="exact"/>
              <w:rPr>
                <w:rFonts w:ascii="Arial" w:cs="Arial" w:eastAsia="Arial" w:hAnsi="Arial"/>
                <w:sz w:val="18"/>
                <w:szCs w:val="18"/>
                <w:color w:val="0000EE"/>
                <w:w w:val="95"/>
              </w:rPr>
            </w:pPr>
            <w:hyperlink r:id="rId13">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1*</w:t>
              </w:r>
            </w:hyperlink>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21"/>
          </w:tcPr>
          <w:p>
            <w:pPr>
              <w:spacing w:after="0" w:line="196" w:lineRule="exact"/>
              <w:rPr>
                <w:rFonts w:ascii="Arial" w:cs="Arial" w:eastAsia="Arial" w:hAnsi="Arial"/>
                <w:sz w:val="18"/>
                <w:szCs w:val="18"/>
                <w:color w:val="0000EE"/>
              </w:rPr>
            </w:pPr>
            <w:hyperlink r:id="rId13">
              <w:r>
                <w:rPr>
                  <w:rFonts w:ascii="Arial" w:cs="Arial" w:eastAsia="Arial" w:hAnsi="Arial"/>
                  <w:sz w:val="18"/>
                  <w:szCs w:val="18"/>
                  <w:color w:val="0000EE"/>
                </w:rPr>
                <w:t>Registration Rights Agreement dated as of July 25, 2018 by and among M I Acquisitions, Inc. and the other parties thereto.</w:t>
              </w:r>
            </w:hyperlink>
          </w:p>
        </w:tc>
      </w:tr>
      <w:tr>
        <w:trPr>
          <w:trHeight w:val="196"/>
        </w:trPr>
        <w:tc>
          <w:tcPr>
            <w:tcW w:w="4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5"/>
              </w:rPr>
            </w:pPr>
            <w:hyperlink r:id="rId14">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2*</w:t>
              </w:r>
            </w:hyperlink>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14">
              <w:r>
                <w:rPr>
                  <w:rFonts w:ascii="Arial" w:cs="Arial" w:eastAsia="Arial" w:hAnsi="Arial"/>
                  <w:sz w:val="18"/>
                  <w:szCs w:val="18"/>
                  <w:color w:val="0000EE"/>
                  <w:w w:val="92"/>
                </w:rPr>
                <w:t>Priority Technology Holdings, Inc. 2018 Equity Incentive Plan.</w:t>
              </w:r>
            </w:hyperlink>
          </w:p>
        </w:tc>
        <w:tc>
          <w:tcPr>
            <w:tcW w:w="4300" w:type="dxa"/>
            <w:vAlign w:val="bottom"/>
            <w:tcBorders>
              <w:top w:val="single" w:sz="8" w:color="0000EE"/>
            </w:tcBorders>
            <w:gridSpan w:val="8"/>
          </w:tcPr>
          <w:p>
            <w:pPr>
              <w:spacing w:after="0"/>
              <w:rPr>
                <w:sz w:val="17"/>
                <w:szCs w:val="17"/>
                <w:color w:val="auto"/>
              </w:rPr>
            </w:pPr>
          </w:p>
        </w:tc>
        <w:tc>
          <w:tcPr>
            <w:tcW w:w="1280" w:type="dxa"/>
            <w:vAlign w:val="bottom"/>
            <w:gridSpan w:val="3"/>
          </w:tcPr>
          <w:p>
            <w:pPr>
              <w:spacing w:after="0"/>
              <w:rPr>
                <w:sz w:val="17"/>
                <w:szCs w:val="17"/>
                <w:color w:val="auto"/>
              </w:rPr>
            </w:pPr>
          </w:p>
        </w:tc>
      </w:tr>
      <w:tr>
        <w:trPr>
          <w:trHeight w:val="196"/>
        </w:trPr>
        <w:tc>
          <w:tcPr>
            <w:tcW w:w="42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r:id="rId15">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3*</w:t>
              </w:r>
            </w:hyperlink>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2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5">
              <w:r>
                <w:rPr>
                  <w:rFonts w:ascii="Arial" w:cs="Arial" w:eastAsia="Arial" w:hAnsi="Arial"/>
                  <w:sz w:val="18"/>
                  <w:szCs w:val="18"/>
                  <w:color w:val="0000EE"/>
                  <w:w w:val="92"/>
                </w:rPr>
                <w:t>Priority Technology Holdings, Inc. Earnout Incentive Plan</w:t>
              </w:r>
            </w:hyperlink>
          </w:p>
        </w:tc>
        <w:tc>
          <w:tcPr>
            <w:tcW w:w="5940" w:type="dxa"/>
            <w:vAlign w:val="bottom"/>
            <w:gridSpan w:val="12"/>
          </w:tcPr>
          <w:p>
            <w:pPr>
              <w:spacing w:after="0"/>
              <w:rPr>
                <w:sz w:val="17"/>
                <w:szCs w:val="17"/>
                <w:color w:val="auto"/>
              </w:rPr>
            </w:pPr>
          </w:p>
        </w:tc>
      </w:tr>
      <w:tr>
        <w:trPr>
          <w:trHeight w:val="196"/>
        </w:trPr>
        <w:tc>
          <w:tcPr>
            <w:tcW w:w="420" w:type="dxa"/>
            <w:vAlign w:val="bottom"/>
            <w:gridSpan w:val="4"/>
          </w:tcPr>
          <w:p>
            <w:pPr>
              <w:spacing w:after="0" w:line="196" w:lineRule="exact"/>
              <w:rPr>
                <w:rFonts w:ascii="Arial" w:cs="Arial" w:eastAsia="Arial" w:hAnsi="Arial"/>
                <w:sz w:val="18"/>
                <w:szCs w:val="18"/>
                <w:color w:val="0000EE"/>
                <w:w w:val="95"/>
              </w:rPr>
            </w:pPr>
            <w:hyperlink r:id="rId16">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4*</w:t>
              </w:r>
            </w:hyperlink>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21"/>
          </w:tcPr>
          <w:p>
            <w:pPr>
              <w:spacing w:after="0" w:line="196" w:lineRule="exact"/>
              <w:rPr>
                <w:rFonts w:ascii="Arial" w:cs="Arial" w:eastAsia="Arial" w:hAnsi="Arial"/>
                <w:sz w:val="18"/>
                <w:szCs w:val="18"/>
                <w:color w:val="0000EE"/>
                <w:w w:val="92"/>
              </w:rPr>
            </w:pPr>
            <w:hyperlink r:id="rId16">
              <w:r>
                <w:rPr>
                  <w:rFonts w:ascii="Arial" w:cs="Arial" w:eastAsia="Arial" w:hAnsi="Arial"/>
                  <w:sz w:val="18"/>
                  <w:szCs w:val="18"/>
                  <w:color w:val="0000EE"/>
                  <w:w w:val="92"/>
                </w:rPr>
                <w:t>Credit and Guaranty Agreement, dated as of January 3, 2017 by and among Pipeline Cynergy Holdings, LLC, Priority Institutional Partner</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2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2"/>
              </w:rPr>
            </w:pPr>
            <w:hyperlink r:id="rId16">
              <w:r>
                <w:rPr>
                  <w:rFonts w:ascii="Arial" w:cs="Arial" w:eastAsia="Arial" w:hAnsi="Arial"/>
                  <w:sz w:val="18"/>
                  <w:szCs w:val="18"/>
                  <w:color w:val="0000EE"/>
                  <w:w w:val="92"/>
                </w:rPr>
                <w:t>Services, LLC, Priority Payment Systems Holdings LLC, Priority Holdings, LLC, the Credit Parties, the Lenders and SunTrust Bank.</w:t>
              </w:r>
            </w:hyperlink>
          </w:p>
        </w:tc>
        <w:tc>
          <w:tcPr>
            <w:tcW w:w="540" w:type="dxa"/>
            <w:vAlign w:val="bottom"/>
            <w:tcBorders>
              <w:top w:val="single" w:sz="8" w:color="0000EE"/>
            </w:tcBorders>
            <w:gridSpan w:val="2"/>
          </w:tcPr>
          <w:p>
            <w:pPr>
              <w:spacing w:after="0"/>
              <w:rPr>
                <w:sz w:val="17"/>
                <w:szCs w:val="17"/>
                <w:color w:val="auto"/>
              </w:rPr>
            </w:pPr>
          </w:p>
        </w:tc>
      </w:tr>
      <w:tr>
        <w:trPr>
          <w:trHeight w:val="196"/>
        </w:trPr>
        <w:tc>
          <w:tcPr>
            <w:tcW w:w="540" w:type="dxa"/>
            <w:vAlign w:val="bottom"/>
            <w:gridSpan w:val="5"/>
          </w:tcPr>
          <w:p>
            <w:pPr>
              <w:spacing w:after="0" w:line="196" w:lineRule="exact"/>
              <w:rPr>
                <w:rFonts w:ascii="Arial" w:cs="Arial" w:eastAsia="Arial" w:hAnsi="Arial"/>
                <w:sz w:val="18"/>
                <w:szCs w:val="18"/>
                <w:color w:val="0000EE"/>
                <w:w w:val="91"/>
              </w:rPr>
            </w:pPr>
            <w:hyperlink r:id="rId17">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4.1*</w:t>
              </w:r>
            </w:hyperlink>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21"/>
          </w:tcPr>
          <w:p>
            <w:pPr>
              <w:spacing w:after="0" w:line="196" w:lineRule="exact"/>
              <w:rPr>
                <w:rFonts w:ascii="Arial" w:cs="Arial" w:eastAsia="Arial" w:hAnsi="Arial"/>
                <w:sz w:val="18"/>
                <w:szCs w:val="18"/>
                <w:color w:val="0000EE"/>
                <w:w w:val="92"/>
              </w:rPr>
            </w:pPr>
            <w:hyperlink r:id="rId17">
              <w:r>
                <w:rPr>
                  <w:rFonts w:ascii="Arial" w:cs="Arial" w:eastAsia="Arial" w:hAnsi="Arial"/>
                  <w:sz w:val="18"/>
                  <w:szCs w:val="18"/>
                  <w:color w:val="0000EE"/>
                  <w:w w:val="92"/>
                </w:rPr>
                <w:t>First Amendment to the Credit and Guaranty Agreement, dated as of November 14, 2017 by and among Pipeline Cynergy Holdings, LLC,</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tcBorders>
              <w:top w:val="single" w:sz="8" w:color="0000EE"/>
            </w:tcBorders>
            <w:gridSpan w:val="21"/>
          </w:tcPr>
          <w:p>
            <w:pPr>
              <w:spacing w:after="0" w:line="196" w:lineRule="exact"/>
              <w:rPr>
                <w:rFonts w:ascii="Arial" w:cs="Arial" w:eastAsia="Arial" w:hAnsi="Arial"/>
                <w:sz w:val="18"/>
                <w:szCs w:val="18"/>
                <w:color w:val="0000EE"/>
                <w:w w:val="95"/>
              </w:rPr>
            </w:pPr>
            <w:hyperlink r:id="rId17">
              <w:r>
                <w:rPr>
                  <w:rFonts w:ascii="Arial" w:cs="Arial" w:eastAsia="Arial" w:hAnsi="Arial"/>
                  <w:sz w:val="18"/>
                  <w:szCs w:val="18"/>
                  <w:color w:val="0000EE"/>
                  <w:w w:val="95"/>
                </w:rPr>
                <w:t>Priority Institutional Partner Services, LLC, Priority Payment Systems Holdings LLC, Priority Holdings, LLC, the other Guarantors, the</w:t>
              </w:r>
            </w:hyperlink>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17">
              <w:r>
                <w:rPr>
                  <w:rFonts w:ascii="Arial" w:cs="Arial" w:eastAsia="Arial" w:hAnsi="Arial"/>
                  <w:sz w:val="18"/>
                  <w:szCs w:val="18"/>
                  <w:color w:val="0000EE"/>
                  <w:w w:val="89"/>
                </w:rPr>
                <w:t>Lenders and SunTrust Bank.</w:t>
              </w:r>
            </w:hyperlink>
          </w:p>
        </w:tc>
        <w:tc>
          <w:tcPr>
            <w:tcW w:w="8080" w:type="dxa"/>
            <w:vAlign w:val="bottom"/>
            <w:tcBorders>
              <w:top w:val="single" w:sz="8" w:color="0000EE"/>
            </w:tcBorders>
            <w:gridSpan w:val="1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40" w:type="dxa"/>
            <w:vAlign w:val="bottom"/>
            <w:gridSpan w:val="5"/>
          </w:tcPr>
          <w:p>
            <w:pPr>
              <w:spacing w:after="0" w:line="196" w:lineRule="exact"/>
              <w:rPr>
                <w:rFonts w:ascii="Arial" w:cs="Arial" w:eastAsia="Arial" w:hAnsi="Arial"/>
                <w:sz w:val="18"/>
                <w:szCs w:val="18"/>
                <w:color w:val="0000EE"/>
                <w:w w:val="91"/>
              </w:rPr>
            </w:pPr>
            <w:hyperlink r:id="rId18">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4.2*</w:t>
              </w:r>
            </w:hyperlink>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21"/>
          </w:tcPr>
          <w:p>
            <w:pPr>
              <w:spacing w:after="0" w:line="196" w:lineRule="exact"/>
              <w:rPr>
                <w:rFonts w:ascii="Arial" w:cs="Arial" w:eastAsia="Arial" w:hAnsi="Arial"/>
                <w:sz w:val="18"/>
                <w:szCs w:val="18"/>
                <w:color w:val="0000EE"/>
                <w:w w:val="92"/>
              </w:rPr>
            </w:pPr>
            <w:hyperlink r:id="rId18">
              <w:r>
                <w:rPr>
                  <w:rFonts w:ascii="Arial" w:cs="Arial" w:eastAsia="Arial" w:hAnsi="Arial"/>
                  <w:sz w:val="18"/>
                  <w:szCs w:val="18"/>
                  <w:color w:val="0000EE"/>
                  <w:w w:val="92"/>
                </w:rPr>
                <w:t>Second Amendment to the Credit and Guaranty Agreement, dated as of January 11, 2018 by and among Pipeline Cynergy Holdings, LLC,</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4"/>
              </w:rPr>
            </w:pPr>
            <w:hyperlink r:id="rId18">
              <w:r>
                <w:rPr>
                  <w:rFonts w:ascii="Arial" w:cs="Arial" w:eastAsia="Arial" w:hAnsi="Arial"/>
                  <w:sz w:val="18"/>
                  <w:szCs w:val="18"/>
                  <w:color w:val="0000EE"/>
                  <w:w w:val="94"/>
                </w:rPr>
                <w:t>Priority Institutional Partner Services, LLC, Priority Payment Systems Holdings LLC, Priority Holdings, LLC, the other Guarantors, each</w:t>
              </w:r>
            </w:hyperlink>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r:id="rId18">
              <w:r>
                <w:rPr>
                  <w:rFonts w:ascii="Arial" w:cs="Arial" w:eastAsia="Arial" w:hAnsi="Arial"/>
                  <w:sz w:val="18"/>
                  <w:szCs w:val="18"/>
                  <w:color w:val="0000EE"/>
                  <w:w w:val="94"/>
                </w:rPr>
                <w:t>2018 Converting Lender, each new 2018 Refinancing Term Lender, each 2018 Incremental Term Loan Lenders, each Revolving Credit</w:t>
              </w:r>
            </w:hyperlink>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21"/>
          </w:tcPr>
          <w:p>
            <w:pPr>
              <w:spacing w:after="0" w:line="196" w:lineRule="exact"/>
              <w:rPr>
                <w:rFonts w:ascii="Arial" w:cs="Arial" w:eastAsia="Arial" w:hAnsi="Arial"/>
                <w:sz w:val="18"/>
                <w:szCs w:val="18"/>
                <w:color w:val="0000EE"/>
              </w:rPr>
            </w:pPr>
            <w:hyperlink r:id="rId18">
              <w:r>
                <w:rPr>
                  <w:rFonts w:ascii="Arial" w:cs="Arial" w:eastAsia="Arial" w:hAnsi="Arial"/>
                  <w:sz w:val="18"/>
                  <w:szCs w:val="18"/>
                  <w:color w:val="0000EE"/>
                </w:rPr>
                <w:t>Lender and SunTrust Bank.</w:t>
              </w:r>
            </w:hyperlink>
          </w:p>
        </w:tc>
      </w:tr>
      <w:tr>
        <w:trPr>
          <w:trHeight w:val="20"/>
        </w:trPr>
        <w:tc>
          <w:tcPr>
            <w:tcW w:w="4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gridSpan w:val="4"/>
          </w:tcPr>
          <w:p>
            <w:pPr>
              <w:spacing w:after="0" w:line="196" w:lineRule="exact"/>
              <w:rPr>
                <w:rFonts w:ascii="Arial" w:cs="Arial" w:eastAsia="Arial" w:hAnsi="Arial"/>
                <w:sz w:val="18"/>
                <w:szCs w:val="18"/>
                <w:color w:val="0000EE"/>
                <w:w w:val="95"/>
              </w:rPr>
            </w:pPr>
            <w:hyperlink r:id="rId19">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5*</w:t>
              </w:r>
            </w:hyperlink>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21"/>
          </w:tcPr>
          <w:p>
            <w:pPr>
              <w:spacing w:after="0" w:line="196" w:lineRule="exact"/>
              <w:rPr>
                <w:rFonts w:ascii="Arial" w:cs="Arial" w:eastAsia="Arial" w:hAnsi="Arial"/>
                <w:sz w:val="18"/>
                <w:szCs w:val="18"/>
                <w:color w:val="0000EE"/>
                <w:w w:val="93"/>
              </w:rPr>
            </w:pPr>
            <w:hyperlink r:id="rId19">
              <w:r>
                <w:rPr>
                  <w:rFonts w:ascii="Arial" w:cs="Arial" w:eastAsia="Arial" w:hAnsi="Arial"/>
                  <w:sz w:val="18"/>
                  <w:szCs w:val="18"/>
                  <w:color w:val="0000EE"/>
                  <w:w w:val="93"/>
                </w:rPr>
                <w:t>Credit and Guaranty Agreement, dated as of January 3, 2017, by and among Priority Holdings, LLC, the Credit Parties, the Lenders and</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19">
              <w:r>
                <w:rPr>
                  <w:rFonts w:ascii="Arial" w:cs="Arial" w:eastAsia="Arial" w:hAnsi="Arial"/>
                  <w:sz w:val="18"/>
                  <w:szCs w:val="18"/>
                  <w:color w:val="0000EE"/>
                  <w:w w:val="90"/>
                </w:rPr>
                <w:t>Goldman Sachs Specialty Lending Group, L.P.</w:t>
              </w:r>
            </w:hyperlink>
          </w:p>
        </w:tc>
        <w:tc>
          <w:tcPr>
            <w:tcW w:w="6760" w:type="dxa"/>
            <w:vAlign w:val="bottom"/>
            <w:tcBorders>
              <w:top w:val="single" w:sz="8" w:color="0000EE"/>
            </w:tcBorders>
            <w:gridSpan w:val="1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40" w:type="dxa"/>
            <w:vAlign w:val="bottom"/>
            <w:gridSpan w:val="5"/>
          </w:tcPr>
          <w:p>
            <w:pPr>
              <w:spacing w:after="0" w:line="196" w:lineRule="exact"/>
              <w:rPr>
                <w:rFonts w:ascii="Arial" w:cs="Arial" w:eastAsia="Arial" w:hAnsi="Arial"/>
                <w:sz w:val="18"/>
                <w:szCs w:val="18"/>
                <w:color w:val="0000EE"/>
                <w:w w:val="91"/>
              </w:rPr>
            </w:pPr>
            <w:hyperlink r:id="rId20">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5.1*</w:t>
              </w:r>
            </w:hyperlink>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21"/>
          </w:tcPr>
          <w:p>
            <w:pPr>
              <w:spacing w:after="0" w:line="196" w:lineRule="exact"/>
              <w:rPr>
                <w:rFonts w:ascii="Arial" w:cs="Arial" w:eastAsia="Arial" w:hAnsi="Arial"/>
                <w:sz w:val="18"/>
                <w:szCs w:val="18"/>
                <w:color w:val="0000EE"/>
                <w:w w:val="97"/>
              </w:rPr>
            </w:pPr>
            <w:hyperlink r:id="rId20">
              <w:r>
                <w:rPr>
                  <w:rFonts w:ascii="Arial" w:cs="Arial" w:eastAsia="Arial" w:hAnsi="Arial"/>
                  <w:sz w:val="18"/>
                  <w:szCs w:val="18"/>
                  <w:color w:val="0000EE"/>
                  <w:w w:val="97"/>
                </w:rPr>
                <w:t>First Amendment to the Credit and Guaranty Agreement, dated as of November 14, 2017, by and among Priority Holdings LLC, the</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r:id="rId20">
              <w:r>
                <w:rPr>
                  <w:rFonts w:ascii="Arial" w:cs="Arial" w:eastAsia="Arial" w:hAnsi="Arial"/>
                  <w:sz w:val="18"/>
                  <w:szCs w:val="18"/>
                  <w:color w:val="0000EE"/>
                  <w:w w:val="89"/>
                </w:rPr>
                <w:t>Guarantors, the Lenders and Goldman Sachs Specialty Group, L.P.</w:t>
              </w:r>
            </w:hyperlink>
          </w:p>
        </w:tc>
        <w:tc>
          <w:tcPr>
            <w:tcW w:w="5340" w:type="dxa"/>
            <w:vAlign w:val="bottom"/>
            <w:tcBorders>
              <w:top w:val="single" w:sz="8" w:color="0000EE"/>
            </w:tcBorders>
            <w:gridSpan w:val="10"/>
          </w:tcPr>
          <w:p>
            <w:pPr>
              <w:spacing w:after="0"/>
              <w:rPr>
                <w:sz w:val="17"/>
                <w:szCs w:val="17"/>
                <w:color w:val="auto"/>
              </w:rPr>
            </w:pPr>
          </w:p>
        </w:tc>
      </w:tr>
      <w:tr>
        <w:trPr>
          <w:trHeight w:val="196"/>
        </w:trPr>
        <w:tc>
          <w:tcPr>
            <w:tcW w:w="540" w:type="dxa"/>
            <w:vAlign w:val="bottom"/>
            <w:gridSpan w:val="5"/>
          </w:tcPr>
          <w:p>
            <w:pPr>
              <w:spacing w:after="0" w:line="196" w:lineRule="exact"/>
              <w:rPr>
                <w:rFonts w:ascii="Arial" w:cs="Arial" w:eastAsia="Arial" w:hAnsi="Arial"/>
                <w:sz w:val="18"/>
                <w:szCs w:val="18"/>
                <w:color w:val="0000EE"/>
                <w:w w:val="91"/>
              </w:rPr>
            </w:pPr>
            <w:hyperlink r:id="rId21">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5.2*</w:t>
              </w:r>
            </w:hyperlink>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21"/>
          </w:tcPr>
          <w:p>
            <w:pPr>
              <w:spacing w:after="0" w:line="196" w:lineRule="exact"/>
              <w:rPr>
                <w:rFonts w:ascii="Arial" w:cs="Arial" w:eastAsia="Arial" w:hAnsi="Arial"/>
                <w:sz w:val="18"/>
                <w:szCs w:val="18"/>
                <w:color w:val="0000EE"/>
                <w:w w:val="93"/>
              </w:rPr>
            </w:pPr>
            <w:hyperlink r:id="rId21">
              <w:r>
                <w:rPr>
                  <w:rFonts w:ascii="Arial" w:cs="Arial" w:eastAsia="Arial" w:hAnsi="Arial"/>
                  <w:sz w:val="18"/>
                  <w:szCs w:val="18"/>
                  <w:color w:val="0000EE"/>
                  <w:w w:val="93"/>
                </w:rPr>
                <w:t>Consent and Second Amendment to the Credit and Guaranty Agreement, dated as of January 11, 2018, by and among Priority Holdings</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21">
              <w:r>
                <w:rPr>
                  <w:rFonts w:ascii="Arial" w:cs="Arial" w:eastAsia="Arial" w:hAnsi="Arial"/>
                  <w:sz w:val="18"/>
                  <w:szCs w:val="18"/>
                  <w:color w:val="0000EE"/>
                </w:rPr>
                <w:t>LLC, the Guarantors, the Lenders and Goldman Sachs Specialty Group, L.P.</w:t>
              </w:r>
            </w:hyperlink>
          </w:p>
        </w:tc>
        <w:tc>
          <w:tcPr>
            <w:tcW w:w="20" w:type="dxa"/>
            <w:vAlign w:val="bottom"/>
          </w:tcPr>
          <w:p>
            <w:pPr>
              <w:spacing w:after="0"/>
              <w:rPr>
                <w:sz w:val="17"/>
                <w:szCs w:val="17"/>
                <w:color w:val="auto"/>
              </w:rPr>
            </w:pPr>
          </w:p>
        </w:tc>
      </w:tr>
      <w:tr>
        <w:trPr>
          <w:trHeight w:val="196"/>
        </w:trPr>
        <w:tc>
          <w:tcPr>
            <w:tcW w:w="42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r:id="rId22">
              <w:r>
                <w:rPr>
                  <w:rFonts w:ascii="Arial" w:cs="Arial" w:eastAsia="Arial" w:hAnsi="Arial"/>
                  <w:sz w:val="18"/>
                  <w:szCs w:val="18"/>
                  <w:color w:val="0000EE"/>
                  <w:w w:val="95"/>
                </w:rPr>
                <w:t>14.</w:t>
              </w:r>
              <w:r>
                <w:rPr>
                  <w:rFonts w:ascii="Arial" w:cs="Arial" w:eastAsia="Arial" w:hAnsi="Arial"/>
                  <w:sz w:val="18"/>
                  <w:szCs w:val="18"/>
                  <w:u w:val="single" w:color="auto"/>
                  <w:color w:val="0000EE"/>
                  <w:w w:val="95"/>
                </w:rPr>
                <w:t>1*</w:t>
              </w:r>
            </w:hyperlink>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22">
              <w:r>
                <w:rPr>
                  <w:rFonts w:ascii="Arial" w:cs="Arial" w:eastAsia="Arial" w:hAnsi="Arial"/>
                  <w:sz w:val="18"/>
                  <w:szCs w:val="18"/>
                  <w:color w:val="0000EE"/>
                  <w:w w:val="90"/>
                </w:rPr>
                <w:t>Code of Ethics.</w:t>
              </w:r>
            </w:hyperlink>
          </w:p>
        </w:tc>
        <w:tc>
          <w:tcPr>
            <w:tcW w:w="4380" w:type="dxa"/>
            <w:vAlign w:val="bottom"/>
            <w:tcBorders>
              <w:top w:val="single" w:sz="8" w:color="0000EE"/>
            </w:tcBorders>
            <w:gridSpan w:val="12"/>
          </w:tcPr>
          <w:p>
            <w:pPr>
              <w:spacing w:after="0"/>
              <w:rPr>
                <w:sz w:val="17"/>
                <w:szCs w:val="17"/>
                <w:color w:val="auto"/>
              </w:rPr>
            </w:pPr>
          </w:p>
        </w:tc>
        <w:tc>
          <w:tcPr>
            <w:tcW w:w="4660" w:type="dxa"/>
            <w:vAlign w:val="bottom"/>
            <w:gridSpan w:val="8"/>
          </w:tcPr>
          <w:p>
            <w:pPr>
              <w:spacing w:after="0"/>
              <w:rPr>
                <w:sz w:val="17"/>
                <w:szCs w:val="17"/>
                <w:color w:val="auto"/>
              </w:rPr>
            </w:pPr>
          </w:p>
        </w:tc>
      </w:tr>
      <w:tr>
        <w:trPr>
          <w:trHeight w:val="196"/>
        </w:trPr>
        <w:tc>
          <w:tcPr>
            <w:tcW w:w="420" w:type="dxa"/>
            <w:vAlign w:val="bottom"/>
            <w:gridSpan w:val="4"/>
          </w:tcPr>
          <w:p>
            <w:pPr>
              <w:spacing w:after="0" w:line="196" w:lineRule="exact"/>
              <w:rPr>
                <w:rFonts w:ascii="Arial" w:cs="Arial" w:eastAsia="Arial" w:hAnsi="Arial"/>
                <w:sz w:val="18"/>
                <w:szCs w:val="18"/>
                <w:color w:val="0000EE"/>
                <w:w w:val="95"/>
              </w:rPr>
            </w:pPr>
            <w:hyperlink r:id="rId23">
              <w:r>
                <w:rPr>
                  <w:rFonts w:ascii="Arial" w:cs="Arial" w:eastAsia="Arial" w:hAnsi="Arial"/>
                  <w:sz w:val="18"/>
                  <w:szCs w:val="18"/>
                  <w:color w:val="0000EE"/>
                  <w:w w:val="95"/>
                </w:rPr>
                <w:t>16.</w:t>
              </w:r>
              <w:r>
                <w:rPr>
                  <w:rFonts w:ascii="Arial" w:cs="Arial" w:eastAsia="Arial" w:hAnsi="Arial"/>
                  <w:sz w:val="18"/>
                  <w:szCs w:val="18"/>
                  <w:u w:val="single" w:color="auto"/>
                  <w:color w:val="0000EE"/>
                  <w:w w:val="95"/>
                </w:rPr>
                <w:t>1*</w:t>
              </w:r>
            </w:hyperlink>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21"/>
          </w:tcPr>
          <w:p>
            <w:pPr>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Letter from Marcum LLP to the Securities and Exchange Commission dated July 31, 2018.</w:t>
              </w:r>
            </w:hyperlink>
          </w:p>
        </w:tc>
      </w:tr>
      <w:tr>
        <w:trPr>
          <w:trHeight w:val="20"/>
        </w:trPr>
        <w:tc>
          <w:tcPr>
            <w:tcW w:w="42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2320" w:type="dxa"/>
            <w:vAlign w:val="bottom"/>
            <w:gridSpan w:val="6"/>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r>
      <w:tr>
        <w:trPr>
          <w:trHeight w:val="196"/>
        </w:trPr>
        <w:tc>
          <w:tcPr>
            <w:tcW w:w="420" w:type="dxa"/>
            <w:vAlign w:val="bottom"/>
            <w:gridSpan w:val="4"/>
          </w:tcPr>
          <w:p>
            <w:pPr>
              <w:spacing w:after="0" w:line="196" w:lineRule="exact"/>
              <w:rPr>
                <w:rFonts w:ascii="Arial" w:cs="Arial" w:eastAsia="Arial" w:hAnsi="Arial"/>
                <w:sz w:val="18"/>
                <w:szCs w:val="18"/>
                <w:color w:val="0000EE"/>
                <w:w w:val="95"/>
              </w:rPr>
            </w:pPr>
            <w:hyperlink r:id="rId24">
              <w:r>
                <w:rPr>
                  <w:rFonts w:ascii="Arial" w:cs="Arial" w:eastAsia="Arial" w:hAnsi="Arial"/>
                  <w:sz w:val="18"/>
                  <w:szCs w:val="18"/>
                  <w:color w:val="0000EE"/>
                  <w:w w:val="95"/>
                </w:rPr>
                <w:t>99.</w:t>
              </w:r>
              <w:r>
                <w:rPr>
                  <w:rFonts w:ascii="Arial" w:cs="Arial" w:eastAsia="Arial" w:hAnsi="Arial"/>
                  <w:sz w:val="18"/>
                  <w:szCs w:val="18"/>
                  <w:u w:val="single" w:color="auto"/>
                  <w:color w:val="0000EE"/>
                  <w:w w:val="95"/>
                </w:rPr>
                <w:t>1*</w:t>
              </w:r>
            </w:hyperlink>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21"/>
          </w:tcPr>
          <w:p>
            <w:pPr>
              <w:spacing w:after="0" w:line="196" w:lineRule="exact"/>
              <w:rPr>
                <w:rFonts w:ascii="Arial" w:cs="Arial" w:eastAsia="Arial" w:hAnsi="Arial"/>
                <w:sz w:val="18"/>
                <w:szCs w:val="18"/>
                <w:color w:val="0000EE"/>
              </w:rPr>
            </w:pPr>
            <w:hyperlink r:id="rId24">
              <w:r>
                <w:rPr>
                  <w:rFonts w:ascii="Arial" w:cs="Arial" w:eastAsia="Arial" w:hAnsi="Arial"/>
                  <w:sz w:val="18"/>
                  <w:szCs w:val="18"/>
                  <w:color w:val="0000EE"/>
                </w:rPr>
                <w:t>Selected Historical Financial Information of M I Acquisitions prior to the Business Combination.</w:t>
              </w:r>
            </w:hyperlink>
          </w:p>
        </w:tc>
      </w:tr>
      <w:tr>
        <w:trPr>
          <w:trHeight w:val="20"/>
        </w:trPr>
        <w:tc>
          <w:tcPr>
            <w:tcW w:w="42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2320" w:type="dxa"/>
            <w:vAlign w:val="bottom"/>
            <w:gridSpan w:val="6"/>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r>
      <w:tr>
        <w:trPr>
          <w:trHeight w:val="196"/>
        </w:trPr>
        <w:tc>
          <w:tcPr>
            <w:tcW w:w="420" w:type="dxa"/>
            <w:vAlign w:val="bottom"/>
            <w:gridSpan w:val="4"/>
          </w:tcPr>
          <w:p>
            <w:pPr>
              <w:spacing w:after="0" w:line="196" w:lineRule="exact"/>
              <w:rPr>
                <w:rFonts w:ascii="Arial" w:cs="Arial" w:eastAsia="Arial" w:hAnsi="Arial"/>
                <w:sz w:val="18"/>
                <w:szCs w:val="18"/>
                <w:color w:val="0000EE"/>
                <w:w w:val="95"/>
              </w:rPr>
            </w:pPr>
            <w:hyperlink r:id="rId25">
              <w:r>
                <w:rPr>
                  <w:rFonts w:ascii="Arial" w:cs="Arial" w:eastAsia="Arial" w:hAnsi="Arial"/>
                  <w:sz w:val="18"/>
                  <w:szCs w:val="18"/>
                  <w:color w:val="0000EE"/>
                  <w:w w:val="95"/>
                </w:rPr>
                <w:t>99.</w:t>
              </w:r>
              <w:r>
                <w:rPr>
                  <w:rFonts w:ascii="Arial" w:cs="Arial" w:eastAsia="Arial" w:hAnsi="Arial"/>
                  <w:sz w:val="18"/>
                  <w:szCs w:val="18"/>
                  <w:u w:val="single" w:color="auto"/>
                  <w:color w:val="0000EE"/>
                  <w:w w:val="95"/>
                </w:rPr>
                <w:t>2*</w:t>
              </w:r>
            </w:hyperlink>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21"/>
          </w:tcPr>
          <w:p>
            <w:pPr>
              <w:spacing w:after="0" w:line="196" w:lineRule="exact"/>
              <w:rPr>
                <w:rFonts w:ascii="Arial" w:cs="Arial" w:eastAsia="Arial" w:hAnsi="Arial"/>
                <w:sz w:val="18"/>
                <w:szCs w:val="18"/>
                <w:color w:val="0000EE"/>
                <w:w w:val="91"/>
              </w:rPr>
            </w:pPr>
            <w:hyperlink r:id="rId25">
              <w:r>
                <w:rPr>
                  <w:rFonts w:ascii="Arial" w:cs="Arial" w:eastAsia="Arial" w:hAnsi="Arial"/>
                  <w:sz w:val="18"/>
                  <w:szCs w:val="18"/>
                  <w:color w:val="0000EE"/>
                  <w:w w:val="91"/>
                </w:rPr>
                <w:t>Audited Consolidated Financial Information of Priority and its subsidiaries as of December 31, 2017 and 2016 and for each of the three year</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periods ended December 31, 2017, December 31, 2016 and December 31, 2015.</w:t>
              </w:r>
            </w:hyperlink>
          </w:p>
        </w:tc>
      </w:tr>
      <w:tr>
        <w:trPr>
          <w:trHeight w:val="20"/>
        </w:trPr>
        <w:tc>
          <w:tcPr>
            <w:tcW w:w="4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2320" w:type="dxa"/>
            <w:vAlign w:val="bottom"/>
            <w:gridSpan w:val="6"/>
            <w:shd w:val="clear" w:color="auto" w:fill="0000EE"/>
          </w:tcPr>
          <w:p>
            <w:pPr>
              <w:spacing w:after="0" w:line="20" w:lineRule="exact"/>
              <w:rPr>
                <w:sz w:val="1"/>
                <w:szCs w:val="1"/>
                <w:color w:val="auto"/>
              </w:rPr>
            </w:pPr>
          </w:p>
        </w:tc>
        <w:tc>
          <w:tcPr>
            <w:tcW w:w="4380" w:type="dxa"/>
            <w:vAlign w:val="bottom"/>
            <w:gridSpan w:val="7"/>
          </w:tcPr>
          <w:p>
            <w:pPr>
              <w:spacing w:after="0" w:line="20" w:lineRule="exact"/>
              <w:rPr>
                <w:sz w:val="1"/>
                <w:szCs w:val="1"/>
                <w:color w:val="auto"/>
              </w:rPr>
            </w:pPr>
          </w:p>
        </w:tc>
      </w:tr>
      <w:tr>
        <w:trPr>
          <w:trHeight w:val="196"/>
        </w:trPr>
        <w:tc>
          <w:tcPr>
            <w:tcW w:w="420" w:type="dxa"/>
            <w:vAlign w:val="bottom"/>
            <w:gridSpan w:val="4"/>
          </w:tcPr>
          <w:p>
            <w:pPr>
              <w:spacing w:after="0" w:line="196" w:lineRule="exact"/>
              <w:rPr>
                <w:rFonts w:ascii="Arial" w:cs="Arial" w:eastAsia="Arial" w:hAnsi="Arial"/>
                <w:sz w:val="18"/>
                <w:szCs w:val="18"/>
                <w:color w:val="0000EE"/>
                <w:w w:val="95"/>
              </w:rPr>
            </w:pPr>
            <w:hyperlink r:id="rId26">
              <w:r>
                <w:rPr>
                  <w:rFonts w:ascii="Arial" w:cs="Arial" w:eastAsia="Arial" w:hAnsi="Arial"/>
                  <w:sz w:val="18"/>
                  <w:szCs w:val="18"/>
                  <w:color w:val="0000EE"/>
                  <w:w w:val="95"/>
                </w:rPr>
                <w:t>99.</w:t>
              </w:r>
              <w:r>
                <w:rPr>
                  <w:rFonts w:ascii="Arial" w:cs="Arial" w:eastAsia="Arial" w:hAnsi="Arial"/>
                  <w:sz w:val="18"/>
                  <w:szCs w:val="18"/>
                  <w:u w:val="single" w:color="auto"/>
                  <w:color w:val="0000EE"/>
                  <w:w w:val="95"/>
                </w:rPr>
                <w:t>3*</w:t>
              </w:r>
            </w:hyperlink>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21"/>
          </w:tcPr>
          <w:p>
            <w:pPr>
              <w:spacing w:after="0" w:line="196" w:lineRule="exact"/>
              <w:rPr>
                <w:rFonts w:ascii="Arial" w:cs="Arial" w:eastAsia="Arial" w:hAnsi="Arial"/>
                <w:sz w:val="18"/>
                <w:szCs w:val="18"/>
                <w:color w:val="0000EE"/>
                <w:w w:val="93"/>
              </w:rPr>
            </w:pPr>
            <w:hyperlink r:id="rId26">
              <w:r>
                <w:rPr>
                  <w:rFonts w:ascii="Arial" w:cs="Arial" w:eastAsia="Arial" w:hAnsi="Arial"/>
                  <w:sz w:val="18"/>
                  <w:szCs w:val="18"/>
                  <w:color w:val="0000EE"/>
                  <w:w w:val="93"/>
                </w:rPr>
                <w:t>Unaudited Condensed Consolidated Financial Statements of Priority and its subsidiaries as of March 31, 2018 and for each of the three-</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r:id="rId26">
              <w:r>
                <w:rPr>
                  <w:rFonts w:ascii="Arial" w:cs="Arial" w:eastAsia="Arial" w:hAnsi="Arial"/>
                  <w:sz w:val="18"/>
                  <w:szCs w:val="18"/>
                  <w:color w:val="0000EE"/>
                  <w:w w:val="89"/>
                </w:rPr>
                <w:t>month periods ended March 31, 2018 and 2017.</w:t>
              </w:r>
            </w:hyperlink>
          </w:p>
        </w:tc>
        <w:tc>
          <w:tcPr>
            <w:tcW w:w="6700" w:type="dxa"/>
            <w:vAlign w:val="bottom"/>
            <w:tcBorders>
              <w:top w:val="single" w:sz="8" w:color="0000EE"/>
            </w:tcBorders>
            <w:gridSpan w:val="13"/>
          </w:tcPr>
          <w:p>
            <w:pPr>
              <w:spacing w:after="0"/>
              <w:rPr>
                <w:sz w:val="17"/>
                <w:szCs w:val="17"/>
                <w:color w:val="auto"/>
              </w:rPr>
            </w:pPr>
          </w:p>
        </w:tc>
      </w:tr>
      <w:tr>
        <w:trPr>
          <w:trHeight w:val="196"/>
        </w:trPr>
        <w:tc>
          <w:tcPr>
            <w:tcW w:w="420" w:type="dxa"/>
            <w:vAlign w:val="bottom"/>
            <w:gridSpan w:val="4"/>
          </w:tcPr>
          <w:p>
            <w:pPr>
              <w:spacing w:after="0" w:line="196" w:lineRule="exact"/>
              <w:rPr>
                <w:rFonts w:ascii="Arial" w:cs="Arial" w:eastAsia="Arial" w:hAnsi="Arial"/>
                <w:sz w:val="18"/>
                <w:szCs w:val="18"/>
                <w:color w:val="0000EE"/>
                <w:w w:val="95"/>
              </w:rPr>
            </w:pPr>
            <w:hyperlink r:id="rId27">
              <w:r>
                <w:rPr>
                  <w:rFonts w:ascii="Arial" w:cs="Arial" w:eastAsia="Arial" w:hAnsi="Arial"/>
                  <w:sz w:val="18"/>
                  <w:szCs w:val="18"/>
                  <w:color w:val="0000EE"/>
                  <w:w w:val="95"/>
                </w:rPr>
                <w:t>99.</w:t>
              </w:r>
              <w:r>
                <w:rPr>
                  <w:rFonts w:ascii="Arial" w:cs="Arial" w:eastAsia="Arial" w:hAnsi="Arial"/>
                  <w:sz w:val="18"/>
                  <w:szCs w:val="18"/>
                  <w:u w:val="single" w:color="auto"/>
                  <w:color w:val="0000EE"/>
                  <w:w w:val="95"/>
                </w:rPr>
                <w:t>4*</w:t>
              </w:r>
            </w:hyperlink>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21"/>
          </w:tcPr>
          <w:p>
            <w:pPr>
              <w:spacing w:after="0" w:line="196" w:lineRule="exact"/>
              <w:rPr>
                <w:rFonts w:ascii="Arial" w:cs="Arial" w:eastAsia="Arial" w:hAnsi="Arial"/>
                <w:sz w:val="18"/>
                <w:szCs w:val="18"/>
                <w:color w:val="0000EE"/>
                <w:w w:val="94"/>
              </w:rPr>
            </w:pPr>
            <w:hyperlink r:id="rId27">
              <w:r>
                <w:rPr>
                  <w:rFonts w:ascii="Arial" w:cs="Arial" w:eastAsia="Arial" w:hAnsi="Arial"/>
                  <w:sz w:val="18"/>
                  <w:szCs w:val="18"/>
                  <w:color w:val="0000EE"/>
                  <w:w w:val="94"/>
                </w:rPr>
                <w:t>Unaudited Pro Forma Combined Financial Information for the year ended December 31, 2017 and as of and for the three-month period</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27">
              <w:r>
                <w:rPr>
                  <w:rFonts w:ascii="Arial" w:cs="Arial" w:eastAsia="Arial" w:hAnsi="Arial"/>
                  <w:sz w:val="18"/>
                  <w:szCs w:val="18"/>
                  <w:color w:val="0000EE"/>
                </w:rPr>
                <w:t>ended March 31, 2018.</w:t>
              </w:r>
            </w:hyperlink>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62" w:lineRule="exact"/>
        <w:rPr>
          <w:sz w:val="20"/>
          <w:szCs w:val="20"/>
          <w:color w:val="auto"/>
        </w:rPr>
      </w:pPr>
    </w:p>
    <w:p>
      <w:pPr>
        <w:ind w:left="120" w:hanging="112"/>
        <w:spacing w:after="0"/>
        <w:tabs>
          <w:tab w:leader="none" w:pos="12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Previously filed in the Original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July 31,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PRIORITY TECHNOLOGY HOLDINGS,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ind w:left="572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0"/>
                <w:szCs w:val="20"/>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E. Mattox</w:t>
            </w:r>
          </w:p>
        </w:tc>
      </w:tr>
      <w:tr>
        <w:trPr>
          <w:trHeight w:val="182"/>
        </w:trPr>
        <w:tc>
          <w:tcPr>
            <w:tcW w:w="6280" w:type="dxa"/>
            <w:vAlign w:val="bottom"/>
            <w:gridSpan w:val="2"/>
          </w:tcPr>
          <w:p>
            <w:pPr>
              <w:ind w:left="5720"/>
              <w:spacing w:after="0" w:line="182"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82" w:lineRule="exact"/>
              <w:rPr>
                <w:sz w:val="20"/>
                <w:szCs w:val="20"/>
                <w:color w:val="auto"/>
              </w:rPr>
            </w:pPr>
            <w:r>
              <w:rPr>
                <w:rFonts w:ascii="Arial" w:cs="Arial" w:eastAsia="Arial" w:hAnsi="Arial"/>
                <w:sz w:val="18"/>
                <w:szCs w:val="18"/>
                <w:color w:val="auto"/>
              </w:rPr>
              <w:t>Bruce E. Mattox</w:t>
            </w:r>
          </w:p>
        </w:tc>
      </w:tr>
      <w:tr>
        <w:trPr>
          <w:trHeight w:val="230"/>
        </w:trPr>
        <w:tc>
          <w:tcPr>
            <w:tcW w:w="6180" w:type="dxa"/>
            <w:vAlign w:val="bottom"/>
          </w:tcPr>
          <w:p>
            <w:pPr>
              <w:ind w:left="5720"/>
              <w:spacing w:after="0"/>
              <w:rPr>
                <w:sz w:val="20"/>
                <w:szCs w:val="20"/>
                <w:color w:val="auto"/>
              </w:rPr>
            </w:pPr>
            <w:r>
              <w:rPr>
                <w:rFonts w:ascii="Arial" w:cs="Arial" w:eastAsia="Arial" w:hAnsi="Arial"/>
                <w:sz w:val="18"/>
                <w:szCs w:val="18"/>
                <w:color w:val="auto"/>
              </w:rPr>
              <w:t>Title:</w:t>
            </w:r>
          </w:p>
        </w:tc>
        <w:tc>
          <w:tcPr>
            <w:tcW w:w="5240" w:type="dxa"/>
            <w:vAlign w:val="bottom"/>
            <w:gridSpan w:val="2"/>
          </w:tcPr>
          <w:p>
            <w:pPr>
              <w:ind w:left="60"/>
              <w:spacing w:after="0"/>
              <w:rPr>
                <w:sz w:val="20"/>
                <w:szCs w:val="20"/>
                <w:color w:val="auto"/>
              </w:rPr>
            </w:pPr>
            <w:r>
              <w:rPr>
                <w:rFonts w:ascii="Arial" w:cs="Arial" w:eastAsia="Arial" w:hAnsi="Arial"/>
                <w:sz w:val="18"/>
                <w:szCs w:val="18"/>
                <w:color w:val="auto"/>
              </w:rPr>
              <w:t>Chief Financial Officer</w:t>
            </w:r>
          </w:p>
        </w:tc>
      </w:tr>
      <w:tr>
        <w:trPr>
          <w:trHeight w:val="648"/>
        </w:trPr>
        <w:tc>
          <w:tcPr>
            <w:tcW w:w="6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28" Type="http://schemas.openxmlformats.org/officeDocument/2006/relationships/image" Target="media/image3.png"/><Relationship Id="rId29" Type="http://schemas.openxmlformats.org/officeDocument/2006/relationships/image" Target="media/image4.png"/><Relationship Id="rId10" Type="http://schemas.openxmlformats.org/officeDocument/2006/relationships/hyperlink" Target="http://www.sec.gov/Archives/edgar/data/1653558/000161577418006226/s111183_defm14a.htm" TargetMode="External"/><Relationship Id="rId11" Type="http://schemas.openxmlformats.org/officeDocument/2006/relationships/hyperlink" Target="http://www.sec.gov/Archives/edgar/data/1653558/000161577418007231/s111606_ex3-1.htm" TargetMode="External"/><Relationship Id="rId12" Type="http://schemas.openxmlformats.org/officeDocument/2006/relationships/hyperlink" Target="http://www.sec.gov/Archives/edgar/data/1653558/000161577418007231/s111606_ex3-2.htm" TargetMode="External"/><Relationship Id="rId13" Type="http://schemas.openxmlformats.org/officeDocument/2006/relationships/hyperlink" Target="http://www.sec.gov/Archives/edgar/data/1653558/000161577418007231/s111606_ex10-1.htm" TargetMode="External"/><Relationship Id="rId14" Type="http://schemas.openxmlformats.org/officeDocument/2006/relationships/hyperlink" Target="http://www.sec.gov/Archives/edgar/data/1653558/000161577418007231/s111606_ex10-2.htm" TargetMode="External"/><Relationship Id="rId15" Type="http://schemas.openxmlformats.org/officeDocument/2006/relationships/hyperlink" Target="http://www.sec.gov/Archives/edgar/data/1653558/000161577418007231/s111606_ex10-3.htm" TargetMode="External"/><Relationship Id="rId16" Type="http://schemas.openxmlformats.org/officeDocument/2006/relationships/hyperlink" Target="http://www.sec.gov/Archives/edgar/data/1653558/000161577418007231/s111606_ex10-4.htm" TargetMode="External"/><Relationship Id="rId17" Type="http://schemas.openxmlformats.org/officeDocument/2006/relationships/hyperlink" Target="http://www.sec.gov/Archives/edgar/data/1653558/000161577418007231/s111606ex10_4-1.htm" TargetMode="External"/><Relationship Id="rId18" Type="http://schemas.openxmlformats.org/officeDocument/2006/relationships/hyperlink" Target="http://www.sec.gov/Archives/edgar/data/1653558/000161577418007231/s111606ex10_4-2.htm" TargetMode="External"/><Relationship Id="rId19" Type="http://schemas.openxmlformats.org/officeDocument/2006/relationships/hyperlink" Target="http://www.sec.gov/Archives/edgar/data/1653558/000161577418007231/s111606_ex10-5.htm" TargetMode="External"/><Relationship Id="rId20" Type="http://schemas.openxmlformats.org/officeDocument/2006/relationships/hyperlink" Target="http://www.sec.gov/Archives/edgar/data/1653558/000161577418007231/s111606ex10_5-1.htm" TargetMode="External"/><Relationship Id="rId21" Type="http://schemas.openxmlformats.org/officeDocument/2006/relationships/hyperlink" Target="http://www.sec.gov/Archives/edgar/data/1653558/000161577418007231/s111606ex10_5-2.htm" TargetMode="External"/><Relationship Id="rId22" Type="http://schemas.openxmlformats.org/officeDocument/2006/relationships/hyperlink" Target="http://www.sec.gov/Archives/edgar/data/1653558/000161577418007231/s111606_ex14-1.htm" TargetMode="External"/><Relationship Id="rId23" Type="http://schemas.openxmlformats.org/officeDocument/2006/relationships/hyperlink" Target="http://www.sec.gov/Archives/edgar/data/1653558/000161577418007231/s111606_ex16-1.htm" TargetMode="External"/><Relationship Id="rId24" Type="http://schemas.openxmlformats.org/officeDocument/2006/relationships/hyperlink" Target="http://www.sec.gov/Archives/edgar/data/1653558/000161577418007231/s111606_ex99-1.htm" TargetMode="External"/><Relationship Id="rId25" Type="http://schemas.openxmlformats.org/officeDocument/2006/relationships/hyperlink" Target="http://www.sec.gov/Archives/edgar/data/1653558/000161577418007231/s111606_ex99-2.htm" TargetMode="External"/><Relationship Id="rId26" Type="http://schemas.openxmlformats.org/officeDocument/2006/relationships/hyperlink" Target="http://www.sec.gov/Archives/edgar/data/1653558/000161577418007231/s111606_ex99-3.htm" TargetMode="External"/><Relationship Id="rId27" Type="http://schemas.openxmlformats.org/officeDocument/2006/relationships/hyperlink" Target="http://www.sec.gov/Archives/edgar/data/1653558/000161577418007231/s111606_ex99-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2020-01-13T21:08:42Z</dcterms:created>
  <dcterms:modified xsi:type="dcterms:W3CDTF">2020-01-13T21:08:42Z</dcterms:modified>
</cp:coreProperties>
</file>