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O'Leary Tim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40"/>
        <w:spacing w:after="0" w:line="365" w:lineRule="auto"/>
        <w:rPr>
          <w:sz w:val="20"/>
          <w:szCs w:val="20"/>
          <w:color w:val="auto"/>
        </w:rPr>
      </w:pPr>
      <w:r>
        <w:rPr>
          <w:rFonts w:ascii="Times New Roman" w:cs="Times New Roman" w:eastAsia="Times New Roman" w:hAnsi="Times New Roman"/>
          <w:sz w:val="17"/>
          <w:szCs w:val="17"/>
          <w:color w:val="0000FF"/>
        </w:rPr>
        <w:t>C/O PRIORITY TECHNOLOGY HOLDINGS 2001 WESTSIDE PARKWAY, SUITE 155</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Priority Technology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PRTH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78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59,752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$4.08 to $4.16, inclusive. The reporting person undertakes to provide to Priority Technology Holdings, Inc., any security holder of Priority Technology Holdings, Inc., or the staff of the Securities and Exchange Commission, upon request, full information regarding the number of shares acquired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Bradley J. Miller, Attorney- </w:t>
      </w:r>
      <w:r>
        <w:rPr>
          <w:rFonts w:ascii="Times New Roman" w:cs="Times New Roman" w:eastAsia="Times New Roman" w:hAnsi="Times New Roman"/>
          <w:sz w:val="34"/>
          <w:szCs w:val="34"/>
          <w:color w:val="0000FF"/>
          <w:vertAlign w:val="subscript"/>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7308"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2024-06-05T19:22:53Z</dcterms:created>
  <dcterms:modified xsi:type="dcterms:W3CDTF">2024-06-05T19:22:53Z</dcterms:modified>
</cp:coreProperties>
</file>