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2"/>
          <w:szCs w:val="12"/>
          <w:b w:val="1"/>
          <w:bCs w:val="1"/>
          <w:color w:val="auto"/>
        </w:rPr>
        <w:t>United States</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Exchange Act of 1934</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August 10, 2023</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2743200</wp:posOffset>
            </wp:positionH>
            <wp:positionV relativeFrom="paragraph">
              <wp:posOffset>3810</wp:posOffset>
            </wp:positionV>
            <wp:extent cx="1691640" cy="782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1640" cy="782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u w:val="single" w:color="auto"/>
          <w:color w:val="auto"/>
        </w:rPr>
        <w:t>Priority Technology Holdings, Inc.</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(Exact Name of Registrant as Specified in its Charter)</w:t>
      </w:r>
    </w:p>
    <w:p>
      <w:pPr>
        <w:spacing w:after="0" w:line="218" w:lineRule="exact"/>
        <w:rPr>
          <w:sz w:val="24"/>
          <w:szCs w:val="24"/>
          <w:color w:val="auto"/>
        </w:rPr>
      </w:pPr>
    </w:p>
    <w:tbl>
      <w:tblPr>
        <w:tblLayout w:type="fixed"/>
        <w:tblInd w:w="8" w:type="dxa"/>
        <w:tblCellMar>
          <w:top w:w="0" w:type="dxa"/>
          <w:left w:w="0" w:type="dxa"/>
          <w:bottom w:w="0" w:type="dxa"/>
          <w:right w:w="0" w:type="dxa"/>
        </w:tblCellMar>
      </w:tblPr>
      <w:tr>
        <w:trPr>
          <w:trHeight w:val="161"/>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Delaware</w:t>
            </w:r>
          </w:p>
        </w:tc>
        <w:tc>
          <w:tcPr>
            <w:tcW w:w="340" w:type="dxa"/>
            <w:vAlign w:val="bottom"/>
          </w:tcPr>
          <w:p>
            <w:pPr>
              <w:spacing w:after="0"/>
              <w:rPr>
                <w:sz w:val="14"/>
                <w:szCs w:val="14"/>
                <w:color w:val="auto"/>
              </w:rPr>
            </w:pPr>
          </w:p>
        </w:tc>
        <w:tc>
          <w:tcPr>
            <w:tcW w:w="20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b w:val="1"/>
                <w:bCs w:val="1"/>
                <w:color w:val="auto"/>
              </w:rPr>
              <w:t>001-37872</w:t>
            </w:r>
          </w:p>
        </w:tc>
        <w:tc>
          <w:tcPr>
            <w:tcW w:w="12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580" w:type="dxa"/>
            <w:vAlign w:val="bottom"/>
            <w:tcBorders>
              <w:bottom w:val="single" w:sz="8" w:color="auto"/>
            </w:tcBorders>
          </w:tcPr>
          <w:p>
            <w:pPr>
              <w:jc w:val="right"/>
              <w:ind w:right="1440"/>
              <w:spacing w:after="0"/>
              <w:rPr>
                <w:sz w:val="20"/>
                <w:szCs w:val="20"/>
                <w:color w:val="auto"/>
              </w:rPr>
            </w:pPr>
            <w:r>
              <w:rPr>
                <w:rFonts w:ascii="Arial" w:cs="Arial" w:eastAsia="Arial" w:hAnsi="Arial"/>
                <w:sz w:val="12"/>
                <w:szCs w:val="12"/>
                <w:b w:val="1"/>
                <w:bCs w:val="1"/>
                <w:color w:val="auto"/>
              </w:rPr>
              <w:t>47-4257046</w:t>
            </w:r>
          </w:p>
        </w:tc>
        <w:tc>
          <w:tcPr>
            <w:tcW w:w="20" w:type="dxa"/>
            <w:vAlign w:val="bottom"/>
          </w:tcPr>
          <w:p>
            <w:pPr>
              <w:spacing w:after="0"/>
              <w:rPr>
                <w:sz w:val="14"/>
                <w:szCs w:val="14"/>
                <w:color w:val="auto"/>
              </w:rPr>
            </w:pPr>
          </w:p>
        </w:tc>
      </w:tr>
      <w:tr>
        <w:trPr>
          <w:trHeight w:val="147"/>
        </w:trPr>
        <w:tc>
          <w:tcPr>
            <w:tcW w:w="4020" w:type="dxa"/>
            <w:vAlign w:val="bottom"/>
            <w:gridSpan w:val="2"/>
          </w:tcPr>
          <w:p>
            <w:pPr>
              <w:jc w:val="center"/>
              <w:ind w:right="380"/>
              <w:spacing w:after="0"/>
              <w:rPr>
                <w:sz w:val="20"/>
                <w:szCs w:val="20"/>
                <w:color w:val="auto"/>
              </w:rPr>
            </w:pPr>
            <w:r>
              <w:rPr>
                <w:rFonts w:ascii="Arial" w:cs="Arial" w:eastAsia="Arial" w:hAnsi="Arial"/>
                <w:sz w:val="12"/>
                <w:szCs w:val="12"/>
                <w:color w:val="auto"/>
                <w:w w:val="93"/>
              </w:rPr>
              <w:t>(State or other jurisdiction of incorporation)</w:t>
            </w:r>
          </w:p>
        </w:tc>
        <w:tc>
          <w:tcPr>
            <w:tcW w:w="3360" w:type="dxa"/>
            <w:vAlign w:val="bottom"/>
            <w:gridSpan w:val="3"/>
          </w:tcPr>
          <w:p>
            <w:pPr>
              <w:jc w:val="center"/>
              <w:ind w:right="40"/>
              <w:spacing w:after="0"/>
              <w:rPr>
                <w:sz w:val="20"/>
                <w:szCs w:val="20"/>
                <w:color w:val="auto"/>
              </w:rPr>
            </w:pPr>
            <w:r>
              <w:rPr>
                <w:rFonts w:ascii="Arial" w:cs="Arial" w:eastAsia="Arial" w:hAnsi="Arial"/>
                <w:sz w:val="12"/>
                <w:szCs w:val="12"/>
                <w:color w:val="auto"/>
                <w:w w:val="92"/>
              </w:rPr>
              <w:t>(Commission File Number)</w:t>
            </w:r>
          </w:p>
        </w:tc>
        <w:tc>
          <w:tcPr>
            <w:tcW w:w="320" w:type="dxa"/>
            <w:vAlign w:val="bottom"/>
          </w:tcPr>
          <w:p>
            <w:pPr>
              <w:spacing w:after="0"/>
              <w:rPr>
                <w:sz w:val="12"/>
                <w:szCs w:val="12"/>
                <w:color w:val="auto"/>
              </w:rPr>
            </w:pPr>
          </w:p>
        </w:tc>
        <w:tc>
          <w:tcPr>
            <w:tcW w:w="3580" w:type="dxa"/>
            <w:vAlign w:val="bottom"/>
          </w:tcPr>
          <w:p>
            <w:pPr>
              <w:jc w:val="center"/>
              <w:spacing w:after="0"/>
              <w:rPr>
                <w:sz w:val="20"/>
                <w:szCs w:val="20"/>
                <w:color w:val="auto"/>
              </w:rPr>
            </w:pPr>
            <w:r>
              <w:rPr>
                <w:rFonts w:ascii="Arial" w:cs="Arial" w:eastAsia="Arial" w:hAnsi="Arial"/>
                <w:sz w:val="12"/>
                <w:szCs w:val="12"/>
                <w:color w:val="auto"/>
                <w:w w:val="94"/>
              </w:rPr>
              <w:t>(I.R.S. Employer Identification No.)</w:t>
            </w:r>
          </w:p>
        </w:tc>
        <w:tc>
          <w:tcPr>
            <w:tcW w:w="20" w:type="dxa"/>
            <w:vAlign w:val="bottom"/>
          </w:tcPr>
          <w:p>
            <w:pPr>
              <w:spacing w:after="0"/>
              <w:rPr>
                <w:sz w:val="12"/>
                <w:szCs w:val="12"/>
                <w:color w:val="auto"/>
              </w:rPr>
            </w:pPr>
          </w:p>
        </w:tc>
      </w:tr>
      <w:tr>
        <w:trPr>
          <w:trHeight w:val="432"/>
        </w:trPr>
        <w:tc>
          <w:tcPr>
            <w:tcW w:w="4020" w:type="dxa"/>
            <w:vAlign w:val="bottom"/>
            <w:gridSpan w:val="2"/>
          </w:tcPr>
          <w:p>
            <w:pPr>
              <w:jc w:val="center"/>
              <w:ind w:left="1680"/>
              <w:spacing w:after="0"/>
              <w:rPr>
                <w:sz w:val="20"/>
                <w:szCs w:val="20"/>
                <w:color w:val="auto"/>
              </w:rPr>
            </w:pPr>
            <w:r>
              <w:rPr>
                <w:rFonts w:ascii="Arial" w:cs="Arial" w:eastAsia="Arial" w:hAnsi="Arial"/>
                <w:sz w:val="12"/>
                <w:szCs w:val="12"/>
                <w:b w:val="1"/>
                <w:bCs w:val="1"/>
                <w:color w:val="auto"/>
                <w:w w:val="89"/>
              </w:rPr>
              <w:t>2001 Westside Parkway</w:t>
            </w: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8"/>
        </w:trPr>
        <w:tc>
          <w:tcPr>
            <w:tcW w:w="4020" w:type="dxa"/>
            <w:vAlign w:val="bottom"/>
            <w:gridSpan w:val="2"/>
          </w:tcPr>
          <w:p>
            <w:pPr>
              <w:jc w:val="center"/>
              <w:ind w:left="1680"/>
              <w:spacing w:after="0"/>
              <w:rPr>
                <w:sz w:val="20"/>
                <w:szCs w:val="20"/>
                <w:color w:val="auto"/>
              </w:rPr>
            </w:pPr>
            <w:r>
              <w:rPr>
                <w:rFonts w:ascii="Arial" w:cs="Arial" w:eastAsia="Arial" w:hAnsi="Arial"/>
                <w:sz w:val="12"/>
                <w:szCs w:val="12"/>
                <w:b w:val="1"/>
                <w:bCs w:val="1"/>
                <w:color w:val="auto"/>
                <w:w w:val="91"/>
              </w:rPr>
              <w:t>Suite 155</w:t>
            </w:r>
          </w:p>
        </w:tc>
        <w:tc>
          <w:tcPr>
            <w:tcW w:w="1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4020" w:type="dxa"/>
            <w:vAlign w:val="bottom"/>
            <w:gridSpan w:val="2"/>
          </w:tcPr>
          <w:p>
            <w:pPr>
              <w:ind w:left="1140"/>
              <w:spacing w:after="0"/>
              <w:rPr>
                <w:sz w:val="20"/>
                <w:szCs w:val="20"/>
                <w:color w:val="auto"/>
              </w:rPr>
            </w:pPr>
            <w:r>
              <w:rPr>
                <w:rFonts w:ascii="Arial" w:cs="Arial" w:eastAsia="Arial" w:hAnsi="Arial"/>
                <w:sz w:val="12"/>
                <w:szCs w:val="12"/>
                <w:b w:val="1"/>
                <w:bCs w:val="1"/>
                <w:color w:val="auto"/>
              </w:rPr>
              <w:t>Alpharetta,</w:t>
            </w:r>
          </w:p>
        </w:tc>
        <w:tc>
          <w:tcPr>
            <w:tcW w:w="3360" w:type="dxa"/>
            <w:vAlign w:val="bottom"/>
            <w:gridSpan w:val="3"/>
          </w:tcPr>
          <w:p>
            <w:pPr>
              <w:ind w:left="100"/>
              <w:spacing w:after="0"/>
              <w:rPr>
                <w:sz w:val="20"/>
                <w:szCs w:val="20"/>
                <w:color w:val="auto"/>
              </w:rPr>
            </w:pPr>
            <w:r>
              <w:rPr>
                <w:rFonts w:ascii="Arial" w:cs="Arial" w:eastAsia="Arial" w:hAnsi="Arial"/>
                <w:sz w:val="12"/>
                <w:szCs w:val="12"/>
                <w:b w:val="1"/>
                <w:bCs w:val="1"/>
                <w:color w:val="auto"/>
              </w:rPr>
              <w:t>Georgia</w:t>
            </w:r>
          </w:p>
        </w:tc>
        <w:tc>
          <w:tcPr>
            <w:tcW w:w="3900" w:type="dxa"/>
            <w:vAlign w:val="bottom"/>
            <w:gridSpan w:val="2"/>
          </w:tcPr>
          <w:p>
            <w:pPr>
              <w:jc w:val="right"/>
              <w:ind w:right="2380"/>
              <w:spacing w:after="0"/>
              <w:rPr>
                <w:sz w:val="20"/>
                <w:szCs w:val="20"/>
                <w:color w:val="auto"/>
              </w:rPr>
            </w:pPr>
            <w:r>
              <w:rPr>
                <w:rFonts w:ascii="Arial" w:cs="Arial" w:eastAsia="Arial" w:hAnsi="Arial"/>
                <w:sz w:val="12"/>
                <w:szCs w:val="12"/>
                <w:b w:val="1"/>
                <w:bCs w:val="1"/>
                <w:color w:val="auto"/>
              </w:rPr>
              <w:t>30004</w:t>
            </w:r>
          </w:p>
        </w:tc>
        <w:tc>
          <w:tcPr>
            <w:tcW w:w="20" w:type="dxa"/>
            <w:vAlign w:val="bottom"/>
          </w:tcPr>
          <w:p>
            <w:pPr>
              <w:spacing w:after="0"/>
              <w:rPr>
                <w:sz w:val="13"/>
                <w:szCs w:val="13"/>
                <w:color w:val="auto"/>
              </w:rPr>
            </w:pPr>
          </w:p>
        </w:tc>
      </w:tr>
      <w:tr>
        <w:trPr>
          <w:trHeight w:val="142"/>
        </w:trPr>
        <w:tc>
          <w:tcPr>
            <w:tcW w:w="4020" w:type="dxa"/>
            <w:vAlign w:val="bottom"/>
            <w:tcBorders>
              <w:top w:val="single" w:sz="8" w:color="auto"/>
            </w:tcBorders>
            <w:gridSpan w:val="2"/>
          </w:tcPr>
          <w:p>
            <w:pPr>
              <w:jc w:val="center"/>
              <w:ind w:left="1640"/>
              <w:spacing w:after="0"/>
              <w:rPr>
                <w:sz w:val="20"/>
                <w:szCs w:val="20"/>
                <w:color w:val="auto"/>
              </w:rPr>
            </w:pPr>
            <w:r>
              <w:rPr>
                <w:rFonts w:ascii="Arial" w:cs="Arial" w:eastAsia="Arial" w:hAnsi="Arial"/>
                <w:sz w:val="12"/>
                <w:szCs w:val="12"/>
                <w:color w:val="auto"/>
                <w:w w:val="92"/>
              </w:rPr>
              <w:t>(Address of Principal Executive Offices)</w:t>
            </w:r>
          </w:p>
        </w:tc>
        <w:tc>
          <w:tcPr>
            <w:tcW w:w="17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580" w:type="dxa"/>
            <w:vAlign w:val="bottom"/>
            <w:tcBorders>
              <w:top w:val="single" w:sz="8" w:color="auto"/>
            </w:tcBorders>
          </w:tcPr>
          <w:p>
            <w:pPr>
              <w:jc w:val="center"/>
              <w:ind w:right="1560"/>
              <w:spacing w:after="0"/>
              <w:rPr>
                <w:sz w:val="20"/>
                <w:szCs w:val="20"/>
                <w:color w:val="auto"/>
              </w:rPr>
            </w:pPr>
            <w:r>
              <w:rPr>
                <w:rFonts w:ascii="Arial" w:cs="Arial" w:eastAsia="Arial" w:hAnsi="Arial"/>
                <w:sz w:val="12"/>
                <w:szCs w:val="12"/>
                <w:color w:val="auto"/>
                <w:w w:val="91"/>
              </w:rPr>
              <w:t>(Zip Code)</w:t>
            </w:r>
          </w:p>
        </w:tc>
        <w:tc>
          <w:tcPr>
            <w:tcW w:w="20" w:type="dxa"/>
            <w:vAlign w:val="bottom"/>
            <w:tcBorders>
              <w:top w:val="single" w:sz="8" w:color="auto"/>
            </w:tcBorders>
          </w:tcPr>
          <w:p>
            <w:pPr>
              <w:spacing w:after="0"/>
              <w:rPr>
                <w:sz w:val="12"/>
                <w:szCs w:val="12"/>
                <w:color w:val="auto"/>
              </w:rPr>
            </w:pPr>
          </w:p>
        </w:tc>
      </w:tr>
    </w:tbl>
    <w:p>
      <w:pPr>
        <w:spacing w:after="0" w:line="194" w:lineRule="exact"/>
        <w:rPr>
          <w:sz w:val="24"/>
          <w:szCs w:val="24"/>
          <w:color w:val="auto"/>
        </w:rPr>
      </w:pPr>
    </w:p>
    <w:p>
      <w:pPr>
        <w:jc w:val="center"/>
        <w:ind w:right="32"/>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(800) 935-5961</w:t>
      </w:r>
    </w:p>
    <w:p>
      <w:pPr>
        <w:spacing w:after="0" w:line="154" w:lineRule="exact"/>
        <w:rPr>
          <w:sz w:val="24"/>
          <w:szCs w:val="24"/>
          <w:color w:val="auto"/>
        </w:rPr>
      </w:pPr>
    </w:p>
    <w:p>
      <w:pPr>
        <w:jc w:val="center"/>
        <w:ind w:right="32"/>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u w:val="single" w:color="auto"/>
          <w:color w:val="auto"/>
        </w:rPr>
        <w:t>see</w:t>
      </w:r>
      <w:r>
        <w:rPr>
          <w:rFonts w:ascii="Arial" w:cs="Arial" w:eastAsia="Arial" w:hAnsi="Arial"/>
          <w:sz w:val="12"/>
          <w:szCs w:val="12"/>
          <w:color w:val="auto"/>
        </w:rPr>
        <w:t xml:space="preserve"> General Instruction A.2. below):</w:t>
      </w:r>
    </w:p>
    <w:p>
      <w:pPr>
        <w:spacing w:after="0" w:line="150" w:lineRule="exact"/>
        <w:rPr>
          <w:sz w:val="24"/>
          <w:szCs w:val="24"/>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312" w:lineRule="exact"/>
        <w:rPr>
          <w:sz w:val="24"/>
          <w:szCs w:val="24"/>
          <w:color w:val="auto"/>
        </w:rPr>
      </w:pPr>
    </w:p>
    <w:tbl>
      <w:tblPr>
        <w:tblLayout w:type="fixed"/>
        <w:tblInd w:w="8" w:type="dxa"/>
        <w:tblCellMar>
          <w:top w:w="0" w:type="dxa"/>
          <w:left w:w="0" w:type="dxa"/>
          <w:bottom w:w="0" w:type="dxa"/>
          <w:right w:w="0" w:type="dxa"/>
        </w:tblCellMar>
      </w:tblPr>
      <w:tr>
        <w:trPr>
          <w:trHeight w:val="153"/>
        </w:trPr>
        <w:tc>
          <w:tcPr>
            <w:tcW w:w="5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60" w:type="dxa"/>
            <w:vAlign w:val="bottom"/>
            <w:gridSpan w:val="3"/>
          </w:tcPr>
          <w:p>
            <w:pPr>
              <w:ind w:left="100"/>
              <w:spacing w:after="0"/>
              <w:rPr>
                <w:sz w:val="20"/>
                <w:szCs w:val="20"/>
                <w:color w:val="auto"/>
              </w:rPr>
            </w:pPr>
            <w:r>
              <w:rPr>
                <w:rFonts w:ascii="Arial" w:cs="Arial" w:eastAsia="Arial" w:hAnsi="Arial"/>
                <w:sz w:val="12"/>
                <w:szCs w:val="12"/>
                <w:color w:val="auto"/>
                <w:w w:val="96"/>
              </w:rPr>
              <w:t>Securities registered pursuant to Section 12(b) of the Act:</w:t>
            </w:r>
          </w:p>
        </w:tc>
        <w:tc>
          <w:tcPr>
            <w:tcW w:w="35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34"/>
        </w:trPr>
        <w:tc>
          <w:tcPr>
            <w:tcW w:w="540" w:type="dxa"/>
            <w:vAlign w:val="bottom"/>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20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Trading Symbol</w:t>
            </w:r>
          </w:p>
        </w:tc>
        <w:tc>
          <w:tcPr>
            <w:tcW w:w="2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jc w:val="center"/>
              <w:ind w:right="820"/>
              <w:spacing w:after="0"/>
              <w:rPr>
                <w:sz w:val="20"/>
                <w:szCs w:val="20"/>
                <w:color w:val="auto"/>
              </w:rPr>
            </w:pPr>
            <w:r>
              <w:rPr>
                <w:rFonts w:ascii="Arial" w:cs="Arial" w:eastAsia="Arial" w:hAnsi="Arial"/>
                <w:sz w:val="12"/>
                <w:szCs w:val="12"/>
                <w:b w:val="1"/>
                <w:bCs w:val="1"/>
                <w:color w:val="auto"/>
                <w:w w:val="88"/>
              </w:rPr>
              <w:t>Name of each exchange on which registered</w:t>
            </w:r>
          </w:p>
        </w:tc>
        <w:tc>
          <w:tcPr>
            <w:tcW w:w="560" w:type="dxa"/>
            <w:vAlign w:val="bottom"/>
          </w:tcPr>
          <w:p>
            <w:pPr>
              <w:spacing w:after="0"/>
              <w:rPr>
                <w:sz w:val="20"/>
                <w:szCs w:val="20"/>
                <w:color w:val="auto"/>
              </w:rPr>
            </w:pPr>
          </w:p>
        </w:tc>
      </w:tr>
      <w:tr>
        <w:trPr>
          <w:trHeight w:val="142"/>
        </w:trPr>
        <w:tc>
          <w:tcPr>
            <w:tcW w:w="540" w:type="dxa"/>
            <w:vAlign w:val="bottom"/>
          </w:tcPr>
          <w:p>
            <w:pPr>
              <w:spacing w:after="0"/>
              <w:rPr>
                <w:sz w:val="12"/>
                <w:szCs w:val="12"/>
                <w:color w:val="auto"/>
              </w:rPr>
            </w:pPr>
          </w:p>
        </w:tc>
        <w:tc>
          <w:tcPr>
            <w:tcW w:w="3420" w:type="dxa"/>
            <w:vAlign w:val="bottom"/>
          </w:tcPr>
          <w:p>
            <w:pPr>
              <w:jc w:val="center"/>
              <w:spacing w:after="0"/>
              <w:rPr>
                <w:sz w:val="20"/>
                <w:szCs w:val="20"/>
                <w:color w:val="auto"/>
              </w:rPr>
            </w:pPr>
            <w:r>
              <w:rPr>
                <w:rFonts w:ascii="Arial" w:cs="Arial" w:eastAsia="Arial" w:hAnsi="Arial"/>
                <w:sz w:val="12"/>
                <w:szCs w:val="12"/>
                <w:color w:val="auto"/>
                <w:w w:val="90"/>
              </w:rPr>
              <w:t>Common stock, $0.001 par value</w:t>
            </w:r>
          </w:p>
        </w:tc>
        <w:tc>
          <w:tcPr>
            <w:tcW w:w="200" w:type="dxa"/>
            <w:vAlign w:val="bottom"/>
          </w:tcPr>
          <w:p>
            <w:pPr>
              <w:spacing w:after="0"/>
              <w:rPr>
                <w:sz w:val="12"/>
                <w:szCs w:val="12"/>
                <w:color w:val="auto"/>
              </w:rPr>
            </w:pPr>
          </w:p>
        </w:tc>
        <w:tc>
          <w:tcPr>
            <w:tcW w:w="3060" w:type="dxa"/>
            <w:vAlign w:val="bottom"/>
            <w:gridSpan w:val="3"/>
          </w:tcPr>
          <w:p>
            <w:pPr>
              <w:jc w:val="center"/>
              <w:ind w:right="1080"/>
              <w:spacing w:after="0"/>
              <w:rPr>
                <w:sz w:val="20"/>
                <w:szCs w:val="20"/>
                <w:color w:val="auto"/>
              </w:rPr>
            </w:pPr>
            <w:r>
              <w:rPr>
                <w:rFonts w:ascii="Arial" w:cs="Arial" w:eastAsia="Arial" w:hAnsi="Arial"/>
                <w:sz w:val="12"/>
                <w:szCs w:val="12"/>
                <w:color w:val="auto"/>
                <w:w w:val="91"/>
              </w:rPr>
              <w:t>PRTH</w:t>
            </w:r>
          </w:p>
        </w:tc>
        <w:tc>
          <w:tcPr>
            <w:tcW w:w="4080" w:type="dxa"/>
            <w:vAlign w:val="bottom"/>
            <w:gridSpan w:val="2"/>
          </w:tcPr>
          <w:p>
            <w:pPr>
              <w:jc w:val="center"/>
              <w:ind w:right="1440"/>
              <w:spacing w:after="0"/>
              <w:rPr>
                <w:sz w:val="20"/>
                <w:szCs w:val="20"/>
                <w:color w:val="auto"/>
              </w:rPr>
            </w:pPr>
            <w:r>
              <w:rPr>
                <w:rFonts w:ascii="Arial" w:cs="Arial" w:eastAsia="Arial" w:hAnsi="Arial"/>
                <w:sz w:val="12"/>
                <w:szCs w:val="12"/>
                <w:color w:val="auto"/>
                <w:w w:val="90"/>
              </w:rPr>
              <w:t>Nasdaq Global Market</w:t>
            </w:r>
          </w:p>
        </w:tc>
      </w:tr>
      <w:tr>
        <w:trPr>
          <w:trHeight w:val="810"/>
        </w:trPr>
        <w:tc>
          <w:tcPr>
            <w:tcW w:w="54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12" w:right="299" w:bottom="1440" w:gutter="0" w:footer="0" w:header="0"/>
        </w:sectPr>
      </w:pPr>
    </w:p>
    <w:bookmarkStart w:id="1" w:name="page2"/>
    <w:bookmarkEnd w:id="1"/>
    <w:p>
      <w:pPr>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2" w:lineRule="exact"/>
        <w:rPr>
          <w:sz w:val="20"/>
          <w:szCs w:val="20"/>
          <w:color w:val="auto"/>
        </w:rPr>
      </w:pPr>
    </w:p>
    <w:p>
      <w:pPr>
        <w:ind w:left="120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98" w:lineRule="exact"/>
        <w:rPr>
          <w:sz w:val="20"/>
          <w:szCs w:val="20"/>
          <w:color w:val="auto"/>
        </w:rPr>
      </w:pPr>
    </w:p>
    <w:p>
      <w:pPr>
        <w:spacing w:after="0" w:line="15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347980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4" w:right="299" w:bottom="1440" w:gutter="0" w:footer="0" w:header="0"/>
        </w:sectPr>
      </w:pPr>
    </w:p>
    <w:bookmarkStart w:id="2" w:name="page3"/>
    <w:bookmarkEnd w:id="2"/>
    <w:p>
      <w:pPr>
        <w:spacing w:after="0"/>
        <w:tabs>
          <w:tab w:leader="none" w:pos="660" w:val="left"/>
        </w:tabs>
        <w:rPr>
          <w:sz w:val="20"/>
          <w:szCs w:val="20"/>
          <w:color w:val="auto"/>
        </w:rPr>
      </w:pPr>
      <w:r>
        <w:rPr>
          <w:rFonts w:ascii="Arial" w:cs="Arial" w:eastAsia="Arial" w:hAnsi="Arial"/>
          <w:sz w:val="12"/>
          <w:szCs w:val="12"/>
          <w:b w:val="1"/>
          <w:bCs w:val="1"/>
          <w:color w:val="auto"/>
        </w:rPr>
        <w:t>Item 2.02.</w:t>
      </w:r>
      <w:r>
        <w:rPr>
          <w:sz w:val="20"/>
          <w:szCs w:val="20"/>
          <w:color w:val="auto"/>
        </w:rPr>
        <w:tab/>
      </w:r>
      <w:r>
        <w:rPr>
          <w:rFonts w:ascii="Arial" w:cs="Arial" w:eastAsia="Arial" w:hAnsi="Arial"/>
          <w:sz w:val="10"/>
          <w:szCs w:val="10"/>
          <w:b w:val="1"/>
          <w:bCs w:val="1"/>
          <w:color w:val="auto"/>
        </w:rPr>
        <w:t>Results of Operations and Financial Condition.</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On August 10, 2023, Priority Technology Holdings, Inc. ("Priority") issued a press release announcing its financial results for the quarter ended June 30, 2023. A copy of that press release is attached as Exhibit 99.1 to this Current Report on Form 8-K.</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August 10, 2023, Priority will hold an earnings conference call and webcast at 11:00 a.m. (Eastern Time) to discuss the financial results for the quarter ended June 30, 2023. The press release referenced in Item 2.02 contains information about how to access the conference call and webcast. A copy of the slide presentation to be used during the earnings call and webcast is furnished as Exhibit 99.2 to this Current Report on Form 8-K. The slide presentation also will be available on our website, www.prioritycommerce.com under the "Investor Relations" section.</w:t>
      </w:r>
    </w:p>
    <w:p>
      <w:pPr>
        <w:spacing w:after="0" w:line="12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The information in this Current Report on Form 8-K, including Exhibit 99.1,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88"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(d) Exhibits – The following exhibit is furnished as part of this Current Report on Form 8-K.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2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Exhibit Number</w:t>
            </w:r>
          </w:p>
        </w:tc>
        <w:tc>
          <w:tcPr>
            <w:tcW w:w="10040" w:type="dxa"/>
            <w:vAlign w:val="bottom"/>
            <w:tcBorders>
              <w:bottom w:val="single" w:sz="8" w:color="auto"/>
            </w:tcBorders>
          </w:tcPr>
          <w:p>
            <w:pPr>
              <w:ind w:left="400"/>
              <w:spacing w:after="0"/>
              <w:rPr>
                <w:sz w:val="20"/>
                <w:szCs w:val="20"/>
                <w:color w:val="auto"/>
              </w:rPr>
            </w:pPr>
            <w:r>
              <w:rPr>
                <w:rFonts w:ascii="Arial" w:cs="Arial" w:eastAsia="Arial" w:hAnsi="Arial"/>
                <w:sz w:val="12"/>
                <w:szCs w:val="12"/>
                <w:b w:val="1"/>
                <w:bCs w:val="1"/>
                <w:color w:val="auto"/>
              </w:rPr>
              <w:t>Description</w:t>
            </w:r>
          </w:p>
        </w:tc>
      </w:tr>
      <w:tr>
        <w:trPr>
          <w:trHeight w:val="142"/>
        </w:trPr>
        <w:tc>
          <w:tcPr>
            <w:tcW w:w="1260" w:type="dxa"/>
            <w:vAlign w:val="bottom"/>
          </w:tcPr>
          <w:p>
            <w:pPr>
              <w:spacing w:after="0"/>
              <w:rPr>
                <w:sz w:val="20"/>
                <w:szCs w:val="20"/>
                <w:color w:val="auto"/>
              </w:rPr>
            </w:pPr>
            <w:r>
              <w:rPr>
                <w:rFonts w:ascii="Arial" w:cs="Arial" w:eastAsia="Arial" w:hAnsi="Arial"/>
                <w:sz w:val="12"/>
                <w:szCs w:val="12"/>
                <w:color w:val="0000FF"/>
              </w:rPr>
              <w:t>99.1</w:t>
            </w:r>
          </w:p>
        </w:tc>
        <w:tc>
          <w:tcPr>
            <w:tcW w:w="10040" w:type="dxa"/>
            <w:vAlign w:val="bottom"/>
          </w:tcPr>
          <w:p>
            <w:pPr>
              <w:ind w:left="400"/>
              <w:spacing w:after="0"/>
              <w:rPr>
                <w:sz w:val="20"/>
                <w:szCs w:val="20"/>
                <w:color w:val="auto"/>
              </w:rPr>
            </w:pPr>
            <w:r>
              <w:rPr>
                <w:rFonts w:ascii="Arial" w:cs="Arial" w:eastAsia="Arial" w:hAnsi="Arial"/>
                <w:sz w:val="12"/>
                <w:szCs w:val="12"/>
                <w:color w:val="0000FF"/>
              </w:rPr>
              <w:t>Press Release of Priority Technology Holdings, Inc. dated August 10, 2023</w:t>
            </w:r>
          </w:p>
        </w:tc>
      </w:tr>
      <w:tr>
        <w:trPr>
          <w:trHeight w:val="162"/>
        </w:trPr>
        <w:tc>
          <w:tcPr>
            <w:tcW w:w="1260" w:type="dxa"/>
            <w:vAlign w:val="bottom"/>
          </w:tcPr>
          <w:p>
            <w:pPr>
              <w:spacing w:after="0"/>
              <w:rPr>
                <w:sz w:val="20"/>
                <w:szCs w:val="20"/>
                <w:color w:val="auto"/>
              </w:rPr>
            </w:pPr>
            <w:r>
              <w:rPr>
                <w:rFonts w:ascii="Arial" w:cs="Arial" w:eastAsia="Arial" w:hAnsi="Arial"/>
                <w:sz w:val="12"/>
                <w:szCs w:val="12"/>
                <w:color w:val="0000FF"/>
              </w:rPr>
              <w:t>99.2</w:t>
            </w:r>
          </w:p>
        </w:tc>
        <w:tc>
          <w:tcPr>
            <w:tcW w:w="10040" w:type="dxa"/>
            <w:vAlign w:val="bottom"/>
          </w:tcPr>
          <w:p>
            <w:pPr>
              <w:ind w:left="400"/>
              <w:spacing w:after="0"/>
              <w:rPr>
                <w:sz w:val="20"/>
                <w:szCs w:val="20"/>
                <w:color w:val="auto"/>
              </w:rPr>
            </w:pPr>
            <w:r>
              <w:rPr>
                <w:rFonts w:ascii="Arial" w:cs="Arial" w:eastAsia="Arial" w:hAnsi="Arial"/>
                <w:sz w:val="12"/>
                <w:szCs w:val="12"/>
                <w:color w:val="0000FF"/>
              </w:rPr>
              <w:t>Supplemental Slide Presentation</w:t>
            </w:r>
          </w:p>
        </w:tc>
      </w:tr>
      <w:tr>
        <w:trPr>
          <w:trHeight w:val="153"/>
        </w:trPr>
        <w:tc>
          <w:tcPr>
            <w:tcW w:w="1260" w:type="dxa"/>
            <w:vAlign w:val="bottom"/>
          </w:tcPr>
          <w:p>
            <w:pPr>
              <w:spacing w:after="0"/>
              <w:rPr>
                <w:sz w:val="20"/>
                <w:szCs w:val="20"/>
                <w:color w:val="auto"/>
              </w:rPr>
            </w:pPr>
            <w:r>
              <w:rPr>
                <w:rFonts w:ascii="Arial" w:cs="Arial" w:eastAsia="Arial" w:hAnsi="Arial"/>
                <w:sz w:val="12"/>
                <w:szCs w:val="12"/>
                <w:color w:val="auto"/>
              </w:rPr>
              <w:t>104</w:t>
            </w:r>
          </w:p>
        </w:tc>
        <w:tc>
          <w:tcPr>
            <w:tcW w:w="10040" w:type="dxa"/>
            <w:vAlign w:val="bottom"/>
          </w:tcPr>
          <w:p>
            <w:pPr>
              <w:ind w:left="400"/>
              <w:spacing w:after="0"/>
              <w:rPr>
                <w:sz w:val="20"/>
                <w:szCs w:val="20"/>
                <w:color w:val="auto"/>
              </w:rPr>
            </w:pPr>
            <w:r>
              <w:rPr>
                <w:rFonts w:ascii="Arial" w:cs="Arial" w:eastAsia="Arial" w:hAnsi="Arial"/>
                <w:sz w:val="12"/>
                <w:szCs w:val="12"/>
                <w:color w:val="auto"/>
              </w:rPr>
              <w:t>The cover page from this Current Report on Form 8-K, formatted in Inline XBRL</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Dated: August 10, 2023</w:t>
      </w:r>
    </w:p>
    <w:p>
      <w:pPr>
        <w:spacing w:after="0" w:line="168"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PRIORITY TECHNOLOGY HOLDINGS, INC.</w:t>
      </w:r>
    </w:p>
    <w:p>
      <w:pPr>
        <w:spacing w:after="0" w:line="177" w:lineRule="exact"/>
        <w:rPr>
          <w:sz w:val="20"/>
          <w:szCs w:val="20"/>
          <w:color w:val="auto"/>
        </w:rPr>
      </w:pPr>
    </w:p>
    <w:p>
      <w:pPr>
        <w:ind w:left="5840"/>
        <w:spacing w:after="0"/>
        <w:rPr>
          <w:sz w:val="20"/>
          <w:szCs w:val="20"/>
          <w:color w:val="auto"/>
        </w:rPr>
      </w:pPr>
      <w:r>
        <w:rPr>
          <w:rFonts w:ascii="Arial" w:cs="Arial" w:eastAsia="Arial" w:hAnsi="Arial"/>
          <w:sz w:val="12"/>
          <w:szCs w:val="12"/>
          <w:u w:val="single" w:color="auto"/>
          <w:color w:val="auto"/>
        </w:rPr>
        <w:t>By: /s/ Timothy O'Leary</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Name: Timothy O'Leary</w:t>
      </w:r>
    </w:p>
    <w:p>
      <w:pPr>
        <w:spacing w:after="0" w:line="24"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Title: Chief Financial Officer</w:t>
      </w:r>
    </w:p>
    <w:p>
      <w:pPr>
        <w:sectPr>
          <w:pgSz w:w="11900" w:h="16838" w:orient="portrait"/>
          <w:cols w:equalWidth="0" w:num="1">
            <w:col w:w="11300"/>
          </w:cols>
          <w:pgMar w:left="300" w:top="640" w:right="299" w:bottom="1440" w:gutter="0" w:footer="0" w:header="0"/>
        </w:sectPr>
      </w:pPr>
    </w:p>
    <w:bookmarkStart w:id="3" w:name="page4"/>
    <w:bookmarkEnd w:id="3"/>
    <w:p>
      <w:pPr>
        <w:ind w:left="9860"/>
        <w:spacing w:after="0"/>
        <w:rPr>
          <w:sz w:val="20"/>
          <w:szCs w:val="20"/>
          <w:color w:val="auto"/>
        </w:rPr>
      </w:pPr>
      <w:r>
        <w:rPr>
          <w:rFonts w:ascii="Arial" w:cs="Arial" w:eastAsia="Arial" w:hAnsi="Arial"/>
          <w:sz w:val="12"/>
          <w:szCs w:val="1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2995295</wp:posOffset>
            </wp:positionH>
            <wp:positionV relativeFrom="paragraph">
              <wp:posOffset>15240</wp:posOffset>
            </wp:positionV>
            <wp:extent cx="1177290" cy="417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77290" cy="41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2"/>
          <w:szCs w:val="12"/>
          <w:color w:val="auto"/>
        </w:rPr>
        <w:t>Priority Investor Inquiries: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Chris Kettmann</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chris.kettmann@dentonsglobaladvisors.com</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(773) 497-7575</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Priority Technology Holdings, Inc. Announces Second Quarter 2023 Financial Results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Strong Second Quarter Growth Driven by Performance Across Diverse Business Segments</w:t>
      </w:r>
    </w:p>
    <w:p>
      <w:pPr>
        <w:spacing w:after="0" w:line="167" w:lineRule="exact"/>
        <w:rPr>
          <w:sz w:val="20"/>
          <w:szCs w:val="20"/>
          <w:color w:val="auto"/>
        </w:rPr>
      </w:pPr>
    </w:p>
    <w:p>
      <w:pPr>
        <w:spacing w:after="0" w:line="314" w:lineRule="auto"/>
        <w:rPr>
          <w:sz w:val="20"/>
          <w:szCs w:val="20"/>
          <w:color w:val="auto"/>
        </w:rPr>
      </w:pPr>
      <w:r>
        <w:rPr>
          <w:rFonts w:ascii="Arial" w:cs="Arial" w:eastAsia="Arial" w:hAnsi="Arial"/>
          <w:sz w:val="13"/>
          <w:szCs w:val="13"/>
          <w:color w:val="auto"/>
        </w:rPr>
        <w:t>ALPHARETTA, GA - August 10, 2023 -- Priority Technology Holdings, Inc. (NASDAQ: PRTH) ("Priority" or the "Company"), the platform for unified commerce that delivers integrated payments and banking services at scale, today announced its second quarter 2023 financial results including strong quarter-over-quarter diversified revenue growth.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Highlights of Consolidated Results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Second Quarter 2023 Compared with Second Quarter 2022</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Financial highlights of the second quarter of 2023 compared with the second quarter of 2022, are as follows:</w:t>
      </w:r>
    </w:p>
    <w:p>
      <w:pPr>
        <w:spacing w:after="0" w:line="184"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Revenue of $182.3 million increased 9.6% from $166.4 million</w:t>
      </w:r>
    </w:p>
    <w:p>
      <w:pPr>
        <w:spacing w:after="0" w:line="25" w:lineRule="exact"/>
        <w:rPr>
          <w:rFonts w:ascii="Arial" w:cs="Arial" w:eastAsia="Arial" w:hAnsi="Arial"/>
          <w:sz w:val="13"/>
          <w:szCs w:val="13"/>
          <w:color w:val="auto"/>
        </w:rPr>
      </w:pPr>
    </w:p>
    <w:p>
      <w:pPr>
        <w:ind w:left="420" w:hanging="212"/>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Adjusted gross profit (a non-GAAP measure</w:t>
      </w:r>
      <w:r>
        <w:rPr>
          <w:rFonts w:ascii="Arial" w:cs="Arial" w:eastAsia="Arial" w:hAnsi="Arial"/>
          <w:sz w:val="17"/>
          <w:szCs w:val="17"/>
          <w:color w:val="auto"/>
          <w:vertAlign w:val="superscript"/>
        </w:rPr>
        <w:t>1</w:t>
      </w:r>
      <w:r>
        <w:rPr>
          <w:rFonts w:ascii="Arial" w:cs="Arial" w:eastAsia="Arial" w:hAnsi="Arial"/>
          <w:sz w:val="13"/>
          <w:szCs w:val="13"/>
          <w:color w:val="auto"/>
        </w:rPr>
        <w:t>) of $67.0 million increased 20.3% from $55.7 million</w:t>
      </w:r>
    </w:p>
    <w:p>
      <w:pPr>
        <w:ind w:left="420" w:hanging="212"/>
        <w:spacing w:after="0" w:line="232" w:lineRule="auto"/>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Adjusted gross profit margin (a non-GAAP measure</w:t>
      </w:r>
      <w:r>
        <w:rPr>
          <w:rFonts w:ascii="Arial" w:cs="Arial" w:eastAsia="Arial" w:hAnsi="Arial"/>
          <w:sz w:val="17"/>
          <w:szCs w:val="17"/>
          <w:color w:val="auto"/>
          <w:vertAlign w:val="superscript"/>
        </w:rPr>
        <w:t>1</w:t>
      </w:r>
      <w:r>
        <w:rPr>
          <w:rFonts w:ascii="Arial" w:cs="Arial" w:eastAsia="Arial" w:hAnsi="Arial"/>
          <w:sz w:val="13"/>
          <w:szCs w:val="13"/>
          <w:color w:val="auto"/>
        </w:rPr>
        <w:t>) of 36.8% increased 330 basis points from 33.5%</w:t>
      </w:r>
    </w:p>
    <w:p>
      <w:pPr>
        <w:ind w:left="420" w:hanging="212"/>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Operating income of $19.1 million increased 45.8% from $13.1 million</w:t>
      </w:r>
    </w:p>
    <w:p>
      <w:pPr>
        <w:spacing w:after="0" w:line="20" w:lineRule="exact"/>
        <w:rPr>
          <w:rFonts w:ascii="Arial" w:cs="Arial" w:eastAsia="Arial" w:hAnsi="Arial"/>
          <w:sz w:val="13"/>
          <w:szCs w:val="13"/>
          <w:color w:val="auto"/>
        </w:rPr>
      </w:pPr>
    </w:p>
    <w:p>
      <w:pPr>
        <w:ind w:left="420" w:hanging="212"/>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Adjusted EBITDA (a non-GAAP measure</w:t>
      </w:r>
      <w:r>
        <w:rPr>
          <w:rFonts w:ascii="Arial" w:cs="Arial" w:eastAsia="Arial" w:hAnsi="Arial"/>
          <w:sz w:val="17"/>
          <w:szCs w:val="17"/>
          <w:color w:val="auto"/>
          <w:vertAlign w:val="superscript"/>
        </w:rPr>
        <w:t>1</w:t>
      </w:r>
      <w:r>
        <w:rPr>
          <w:rFonts w:ascii="Arial" w:cs="Arial" w:eastAsia="Arial" w:hAnsi="Arial"/>
          <w:sz w:val="13"/>
          <w:szCs w:val="13"/>
          <w:color w:val="auto"/>
        </w:rPr>
        <w:t>) of $41.1 million increased 21.2% from $33.9 million</w:t>
      </w:r>
    </w:p>
    <w:p>
      <w:pPr>
        <w:spacing w:after="0" w:line="300"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"Consistent with the first few months of the year, we continued to deliver strong results as we executed our unified commerce vision combining payments and banking on a single platform, enhanced by the strength of our counter cyclical business lines that were positioned to benefit from higher interest rates and weakening macroeconomic trends," said Tom Priore, Chairman &amp; CEO of Priority. "We continue to invest thoughtfully, as our recent acquisition of Plastiq demonstrates, to deliver differentiated solutions to our business and integrated software clients that accelerate cash flow and optimize working capital, which will drive consistent long-term performance for our shareholders."</w:t>
      </w:r>
    </w:p>
    <w:p>
      <w:pPr>
        <w:spacing w:after="0" w:line="121" w:lineRule="exact"/>
        <w:rPr>
          <w:sz w:val="20"/>
          <w:szCs w:val="20"/>
          <w:color w:val="auto"/>
        </w:rPr>
      </w:pPr>
    </w:p>
    <w:p>
      <w:pPr>
        <w:ind w:left="420" w:right="280" w:hanging="212"/>
        <w:spacing w:after="0"/>
        <w:tabs>
          <w:tab w:leader="none" w:pos="420" w:val="left"/>
        </w:tabs>
        <w:numPr>
          <w:ilvl w:val="0"/>
          <w:numId w:val="3"/>
        </w:numPr>
        <w:rPr>
          <w:rFonts w:ascii="Arial" w:cs="Arial" w:eastAsia="Arial" w:hAnsi="Arial"/>
          <w:sz w:val="17"/>
          <w:szCs w:val="17"/>
          <w:color w:val="auto"/>
          <w:vertAlign w:val="superscript"/>
        </w:rPr>
      </w:pPr>
      <w:r>
        <w:rPr>
          <w:rFonts w:ascii="Arial" w:cs="Arial" w:eastAsia="Arial" w:hAnsi="Arial"/>
          <w:sz w:val="13"/>
          <w:szCs w:val="13"/>
          <w:i w:val="1"/>
          <w:iCs w:val="1"/>
          <w:color w:val="auto"/>
        </w:rPr>
        <w:t>See "Non-GAAP Financial Measures" and the reconciliations of Adjusted Gross Profit (non-GAAP), Adjusted Gross Profit Margin (non-GAAP), and Adjusted EBITDA, to their most comparable GAAP measures provided below for additional information.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0"/>
          </w:cols>
          <w:pgMar w:left="300" w:top="653" w:right="299" w:bottom="1440" w:gutter="0" w:footer="0" w:header="0"/>
        </w:sectPr>
      </w:pPr>
    </w:p>
    <w:bookmarkStart w:id="4" w:name="page5"/>
    <w:bookmarkEnd w:id="4"/>
    <w:p>
      <w:pPr>
        <w:jc w:val="center"/>
        <w:spacing w:after="0"/>
        <w:rPr>
          <w:sz w:val="20"/>
          <w:szCs w:val="20"/>
          <w:color w:val="auto"/>
        </w:rPr>
      </w:pPr>
      <w:r>
        <w:rPr>
          <w:rFonts w:ascii="Arial" w:cs="Arial" w:eastAsia="Arial" w:hAnsi="Arial"/>
          <w:sz w:val="13"/>
          <w:szCs w:val="13"/>
          <w:b w:val="1"/>
          <w:bCs w:val="1"/>
          <w:u w:val="single" w:color="auto"/>
          <w:color w:val="auto"/>
        </w:rPr>
        <w:t>Updated Full Year 2023 Financial Guidance</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070707"/>
        </w:rPr>
        <w:t>The Company has updated its outlook for the full year 2023 to include the forecasted post-acquisition contribution from the Plastiq business as follows:</w:t>
      </w:r>
    </w:p>
    <w:p>
      <w:pPr>
        <w:spacing w:after="0" w:line="175"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Revenue forecast revised to range between $765 million to $780 million, a growth rate of 15% to 17%, from $740 million to $755 million</w:t>
      </w:r>
    </w:p>
    <w:p>
      <w:pPr>
        <w:spacing w:after="0" w:line="39"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Adjusted EBITDA (a non-GAAP measure) forecast remains in range between $160 million to $165 million, a growth rate of 14% to 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Conference Call</w:t>
      </w:r>
    </w:p>
    <w:p>
      <w:pPr>
        <w:spacing w:after="0" w:line="188" w:lineRule="exact"/>
        <w:rPr>
          <w:sz w:val="20"/>
          <w:szCs w:val="20"/>
          <w:color w:val="auto"/>
        </w:rPr>
      </w:pPr>
    </w:p>
    <w:p>
      <w:pPr>
        <w:jc w:val="both"/>
        <w:spacing w:after="0" w:line="314" w:lineRule="auto"/>
        <w:rPr>
          <w:sz w:val="20"/>
          <w:szCs w:val="20"/>
          <w:color w:val="auto"/>
        </w:rPr>
      </w:pPr>
      <w:r>
        <w:rPr>
          <w:rFonts w:ascii="Arial" w:cs="Arial" w:eastAsia="Arial" w:hAnsi="Arial"/>
          <w:sz w:val="13"/>
          <w:szCs w:val="13"/>
          <w:color w:val="070707"/>
        </w:rPr>
        <w:t>Priority's leadership will host a conference call on Thursday, August 10, 2023 at 11:00 a.m. EDT to discuss its second quarter 2023 financial results. Participants can access the call by p</w:t>
      </w:r>
      <w:r>
        <w:rPr>
          <w:rFonts w:ascii="Arial" w:cs="Arial" w:eastAsia="Arial" w:hAnsi="Arial"/>
          <w:sz w:val="13"/>
          <w:szCs w:val="13"/>
          <w:color w:val="000000"/>
        </w:rPr>
        <w:t>hone in the U.S. or Canada at</w:t>
      </w:r>
      <w:r>
        <w:rPr>
          <w:rFonts w:ascii="Arial" w:cs="Arial" w:eastAsia="Arial" w:hAnsi="Arial"/>
          <w:sz w:val="13"/>
          <w:szCs w:val="13"/>
          <w:color w:val="070707"/>
        </w:rPr>
        <w:t xml:space="preserve"> </w:t>
      </w:r>
      <w:r>
        <w:rPr>
          <w:rFonts w:ascii="Arial" w:cs="Arial" w:eastAsia="Arial" w:hAnsi="Arial"/>
          <w:sz w:val="13"/>
          <w:szCs w:val="13"/>
          <w:color w:val="000000"/>
        </w:rPr>
        <w:t>(833) 636-1319 or internationally at (412) 902-4286.</w:t>
      </w:r>
    </w:p>
    <w:p>
      <w:pPr>
        <w:spacing w:after="0" w:line="105" w:lineRule="exact"/>
        <w:rPr>
          <w:sz w:val="20"/>
          <w:szCs w:val="20"/>
          <w:color w:val="auto"/>
        </w:rPr>
      </w:pPr>
    </w:p>
    <w:p>
      <w:pPr>
        <w:jc w:val="both"/>
        <w:spacing w:after="0" w:line="337" w:lineRule="auto"/>
        <w:rPr>
          <w:sz w:val="20"/>
          <w:szCs w:val="20"/>
          <w:color w:val="auto"/>
        </w:rPr>
      </w:pPr>
      <w:r>
        <w:rPr>
          <w:rFonts w:ascii="Arial" w:cs="Arial" w:eastAsia="Arial" w:hAnsi="Arial"/>
          <w:sz w:val="13"/>
          <w:szCs w:val="13"/>
          <w:color w:val="auto"/>
        </w:rPr>
        <w:t xml:space="preserve">The Internet webcast link and accompanying slide presentation can be accessed at </w:t>
      </w:r>
      <w:r>
        <w:rPr>
          <w:rFonts w:ascii="Arial" w:cs="Arial" w:eastAsia="Arial" w:hAnsi="Arial"/>
          <w:sz w:val="14"/>
          <w:szCs w:val="14"/>
          <w:b w:val="1"/>
          <w:bCs w:val="1"/>
          <w:color w:val="auto"/>
        </w:rPr>
        <w:t>https://edge.media-server.com/mmc/p/yohu2k4c</w:t>
      </w:r>
      <w:r>
        <w:rPr>
          <w:rFonts w:ascii="Arial" w:cs="Arial" w:eastAsia="Arial" w:hAnsi="Arial"/>
          <w:sz w:val="13"/>
          <w:szCs w:val="13"/>
          <w:color w:val="auto"/>
        </w:rPr>
        <w:t xml:space="preserve"> and will also be posted in the "Investor Relations" section of the Company's website at www.prioritycommerce.com.</w:t>
      </w:r>
    </w:p>
    <w:p>
      <w:pPr>
        <w:spacing w:after="0" w:line="103" w:lineRule="exact"/>
        <w:rPr>
          <w:sz w:val="20"/>
          <w:szCs w:val="20"/>
          <w:color w:val="auto"/>
        </w:rPr>
      </w:pPr>
    </w:p>
    <w:p>
      <w:pPr>
        <w:jc w:val="both"/>
        <w:spacing w:after="0" w:line="314" w:lineRule="auto"/>
        <w:rPr>
          <w:sz w:val="20"/>
          <w:szCs w:val="20"/>
          <w:color w:val="auto"/>
        </w:rPr>
      </w:pPr>
      <w:r>
        <w:rPr>
          <w:rFonts w:ascii="Arial" w:cs="Arial" w:eastAsia="Arial" w:hAnsi="Arial"/>
          <w:sz w:val="13"/>
          <w:szCs w:val="13"/>
          <w:color w:val="auto"/>
        </w:rPr>
        <w:t xml:space="preserve">An audio replay of the call will be available shortly after the conference call until August 17, 2023 at 2:00 p.m. EDT. To listen to the audio replay, dial (877) 344-7529 or (412) 317-0088 and enter conference ID number </w:t>
      </w:r>
      <w:r>
        <w:rPr>
          <w:rFonts w:ascii="Arial" w:cs="Arial" w:eastAsia="Arial" w:hAnsi="Arial"/>
          <w:sz w:val="13"/>
          <w:szCs w:val="13"/>
          <w:b w:val="1"/>
          <w:bCs w:val="1"/>
          <w:color w:val="222222"/>
        </w:rPr>
        <w:t>2194982</w:t>
      </w:r>
      <w:r>
        <w:rPr>
          <w:rFonts w:ascii="Arial" w:cs="Arial" w:eastAsia="Arial" w:hAnsi="Arial"/>
          <w:sz w:val="13"/>
          <w:szCs w:val="13"/>
          <w:color w:val="auto"/>
        </w:rPr>
        <w:t>. Alternatively, you may access the webcast replay in the "Investor Relations" section of the Company's website at www.prioritycommerce.com.</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0A0A0A"/>
        </w:rPr>
        <w:t>Non-GAAP Financial Measures</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This communication includes certain non-GAAP financial measures that we regularly review to evaluate our business and trends, measure our performance, prepare financial projections, allocate resources, and make strategic decisions. We believe these non-GAAP measures help to illustrate the underlying financial and business trends relating to our results of operations and comparability between current and prior periods. We also use these non-GAAP measures to establish and monitor operational goals. However, these non-GAAP measures are not superior to or a substitute for prominent measurements calculated in accordance with GAAP. Rather, the non-GAAP measures are meant to be a complement to understanding measures prepared in accordance with GAAP.</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656" w:right="29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i w:val="1"/>
          <w:iCs w:val="1"/>
          <w:color w:val="auto"/>
        </w:rPr>
        <w:t>Adjusted Gross Profit and Adjusted Gross Profit Margin</w:t>
      </w:r>
    </w:p>
    <w:p>
      <w:pPr>
        <w:spacing w:after="0" w:line="148"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The Company's adjusted gross profit metric represents revenues less cost of revenue (excluding depreciation and amortization). Adjusted gross profit margin is adjusted gross profit divided by revenues. We review these non-GAAP measures to evaluate our underlying profit trends. The reconciliation of adjusted gross profit to its most comparable GAAP measure is provided below:</w:t>
      </w:r>
    </w:p>
    <w:p>
      <w:pPr>
        <w:sectPr>
          <w:pgSz w:w="11900" w:h="16838" w:orient="portrait"/>
          <w:cols w:equalWidth="0" w:num="1">
            <w:col w:w="11300"/>
          </w:cols>
          <w:pgMar w:left="300" w:top="948" w:right="299" w:bottom="1440" w:gutter="0" w:footer="0" w:header="0"/>
        </w:sectPr>
      </w:pP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 thousands)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Revenues</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Cost of revenue (excluding depreciation and amortization)</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Adjusted gross profit</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Adjusted gross profit margin</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color w:val="auto"/>
        </w:rPr>
        <w:t>Depreciation and amortization of revenue generating assets</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Gross profit</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Gross profit margin</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EBITDA and Adjusted EBITDA</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left="104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3"/>
                <w:szCs w:val="13"/>
                <w:b w:val="1"/>
                <w:bCs w:val="1"/>
                <w:color w:val="auto"/>
              </w:rPr>
              <w:t>2022</w:t>
            </w:r>
          </w:p>
        </w:tc>
      </w:tr>
      <w:tr>
        <w:trPr>
          <w:trHeight w:val="149"/>
        </w:trPr>
        <w:tc>
          <w:tcPr>
            <w:tcW w:w="440" w:type="dxa"/>
            <w:vAlign w:val="bottom"/>
          </w:tcPr>
          <w:p>
            <w:pPr>
              <w:jc w:val="right"/>
              <w:ind w:right="294"/>
              <w:spacing w:after="0"/>
              <w:rPr>
                <w:sz w:val="20"/>
                <w:szCs w:val="20"/>
                <w:color w:val="auto"/>
              </w:rPr>
            </w:pPr>
            <w:r>
              <w:rPr>
                <w:rFonts w:ascii="Arial" w:cs="Arial" w:eastAsia="Arial" w:hAnsi="Arial"/>
                <w:sz w:val="13"/>
                <w:szCs w:val="13"/>
                <w:color w:val="auto"/>
                <w:w w:val="82"/>
              </w:rPr>
              <w:t>$</w:t>
            </w:r>
          </w:p>
        </w:tc>
        <w:tc>
          <w:tcPr>
            <w:tcW w:w="1420" w:type="dxa"/>
            <w:vAlign w:val="bottom"/>
          </w:tcPr>
          <w:p>
            <w:pPr>
              <w:jc w:val="right"/>
              <w:ind w:right="94"/>
              <w:spacing w:after="0"/>
              <w:rPr>
                <w:sz w:val="20"/>
                <w:szCs w:val="20"/>
                <w:color w:val="auto"/>
              </w:rPr>
            </w:pPr>
            <w:r>
              <w:rPr>
                <w:rFonts w:ascii="Arial" w:cs="Arial" w:eastAsia="Arial" w:hAnsi="Arial"/>
                <w:sz w:val="13"/>
                <w:szCs w:val="13"/>
                <w:color w:val="auto"/>
              </w:rPr>
              <w:t>182,290</w:t>
            </w:r>
          </w:p>
        </w:tc>
        <w:tc>
          <w:tcPr>
            <w:tcW w:w="80" w:type="dxa"/>
            <w:vAlign w:val="bottom"/>
          </w:tcPr>
          <w:p>
            <w:pPr>
              <w:spacing w:after="0"/>
              <w:rPr>
                <w:sz w:val="12"/>
                <w:szCs w:val="12"/>
                <w:color w:val="auto"/>
              </w:rPr>
            </w:pPr>
          </w:p>
        </w:tc>
        <w:tc>
          <w:tcPr>
            <w:tcW w:w="440" w:type="dxa"/>
            <w:vAlign w:val="bottom"/>
          </w:tcPr>
          <w:p>
            <w:pPr>
              <w:jc w:val="right"/>
              <w:ind w:right="294"/>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ind w:right="74"/>
              <w:spacing w:after="0"/>
              <w:rPr>
                <w:sz w:val="20"/>
                <w:szCs w:val="20"/>
                <w:color w:val="auto"/>
              </w:rPr>
            </w:pPr>
            <w:r>
              <w:rPr>
                <w:rFonts w:ascii="Arial" w:cs="Arial" w:eastAsia="Arial" w:hAnsi="Arial"/>
                <w:sz w:val="13"/>
                <w:szCs w:val="13"/>
                <w:color w:val="auto"/>
              </w:rPr>
              <w:t>166,430</w:t>
            </w:r>
          </w:p>
        </w:tc>
      </w:tr>
      <w:tr>
        <w:trPr>
          <w:trHeight w:val="169"/>
        </w:trPr>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(115,281)</w:t>
            </w: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(110,749)</w:t>
            </w:r>
          </w:p>
        </w:tc>
      </w:tr>
      <w:tr>
        <w:trPr>
          <w:trHeight w:val="163"/>
        </w:trPr>
        <w:tc>
          <w:tcPr>
            <w:tcW w:w="44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w w:val="82"/>
              </w:rPr>
              <w:t>$</w:t>
            </w:r>
          </w:p>
        </w:tc>
        <w:tc>
          <w:tcPr>
            <w:tcW w:w="142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67,009</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w w:val="82"/>
              </w:rPr>
              <w:t>$</w:t>
            </w:r>
          </w:p>
        </w:tc>
        <w:tc>
          <w:tcPr>
            <w:tcW w:w="140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55,681</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37"/>
        </w:trPr>
        <w:tc>
          <w:tcPr>
            <w:tcW w:w="440" w:type="dxa"/>
            <w:vAlign w:val="bottom"/>
          </w:tcPr>
          <w:p>
            <w:pPr>
              <w:spacing w:after="0"/>
              <w:rPr>
                <w:sz w:val="11"/>
                <w:szCs w:val="11"/>
                <w:color w:val="auto"/>
              </w:rPr>
            </w:pPr>
          </w:p>
        </w:tc>
        <w:tc>
          <w:tcPr>
            <w:tcW w:w="1420" w:type="dxa"/>
            <w:vAlign w:val="bottom"/>
          </w:tcPr>
          <w:p>
            <w:pPr>
              <w:jc w:val="right"/>
              <w:spacing w:after="0" w:line="138" w:lineRule="exact"/>
              <w:rPr>
                <w:sz w:val="20"/>
                <w:szCs w:val="20"/>
                <w:color w:val="auto"/>
              </w:rPr>
            </w:pPr>
            <w:r>
              <w:rPr>
                <w:rFonts w:ascii="Arial" w:cs="Arial" w:eastAsia="Arial" w:hAnsi="Arial"/>
                <w:sz w:val="13"/>
                <w:szCs w:val="13"/>
                <w:color w:val="auto"/>
              </w:rPr>
              <w:t>36.8 %</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tcPr>
          <w:p>
            <w:pPr>
              <w:jc w:val="right"/>
              <w:spacing w:after="0" w:line="138" w:lineRule="exact"/>
              <w:rPr>
                <w:sz w:val="20"/>
                <w:szCs w:val="20"/>
                <w:color w:val="auto"/>
              </w:rPr>
            </w:pPr>
            <w:r>
              <w:rPr>
                <w:rFonts w:ascii="Arial" w:cs="Arial" w:eastAsia="Arial" w:hAnsi="Arial"/>
                <w:sz w:val="13"/>
                <w:szCs w:val="13"/>
                <w:color w:val="auto"/>
              </w:rPr>
              <w:t>33.5 %</w:t>
            </w:r>
          </w:p>
        </w:tc>
      </w:tr>
      <w:tr>
        <w:trPr>
          <w:trHeight w:val="169"/>
        </w:trPr>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(3,030)</w:t>
            </w: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(2,538)</w:t>
            </w:r>
          </w:p>
        </w:tc>
      </w:tr>
      <w:tr>
        <w:trPr>
          <w:trHeight w:val="163"/>
        </w:trPr>
        <w:tc>
          <w:tcPr>
            <w:tcW w:w="44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w w:val="82"/>
              </w:rPr>
              <w:t>$</w:t>
            </w:r>
          </w:p>
        </w:tc>
        <w:tc>
          <w:tcPr>
            <w:tcW w:w="142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63,979</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w w:val="82"/>
              </w:rPr>
              <w:t>$</w:t>
            </w:r>
          </w:p>
        </w:tc>
        <w:tc>
          <w:tcPr>
            <w:tcW w:w="140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53,143</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42"/>
        </w:trPr>
        <w:tc>
          <w:tcPr>
            <w:tcW w:w="440" w:type="dxa"/>
            <w:vAlign w:val="bottom"/>
          </w:tcPr>
          <w:p>
            <w:pPr>
              <w:spacing w:after="0"/>
              <w:rPr>
                <w:sz w:val="12"/>
                <w:szCs w:val="12"/>
                <w:color w:val="auto"/>
              </w:rPr>
            </w:pPr>
          </w:p>
        </w:tc>
        <w:tc>
          <w:tcPr>
            <w:tcW w:w="1420" w:type="dxa"/>
            <w:vAlign w:val="bottom"/>
          </w:tcPr>
          <w:p>
            <w:pPr>
              <w:jc w:val="right"/>
              <w:spacing w:after="0" w:line="143" w:lineRule="exact"/>
              <w:rPr>
                <w:sz w:val="20"/>
                <w:szCs w:val="20"/>
                <w:color w:val="auto"/>
              </w:rPr>
            </w:pPr>
            <w:r>
              <w:rPr>
                <w:rFonts w:ascii="Arial" w:cs="Arial" w:eastAsia="Arial" w:hAnsi="Arial"/>
                <w:sz w:val="13"/>
                <w:szCs w:val="13"/>
                <w:color w:val="auto"/>
              </w:rPr>
              <w:t>35.1 %</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Pr>
          <w:p>
            <w:pPr>
              <w:jc w:val="right"/>
              <w:spacing w:after="0" w:line="143" w:lineRule="exact"/>
              <w:rPr>
                <w:sz w:val="20"/>
                <w:szCs w:val="20"/>
                <w:color w:val="auto"/>
              </w:rPr>
            </w:pPr>
            <w:r>
              <w:rPr>
                <w:rFonts w:ascii="Arial" w:cs="Arial" w:eastAsia="Arial" w:hAnsi="Arial"/>
                <w:sz w:val="13"/>
                <w:szCs w:val="13"/>
                <w:color w:val="auto"/>
              </w:rPr>
              <w:t>31.9 %</w:t>
            </w:r>
          </w:p>
        </w:tc>
      </w:tr>
    </w:tbl>
    <w:p>
      <w:pPr>
        <w:spacing w:after="0" w:line="715" w:lineRule="exact"/>
        <w:rPr>
          <w:sz w:val="20"/>
          <w:szCs w:val="20"/>
          <w:color w:val="auto"/>
        </w:rPr>
      </w:pPr>
    </w:p>
    <w:p>
      <w:pPr>
        <w:sectPr>
          <w:pgSz w:w="11900" w:h="16838" w:orient="portrait"/>
          <w:cols w:equalWidth="0" w:num="2">
            <w:col w:w="6780" w:space="720"/>
            <w:col w:w="3800"/>
          </w:cols>
          <w:pgMar w:left="300" w:top="948" w:right="299" w:bottom="1440" w:gutter="0" w:footer="0" w:header="0"/>
          <w:type w:val="continuous"/>
        </w:sectPr>
      </w:pPr>
    </w:p>
    <w:p>
      <w:pPr>
        <w:jc w:val="both"/>
        <w:spacing w:after="0" w:line="302" w:lineRule="auto"/>
        <w:rPr>
          <w:sz w:val="20"/>
          <w:szCs w:val="20"/>
          <w:color w:val="auto"/>
        </w:rPr>
      </w:pPr>
      <w:r>
        <w:rPr>
          <w:rFonts w:ascii="Arial" w:cs="Arial" w:eastAsia="Arial" w:hAnsi="Arial"/>
          <w:sz w:val="13"/>
          <w:szCs w:val="13"/>
          <w:color w:val="auto"/>
        </w:rPr>
        <w:t>EBITDA and adjusted EBITDA are performance measures. EBITDA is earnings before interest, income tax, and depreciation and amortization expenses ("EBITDA"). Adjusted EBITDA begins with EBITDA but further excludes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 We review the non-GAAP adjusted EBITDA measure to evaluate our business and trends, measure our performance, prepare financial projections, allocate resources, and make strategic decisions.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400" w:type="dxa"/>
            <w:vAlign w:val="bottom"/>
          </w:tcPr>
          <w:p>
            <w:pPr>
              <w:spacing w:after="0"/>
              <w:rPr>
                <w:sz w:val="20"/>
                <w:szCs w:val="20"/>
                <w:color w:val="auto"/>
              </w:rPr>
            </w:pPr>
            <w:r>
              <w:rPr>
                <w:rFonts w:ascii="Arial" w:cs="Arial" w:eastAsia="Arial" w:hAnsi="Arial"/>
                <w:sz w:val="13"/>
                <w:szCs w:val="13"/>
                <w:color w:val="auto"/>
                <w:w w:val="96"/>
              </w:rPr>
              <w:t>The reconciliation of adjusted EBITDA to its most comparable GAAP measure is provided below:</w:t>
            </w:r>
          </w:p>
        </w:tc>
        <w:tc>
          <w:tcPr>
            <w:tcW w:w="2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5400" w:type="dxa"/>
            <w:vAlign w:val="bottom"/>
          </w:tcPr>
          <w:p>
            <w:pPr>
              <w:spacing w:after="0"/>
              <w:rPr>
                <w:sz w:val="20"/>
                <w:szCs w:val="20"/>
                <w:color w:val="auto"/>
              </w:rPr>
            </w:pPr>
            <w:r>
              <w:rPr>
                <w:rFonts w:ascii="Arial" w:cs="Arial" w:eastAsia="Arial" w:hAnsi="Arial"/>
                <w:sz w:val="13"/>
                <w:szCs w:val="13"/>
                <w:i w:val="1"/>
                <w:iCs w:val="1"/>
                <w:color w:val="auto"/>
              </w:rPr>
              <w:t>(in thousands)</w:t>
            </w:r>
          </w:p>
        </w:tc>
        <w:tc>
          <w:tcPr>
            <w:tcW w:w="22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3"/>
                <w:szCs w:val="13"/>
                <w:b w:val="1"/>
                <w:bCs w:val="1"/>
                <w:color w:val="auto"/>
              </w:rPr>
              <w:t>Three Months Ended June 30,</w:t>
            </w:r>
          </w:p>
        </w:tc>
        <w:tc>
          <w:tcPr>
            <w:tcW w:w="0" w:type="dxa"/>
            <w:vAlign w:val="bottom"/>
          </w:tcPr>
          <w:p>
            <w:pPr>
              <w:spacing w:after="0"/>
              <w:rPr>
                <w:sz w:val="1"/>
                <w:szCs w:val="1"/>
                <w:color w:val="auto"/>
              </w:rPr>
            </w:pPr>
          </w:p>
        </w:tc>
      </w:tr>
      <w:tr>
        <w:trPr>
          <w:trHeight w:val="159"/>
        </w:trPr>
        <w:tc>
          <w:tcPr>
            <w:tcW w:w="54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94"/>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74"/>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51"/>
        </w:trPr>
        <w:tc>
          <w:tcPr>
            <w:tcW w:w="5400" w:type="dxa"/>
            <w:vAlign w:val="bottom"/>
          </w:tcPr>
          <w:p>
            <w:pPr>
              <w:spacing w:after="0"/>
              <w:rPr>
                <w:sz w:val="20"/>
                <w:szCs w:val="20"/>
                <w:color w:val="auto"/>
              </w:rPr>
            </w:pPr>
            <w:r>
              <w:rPr>
                <w:rFonts w:ascii="Arial" w:cs="Arial" w:eastAsia="Arial" w:hAnsi="Arial"/>
                <w:sz w:val="13"/>
                <w:szCs w:val="13"/>
                <w:color w:val="auto"/>
              </w:rPr>
              <w:t>Net loss (income)</w:t>
            </w:r>
          </w:p>
        </w:tc>
        <w:tc>
          <w:tcPr>
            <w:tcW w:w="2260" w:type="dxa"/>
            <w:vAlign w:val="bottom"/>
          </w:tcPr>
          <w:p>
            <w:pPr>
              <w:spacing w:after="0"/>
              <w:rPr>
                <w:sz w:val="13"/>
                <w:szCs w:val="13"/>
                <w:color w:val="auto"/>
              </w:rPr>
            </w:pPr>
          </w:p>
        </w:tc>
        <w:tc>
          <w:tcPr>
            <w:tcW w:w="420" w:type="dxa"/>
            <w:vAlign w:val="bottom"/>
          </w:tcPr>
          <w:p>
            <w:pPr>
              <w:jc w:val="right"/>
              <w:ind w:right="274"/>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(612)</w:t>
            </w:r>
          </w:p>
        </w:tc>
        <w:tc>
          <w:tcPr>
            <w:tcW w:w="80" w:type="dxa"/>
            <w:vAlign w:val="bottom"/>
          </w:tcPr>
          <w:p>
            <w:pPr>
              <w:spacing w:after="0"/>
              <w:rPr>
                <w:sz w:val="13"/>
                <w:szCs w:val="13"/>
                <w:color w:val="auto"/>
              </w:rPr>
            </w:pPr>
          </w:p>
        </w:tc>
        <w:tc>
          <w:tcPr>
            <w:tcW w:w="420" w:type="dxa"/>
            <w:vAlign w:val="bottom"/>
          </w:tcPr>
          <w:p>
            <w:pPr>
              <w:jc w:val="right"/>
              <w:ind w:right="274"/>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287</w:t>
            </w:r>
          </w:p>
        </w:tc>
        <w:tc>
          <w:tcPr>
            <w:tcW w:w="0" w:type="dxa"/>
            <w:vAlign w:val="bottom"/>
          </w:tcPr>
          <w:p>
            <w:pPr>
              <w:spacing w:after="0"/>
              <w:rPr>
                <w:sz w:val="1"/>
                <w:szCs w:val="1"/>
                <w:color w:val="auto"/>
              </w:rPr>
            </w:pPr>
          </w:p>
        </w:tc>
      </w:tr>
      <w:tr>
        <w:trPr>
          <w:trHeight w:val="166"/>
        </w:trPr>
        <w:tc>
          <w:tcPr>
            <w:tcW w:w="5400" w:type="dxa"/>
            <w:vAlign w:val="bottom"/>
          </w:tcPr>
          <w:p>
            <w:pPr>
              <w:ind w:left="140"/>
              <w:spacing w:after="0"/>
              <w:rPr>
                <w:sz w:val="20"/>
                <w:szCs w:val="20"/>
                <w:color w:val="auto"/>
              </w:rPr>
            </w:pPr>
            <w:r>
              <w:rPr>
                <w:rFonts w:ascii="Arial" w:cs="Arial" w:eastAsia="Arial" w:hAnsi="Arial"/>
                <w:sz w:val="13"/>
                <w:szCs w:val="13"/>
                <w:color w:val="auto"/>
              </w:rPr>
              <w:t>Interest expense</w:t>
            </w:r>
          </w:p>
        </w:tc>
        <w:tc>
          <w:tcPr>
            <w:tcW w:w="2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17,765</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12,335</w:t>
            </w:r>
          </w:p>
        </w:tc>
        <w:tc>
          <w:tcPr>
            <w:tcW w:w="0" w:type="dxa"/>
            <w:vAlign w:val="bottom"/>
          </w:tcPr>
          <w:p>
            <w:pPr>
              <w:spacing w:after="0"/>
              <w:rPr>
                <w:sz w:val="1"/>
                <w:szCs w:val="1"/>
                <w:color w:val="auto"/>
              </w:rPr>
            </w:pPr>
          </w:p>
        </w:tc>
      </w:tr>
      <w:tr>
        <w:trPr>
          <w:trHeight w:val="171"/>
        </w:trPr>
        <w:tc>
          <w:tcPr>
            <w:tcW w:w="5400" w:type="dxa"/>
            <w:vAlign w:val="bottom"/>
          </w:tcPr>
          <w:p>
            <w:pPr>
              <w:ind w:left="140"/>
              <w:spacing w:after="0"/>
              <w:rPr>
                <w:sz w:val="20"/>
                <w:szCs w:val="20"/>
                <w:color w:val="auto"/>
              </w:rPr>
            </w:pPr>
            <w:r>
              <w:rPr>
                <w:rFonts w:ascii="Arial" w:cs="Arial" w:eastAsia="Arial" w:hAnsi="Arial"/>
                <w:sz w:val="13"/>
                <w:szCs w:val="13"/>
                <w:color w:val="auto"/>
              </w:rPr>
              <w:t>Income tax expense</w:t>
            </w:r>
          </w:p>
        </w:tc>
        <w:tc>
          <w:tcPr>
            <w:tcW w:w="2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2,355</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467</w:t>
            </w:r>
          </w:p>
        </w:tc>
        <w:tc>
          <w:tcPr>
            <w:tcW w:w="0" w:type="dxa"/>
            <w:vAlign w:val="bottom"/>
          </w:tcPr>
          <w:p>
            <w:pPr>
              <w:spacing w:after="0"/>
              <w:rPr>
                <w:sz w:val="1"/>
                <w:szCs w:val="1"/>
                <w:color w:val="auto"/>
              </w:rPr>
            </w:pPr>
          </w:p>
        </w:tc>
      </w:tr>
      <w:tr>
        <w:trPr>
          <w:trHeight w:val="169"/>
        </w:trPr>
        <w:tc>
          <w:tcPr>
            <w:tcW w:w="5400" w:type="dxa"/>
            <w:vAlign w:val="bottom"/>
          </w:tcPr>
          <w:p>
            <w:pPr>
              <w:ind w:left="140"/>
              <w:spacing w:after="0"/>
              <w:rPr>
                <w:sz w:val="20"/>
                <w:szCs w:val="20"/>
                <w:color w:val="auto"/>
              </w:rPr>
            </w:pPr>
            <w:r>
              <w:rPr>
                <w:rFonts w:ascii="Arial" w:cs="Arial" w:eastAsia="Arial" w:hAnsi="Arial"/>
                <w:sz w:val="13"/>
                <w:szCs w:val="13"/>
                <w:color w:val="auto"/>
              </w:rPr>
              <w:t>Depreciation and amortization</w:t>
            </w:r>
          </w:p>
        </w:tc>
        <w:tc>
          <w:tcPr>
            <w:tcW w:w="2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17,980</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17,505</w:t>
            </w:r>
          </w:p>
        </w:tc>
        <w:tc>
          <w:tcPr>
            <w:tcW w:w="0" w:type="dxa"/>
            <w:vAlign w:val="bottom"/>
          </w:tcPr>
          <w:p>
            <w:pPr>
              <w:spacing w:after="0"/>
              <w:rPr>
                <w:sz w:val="1"/>
                <w:szCs w:val="1"/>
                <w:color w:val="auto"/>
              </w:rPr>
            </w:pPr>
          </w:p>
        </w:tc>
      </w:tr>
      <w:tr>
        <w:trPr>
          <w:trHeight w:val="155"/>
        </w:trPr>
        <w:tc>
          <w:tcPr>
            <w:tcW w:w="5400" w:type="dxa"/>
            <w:vAlign w:val="bottom"/>
          </w:tcPr>
          <w:p>
            <w:pPr>
              <w:spacing w:after="0"/>
              <w:rPr>
                <w:sz w:val="20"/>
                <w:szCs w:val="20"/>
                <w:color w:val="auto"/>
              </w:rPr>
            </w:pPr>
            <w:r>
              <w:rPr>
                <w:rFonts w:ascii="Arial" w:cs="Arial" w:eastAsia="Arial" w:hAnsi="Arial"/>
                <w:sz w:val="13"/>
                <w:szCs w:val="13"/>
                <w:color w:val="auto"/>
              </w:rPr>
              <w:t>EBITDA</w:t>
            </w:r>
          </w:p>
        </w:tc>
        <w:tc>
          <w:tcPr>
            <w:tcW w:w="2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37,488</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30,594</w:t>
            </w:r>
          </w:p>
        </w:tc>
        <w:tc>
          <w:tcPr>
            <w:tcW w:w="0" w:type="dxa"/>
            <w:vAlign w:val="bottom"/>
          </w:tcPr>
          <w:p>
            <w:pPr>
              <w:spacing w:after="0"/>
              <w:rPr>
                <w:sz w:val="1"/>
                <w:szCs w:val="1"/>
                <w:color w:val="auto"/>
              </w:rPr>
            </w:pPr>
          </w:p>
        </w:tc>
      </w:tr>
      <w:tr>
        <w:trPr>
          <w:trHeight w:val="166"/>
        </w:trPr>
        <w:tc>
          <w:tcPr>
            <w:tcW w:w="5400" w:type="dxa"/>
            <w:vAlign w:val="bottom"/>
          </w:tcPr>
          <w:p>
            <w:pPr>
              <w:ind w:left="140"/>
              <w:spacing w:after="0"/>
              <w:rPr>
                <w:sz w:val="20"/>
                <w:szCs w:val="20"/>
                <w:color w:val="auto"/>
              </w:rPr>
            </w:pPr>
            <w:r>
              <w:rPr>
                <w:rFonts w:ascii="Arial" w:cs="Arial" w:eastAsia="Arial" w:hAnsi="Arial"/>
                <w:sz w:val="13"/>
                <w:szCs w:val="13"/>
                <w:color w:val="auto"/>
              </w:rPr>
              <w:t>Selling, general and administrative (non-recurring)</w:t>
            </w:r>
          </w:p>
        </w:tc>
        <w:tc>
          <w:tcPr>
            <w:tcW w:w="2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1,859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1,743</w:t>
            </w:r>
          </w:p>
        </w:tc>
        <w:tc>
          <w:tcPr>
            <w:tcW w:w="0" w:type="dxa"/>
            <w:vAlign w:val="bottom"/>
          </w:tcPr>
          <w:p>
            <w:pPr>
              <w:spacing w:after="0"/>
              <w:rPr>
                <w:sz w:val="1"/>
                <w:szCs w:val="1"/>
                <w:color w:val="auto"/>
              </w:rPr>
            </w:pPr>
          </w:p>
        </w:tc>
      </w:tr>
      <w:tr>
        <w:trPr>
          <w:trHeight w:val="169"/>
        </w:trPr>
        <w:tc>
          <w:tcPr>
            <w:tcW w:w="5400" w:type="dxa"/>
            <w:vAlign w:val="bottom"/>
          </w:tcPr>
          <w:p>
            <w:pPr>
              <w:ind w:left="140"/>
              <w:spacing w:after="0"/>
              <w:rPr>
                <w:sz w:val="20"/>
                <w:szCs w:val="20"/>
                <w:color w:val="auto"/>
              </w:rPr>
            </w:pPr>
            <w:r>
              <w:rPr>
                <w:rFonts w:ascii="Arial" w:cs="Arial" w:eastAsia="Arial" w:hAnsi="Arial"/>
                <w:sz w:val="13"/>
                <w:szCs w:val="13"/>
                <w:color w:val="auto"/>
              </w:rPr>
              <w:t>Non-cash stock-based compensation</w:t>
            </w:r>
          </w:p>
        </w:tc>
        <w:tc>
          <w:tcPr>
            <w:tcW w:w="2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1,746</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1,542</w:t>
            </w:r>
          </w:p>
        </w:tc>
        <w:tc>
          <w:tcPr>
            <w:tcW w:w="0" w:type="dxa"/>
            <w:vAlign w:val="bottom"/>
          </w:tcPr>
          <w:p>
            <w:pPr>
              <w:spacing w:after="0"/>
              <w:rPr>
                <w:sz w:val="1"/>
                <w:szCs w:val="1"/>
                <w:color w:val="auto"/>
              </w:rPr>
            </w:pPr>
          </w:p>
        </w:tc>
      </w:tr>
      <w:tr>
        <w:trPr>
          <w:trHeight w:val="155"/>
        </w:trPr>
        <w:tc>
          <w:tcPr>
            <w:tcW w:w="5400" w:type="dxa"/>
            <w:vAlign w:val="bottom"/>
          </w:tcPr>
          <w:p>
            <w:pPr>
              <w:spacing w:after="0"/>
              <w:rPr>
                <w:sz w:val="20"/>
                <w:szCs w:val="20"/>
                <w:color w:val="auto"/>
              </w:rPr>
            </w:pPr>
            <w:r>
              <w:rPr>
                <w:rFonts w:ascii="Arial" w:cs="Arial" w:eastAsia="Arial" w:hAnsi="Arial"/>
                <w:sz w:val="13"/>
                <w:szCs w:val="13"/>
                <w:b w:val="1"/>
                <w:bCs w:val="1"/>
                <w:color w:val="auto"/>
              </w:rPr>
              <w:t>Adjusted EBITDA</w:t>
            </w:r>
          </w:p>
        </w:tc>
        <w:tc>
          <w:tcPr>
            <w:tcW w:w="2260" w:type="dxa"/>
            <w:vAlign w:val="bottom"/>
          </w:tcPr>
          <w:p>
            <w:pPr>
              <w:spacing w:after="0"/>
              <w:rPr>
                <w:sz w:val="13"/>
                <w:szCs w:val="13"/>
                <w:color w:val="auto"/>
              </w:rPr>
            </w:pPr>
          </w:p>
        </w:tc>
        <w:tc>
          <w:tcPr>
            <w:tcW w:w="4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41,093</w:t>
            </w:r>
          </w:p>
        </w:tc>
        <w:tc>
          <w:tcPr>
            <w:tcW w:w="80" w:type="dxa"/>
            <w:vAlign w:val="bottom"/>
          </w:tcPr>
          <w:p>
            <w:pPr>
              <w:spacing w:after="0"/>
              <w:rPr>
                <w:sz w:val="13"/>
                <w:szCs w:val="13"/>
                <w:color w:val="auto"/>
              </w:rPr>
            </w:pPr>
          </w:p>
        </w:tc>
        <w:tc>
          <w:tcPr>
            <w:tcW w:w="4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33,879</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60" w:type="dxa"/>
            <w:vAlign w:val="bottom"/>
            <w:vMerge w:val="restart"/>
          </w:tcPr>
          <w:p>
            <w:pPr>
              <w:jc w:val="right"/>
              <w:ind w:right="1920"/>
              <w:spacing w:after="0"/>
              <w:rPr>
                <w:sz w:val="20"/>
                <w:szCs w:val="20"/>
                <w:color w:val="auto"/>
              </w:rPr>
            </w:pPr>
            <w:r>
              <w:rPr>
                <w:rFonts w:ascii="Arial" w:cs="Arial" w:eastAsia="Arial" w:hAnsi="Arial"/>
                <w:sz w:val="12"/>
                <w:szCs w:val="12"/>
                <w:color w:val="auto"/>
              </w:rPr>
              <w:t>3</w:t>
            </w: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40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48" w:right="29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3"/>
          <w:szCs w:val="13"/>
          <w:color w:val="auto"/>
        </w:rPr>
        <w:t>Further detail of certain of these adjustments, and where these items are recorded in our consolidated statements of operations, is provided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60" w:type="dxa"/>
            <w:vAlign w:val="bottom"/>
          </w:tcPr>
          <w:p>
            <w:pPr>
              <w:spacing w:after="0"/>
              <w:rPr>
                <w:sz w:val="20"/>
                <w:szCs w:val="20"/>
                <w:color w:val="auto"/>
              </w:rPr>
            </w:pPr>
            <w:r>
              <w:rPr>
                <w:rFonts w:ascii="Arial" w:cs="Arial" w:eastAsia="Arial" w:hAnsi="Arial"/>
                <w:sz w:val="13"/>
                <w:szCs w:val="13"/>
                <w:i w:val="1"/>
                <w:iCs w:val="1"/>
                <w:color w:val="auto"/>
              </w:rPr>
              <w:t>(in thousands)</w:t>
            </w:r>
          </w:p>
        </w:tc>
        <w:tc>
          <w:tcPr>
            <w:tcW w:w="42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3"/>
                <w:szCs w:val="13"/>
                <w:b w:val="1"/>
                <w:bCs w:val="1"/>
                <w:color w:val="auto"/>
              </w:rPr>
              <w:t>Three Months Ended June 30,</w:t>
            </w:r>
          </w:p>
        </w:tc>
      </w:tr>
      <w:tr>
        <w:trPr>
          <w:trHeight w:val="151"/>
        </w:trPr>
        <w:tc>
          <w:tcPr>
            <w:tcW w:w="76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94"/>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74"/>
              <w:spacing w:after="0"/>
              <w:rPr>
                <w:sz w:val="20"/>
                <w:szCs w:val="20"/>
                <w:color w:val="auto"/>
              </w:rPr>
            </w:pPr>
            <w:r>
              <w:rPr>
                <w:rFonts w:ascii="Arial" w:cs="Arial" w:eastAsia="Arial" w:hAnsi="Arial"/>
                <w:sz w:val="13"/>
                <w:szCs w:val="13"/>
                <w:b w:val="1"/>
                <w:bCs w:val="1"/>
                <w:color w:val="auto"/>
              </w:rPr>
              <w:t>2022</w:t>
            </w:r>
          </w:p>
        </w:tc>
      </w:tr>
      <w:tr>
        <w:trPr>
          <w:trHeight w:val="149"/>
        </w:trPr>
        <w:tc>
          <w:tcPr>
            <w:tcW w:w="7660" w:type="dxa"/>
            <w:vAlign w:val="bottom"/>
          </w:tcPr>
          <w:p>
            <w:pPr>
              <w:spacing w:after="0"/>
              <w:rPr>
                <w:sz w:val="20"/>
                <w:szCs w:val="20"/>
                <w:color w:val="auto"/>
              </w:rPr>
            </w:pPr>
            <w:r>
              <w:rPr>
                <w:rFonts w:ascii="Arial" w:cs="Arial" w:eastAsia="Arial" w:hAnsi="Arial"/>
                <w:sz w:val="13"/>
                <w:szCs w:val="13"/>
                <w:b w:val="1"/>
                <w:bCs w:val="1"/>
                <w:color w:val="auto"/>
              </w:rPr>
              <w:t>Selling, general and administrative expenses (non-recurring):</w:t>
            </w:r>
          </w:p>
        </w:tc>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66"/>
        </w:trPr>
        <w:tc>
          <w:tcPr>
            <w:tcW w:w="7660" w:type="dxa"/>
            <w:vAlign w:val="bottom"/>
          </w:tcPr>
          <w:p>
            <w:pPr>
              <w:ind w:left="140"/>
              <w:spacing w:after="0"/>
              <w:rPr>
                <w:sz w:val="20"/>
                <w:szCs w:val="20"/>
                <w:color w:val="auto"/>
              </w:rPr>
            </w:pPr>
            <w:r>
              <w:rPr>
                <w:rFonts w:ascii="Arial" w:cs="Arial" w:eastAsia="Arial" w:hAnsi="Arial"/>
                <w:sz w:val="13"/>
                <w:szCs w:val="13"/>
                <w:color w:val="auto"/>
              </w:rPr>
              <w:t>Certain legal fees</w:t>
            </w:r>
          </w:p>
        </w:tc>
        <w:tc>
          <w:tcPr>
            <w:tcW w:w="420" w:type="dxa"/>
            <w:vAlign w:val="bottom"/>
          </w:tcPr>
          <w:p>
            <w:pPr>
              <w:jc w:val="right"/>
              <w:ind w:right="274"/>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1,221</w:t>
            </w:r>
          </w:p>
        </w:tc>
        <w:tc>
          <w:tcPr>
            <w:tcW w:w="500" w:type="dxa"/>
            <w:vAlign w:val="bottom"/>
            <w:gridSpan w:val="2"/>
          </w:tcPr>
          <w:p>
            <w:pPr>
              <w:jc w:val="right"/>
              <w:ind w:right="274"/>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213</w:t>
            </w:r>
          </w:p>
        </w:tc>
      </w:tr>
      <w:tr>
        <w:trPr>
          <w:trHeight w:val="171"/>
        </w:trPr>
        <w:tc>
          <w:tcPr>
            <w:tcW w:w="7660" w:type="dxa"/>
            <w:vAlign w:val="bottom"/>
          </w:tcPr>
          <w:p>
            <w:pPr>
              <w:ind w:left="140"/>
              <w:spacing w:after="0"/>
              <w:rPr>
                <w:sz w:val="20"/>
                <w:szCs w:val="20"/>
                <w:color w:val="auto"/>
              </w:rPr>
            </w:pPr>
            <w:r>
              <w:rPr>
                <w:rFonts w:ascii="Arial" w:cs="Arial" w:eastAsia="Arial" w:hAnsi="Arial"/>
                <w:sz w:val="13"/>
                <w:szCs w:val="13"/>
                <w:color w:val="auto"/>
              </w:rPr>
              <w:t>Professional, accounting and consulting fees</w:t>
            </w: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509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373</w:t>
            </w:r>
          </w:p>
        </w:tc>
      </w:tr>
      <w:tr>
        <w:trPr>
          <w:trHeight w:val="167"/>
        </w:trPr>
        <w:tc>
          <w:tcPr>
            <w:tcW w:w="7660" w:type="dxa"/>
            <w:vAlign w:val="bottom"/>
          </w:tcPr>
          <w:p>
            <w:pPr>
              <w:ind w:left="140"/>
              <w:spacing w:after="0"/>
              <w:rPr>
                <w:sz w:val="20"/>
                <w:szCs w:val="20"/>
                <w:color w:val="auto"/>
              </w:rPr>
            </w:pPr>
            <w:r>
              <w:rPr>
                <w:rFonts w:ascii="Arial" w:cs="Arial" w:eastAsia="Arial" w:hAnsi="Arial"/>
                <w:sz w:val="13"/>
                <w:szCs w:val="13"/>
                <w:color w:val="auto"/>
              </w:rPr>
              <w:t>IRS penalty for 2014 and 2015</w:t>
            </w: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703</w:t>
            </w:r>
          </w:p>
        </w:tc>
      </w:tr>
      <w:tr>
        <w:trPr>
          <w:trHeight w:val="166"/>
        </w:trPr>
        <w:tc>
          <w:tcPr>
            <w:tcW w:w="7660" w:type="dxa"/>
            <w:vAlign w:val="bottom"/>
          </w:tcPr>
          <w:p>
            <w:pPr>
              <w:ind w:left="140"/>
              <w:spacing w:after="0"/>
              <w:rPr>
                <w:sz w:val="20"/>
                <w:szCs w:val="20"/>
                <w:color w:val="auto"/>
              </w:rPr>
            </w:pPr>
            <w:r>
              <w:rPr>
                <w:rFonts w:ascii="Arial" w:cs="Arial" w:eastAsia="Arial" w:hAnsi="Arial"/>
                <w:sz w:val="13"/>
                <w:szCs w:val="13"/>
                <w:color w:val="auto"/>
              </w:rPr>
              <w:t>General ledger transition expenses</w:t>
            </w: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96</w:t>
            </w:r>
          </w:p>
        </w:tc>
      </w:tr>
      <w:tr>
        <w:trPr>
          <w:trHeight w:val="169"/>
        </w:trPr>
        <w:tc>
          <w:tcPr>
            <w:tcW w:w="7660" w:type="dxa"/>
            <w:vAlign w:val="bottom"/>
          </w:tcPr>
          <w:p>
            <w:pPr>
              <w:ind w:left="140"/>
              <w:spacing w:after="0"/>
              <w:rPr>
                <w:sz w:val="20"/>
                <w:szCs w:val="20"/>
                <w:color w:val="auto"/>
              </w:rPr>
            </w:pPr>
            <w:r>
              <w:rPr>
                <w:rFonts w:ascii="Arial" w:cs="Arial" w:eastAsia="Arial" w:hAnsi="Arial"/>
                <w:sz w:val="13"/>
                <w:szCs w:val="13"/>
                <w:color w:val="auto"/>
              </w:rPr>
              <w:t>Other expenses</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358</w:t>
            </w:r>
          </w:p>
        </w:tc>
      </w:tr>
      <w:tr>
        <w:trPr>
          <w:trHeight w:val="159"/>
        </w:trPr>
        <w:tc>
          <w:tcPr>
            <w:tcW w:w="7660" w:type="dxa"/>
            <w:vAlign w:val="bottom"/>
          </w:tcPr>
          <w:p>
            <w:pPr>
              <w:spacing w:after="0"/>
              <w:rPr>
                <w:sz w:val="13"/>
                <w:szCs w:val="13"/>
                <w:color w:val="auto"/>
              </w:rPr>
            </w:pPr>
          </w:p>
        </w:tc>
        <w:tc>
          <w:tcPr>
            <w:tcW w:w="4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1,859</w:t>
            </w:r>
          </w:p>
        </w:tc>
        <w:tc>
          <w:tcPr>
            <w:tcW w:w="80" w:type="dxa"/>
            <w:vAlign w:val="bottom"/>
          </w:tcPr>
          <w:p>
            <w:pPr>
              <w:spacing w:after="0"/>
              <w:rPr>
                <w:sz w:val="13"/>
                <w:szCs w:val="13"/>
                <w:color w:val="auto"/>
              </w:rPr>
            </w:pPr>
          </w:p>
        </w:tc>
        <w:tc>
          <w:tcPr>
            <w:tcW w:w="4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1,743</w:t>
            </w:r>
          </w:p>
        </w:tc>
      </w:tr>
      <w:tr>
        <w:trPr>
          <w:trHeight w:val="20"/>
        </w:trPr>
        <w:tc>
          <w:tcPr>
            <w:tcW w:w="7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Priority does not provide a reconciliation of forward-looking non-GAAP financial measures to their comparable GAAP financial measures because it could not do so without unreasonable effort due to the unavailability of the information needed to calculate reconciling items and due to the variability, complexity and limited visibility of the adjusting items that would be excluded from the non-GAAP financial measures in future periods. When planning, forecasting and analyzing future periods, the Company does so primarily on a non-GAAP basis without preparing a GAAP analysis as that would require estimates for various cash and non-cash reconciling items that would be difficult to predict with reasonable accuracy. For example, stock-based compensation expense would be difficult to estimate because it depends on the Company's future hiring and retention needs, as well as the future fair market value of the Company's common stock, all of which are difficult to predict and subject to constant change. As a result, the Company does not believe that a GAAP reconciliation would provide meaningful supplemental information about the Company's outlook.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0"/>
          </w:cols>
          <w:pgMar w:left="300" w:top="660" w:right="299" w:bottom="1440" w:gutter="0" w:footer="0" w:header="0"/>
        </w:sectPr>
      </w:pPr>
    </w:p>
    <w:bookmarkStart w:id="7" w:name="page8"/>
    <w:bookmarkEnd w:id="7"/>
    <w:p>
      <w:pPr>
        <w:jc w:val="center"/>
        <w:spacing w:after="0"/>
        <w:rPr>
          <w:sz w:val="20"/>
          <w:szCs w:val="20"/>
          <w:color w:val="auto"/>
        </w:rPr>
      </w:pPr>
      <w:r>
        <w:rPr>
          <w:rFonts w:ascii="Arial" w:cs="Arial" w:eastAsia="Arial" w:hAnsi="Arial"/>
          <w:sz w:val="13"/>
          <w:szCs w:val="13"/>
          <w:b w:val="1"/>
          <w:bCs w:val="1"/>
          <w:u w:val="single" w:color="auto"/>
          <w:color w:val="auto"/>
        </w:rPr>
        <w:t>About Priority Technology Holdings, Inc.</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Priority is a payments technology company that leverages a purpose-built platform to enable clients to collect, store and send money, operating at scale. Priority helps its customers take and make payments while managing business and consumer operating accounts to monetize payment networks. Priority's tailored, agile technology powers high-value payments products bolstered by industry-leading personalized support, and delivers value to its partners by leveraging its payments and embedded finance technology to deliver solutions that power modern commerce. The Company's approach is simple – Priority handles the complexities of payments and embedded finance to free its partners to focus on their core business objectives. Priority's solutions are offered via API or proprietary applications with nationwide money transmission licenses, providing end-to-end operational support including automated risk management and underwriting, full compliance and industry leading customer service. Additional information can be found at www.prioritycommerce.com.</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0A0A0A"/>
        </w:rPr>
        <w:t>Forward-Looking Statements</w:t>
      </w:r>
    </w:p>
    <w:p>
      <w:pPr>
        <w:spacing w:after="0" w:line="170" w:lineRule="exact"/>
        <w:rPr>
          <w:sz w:val="20"/>
          <w:szCs w:val="20"/>
          <w:color w:val="auto"/>
        </w:rPr>
      </w:pPr>
    </w:p>
    <w:p>
      <w:pPr>
        <w:jc w:val="both"/>
        <w:spacing w:after="0" w:line="328" w:lineRule="auto"/>
        <w:rPr>
          <w:sz w:val="20"/>
          <w:szCs w:val="20"/>
          <w:color w:val="auto"/>
        </w:rPr>
      </w:pPr>
      <w:r>
        <w:rPr>
          <w:rFonts w:ascii="Arial" w:cs="Arial" w:eastAsia="Arial" w:hAnsi="Arial"/>
          <w:sz w:val="12"/>
          <w:szCs w:val="12"/>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"outlook" or words of similar meaning. These forward-looking statements include, but are not limited to, our 2023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Our actual results could differ materially, and potentially adversely, from those discussed or implied herein.</w:t>
      </w:r>
    </w:p>
    <w:p>
      <w:pPr>
        <w:spacing w:after="0" w:line="119" w:lineRule="exact"/>
        <w:rPr>
          <w:sz w:val="20"/>
          <w:szCs w:val="20"/>
          <w:color w:val="auto"/>
        </w:rPr>
      </w:pPr>
    </w:p>
    <w:p>
      <w:pPr>
        <w:jc w:val="both"/>
        <w:spacing w:after="0" w:line="337" w:lineRule="auto"/>
        <w:rPr>
          <w:sz w:val="20"/>
          <w:szCs w:val="20"/>
          <w:color w:val="auto"/>
        </w:rPr>
      </w:pPr>
      <w:r>
        <w:rPr>
          <w:rFonts w:ascii="Arial" w:cs="Arial" w:eastAsia="Arial" w:hAnsi="Arial"/>
          <w:sz w:val="12"/>
          <w:szCs w:val="12"/>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23, 2023. These filings are available online at www.sec.gov or www.prioritycommerce.com.</w:t>
      </w:r>
    </w:p>
    <w:p>
      <w:pPr>
        <w:spacing w:after="0" w:line="112" w:lineRule="exact"/>
        <w:rPr>
          <w:sz w:val="20"/>
          <w:szCs w:val="20"/>
          <w:color w:val="auto"/>
        </w:rPr>
      </w:pPr>
    </w:p>
    <w:p>
      <w:pPr>
        <w:jc w:val="both"/>
        <w:spacing w:after="0" w:line="328" w:lineRule="auto"/>
        <w:rPr>
          <w:sz w:val="20"/>
          <w:szCs w:val="20"/>
          <w:color w:val="auto"/>
        </w:rPr>
      </w:pPr>
      <w:r>
        <w:rPr>
          <w:rFonts w:ascii="Arial" w:cs="Arial" w:eastAsia="Arial" w:hAnsi="Arial"/>
          <w:sz w:val="12"/>
          <w:szCs w:val="12"/>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638" w:right="299" w:bottom="1440" w:gutter="0" w:footer="0" w:header="0"/>
        </w:sectPr>
      </w:pPr>
    </w:p>
    <w:bookmarkStart w:id="8" w:name="page9"/>
    <w:bookmarkEnd w:id="8"/>
    <w:p>
      <w:pPr>
        <w:jc w:val="center"/>
        <w:spacing w:after="0"/>
        <w:rPr>
          <w:sz w:val="20"/>
          <w:szCs w:val="20"/>
          <w:color w:val="auto"/>
        </w:rPr>
      </w:pPr>
      <w:r>
        <w:rPr>
          <w:rFonts w:ascii="Arial" w:cs="Arial" w:eastAsia="Arial" w:hAnsi="Arial"/>
          <w:sz w:val="13"/>
          <w:szCs w:val="13"/>
          <w:b w:val="1"/>
          <w:bCs w:val="1"/>
          <w:color w:val="auto"/>
        </w:rPr>
        <w:t>Priority Technology Holdings,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820" w:type="dxa"/>
            <w:vAlign w:val="bottom"/>
          </w:tcPr>
          <w:p>
            <w:pPr>
              <w:spacing w:after="0"/>
              <w:rPr>
                <w:sz w:val="20"/>
                <w:szCs w:val="20"/>
                <w:color w:val="auto"/>
              </w:rPr>
            </w:pPr>
            <w:r>
              <w:rPr>
                <w:rFonts w:ascii="Arial" w:cs="Arial" w:eastAsia="Arial" w:hAnsi="Arial"/>
                <w:sz w:val="12"/>
                <w:szCs w:val="12"/>
                <w:i w:val="1"/>
                <w:iCs w:val="1"/>
                <w:color w:val="auto"/>
              </w:rPr>
              <w:t>(in thousands, except per share amounts)</w:t>
            </w:r>
          </w:p>
        </w:tc>
        <w:tc>
          <w:tcPr>
            <w:tcW w:w="36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2"/>
                <w:szCs w:val="12"/>
                <w:b w:val="1"/>
                <w:bCs w:val="1"/>
                <w:color w:val="auto"/>
              </w:rPr>
              <w:t>Three Months Ended June 30,</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Six Months Ended June 30,</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8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242424"/>
              </w:rPr>
              <w:t>2023</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0"/>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w w:val="82"/>
              </w:rPr>
              <w:t>2022</w:t>
            </w:r>
          </w:p>
        </w:tc>
        <w:tc>
          <w:tcPr>
            <w:tcW w:w="0" w:type="dxa"/>
            <w:vAlign w:val="bottom"/>
          </w:tcPr>
          <w:p>
            <w:pPr>
              <w:spacing w:after="0"/>
              <w:rPr>
                <w:sz w:val="1"/>
                <w:szCs w:val="1"/>
                <w:color w:val="auto"/>
              </w:rPr>
            </w:pPr>
          </w:p>
        </w:tc>
      </w:tr>
      <w:tr>
        <w:trPr>
          <w:trHeight w:val="143"/>
        </w:trPr>
        <w:tc>
          <w:tcPr>
            <w:tcW w:w="4820" w:type="dxa"/>
            <w:vAlign w:val="bottom"/>
          </w:tcPr>
          <w:p>
            <w:pPr>
              <w:spacing w:after="0"/>
              <w:rPr>
                <w:sz w:val="20"/>
                <w:szCs w:val="20"/>
                <w:color w:val="auto"/>
              </w:rPr>
            </w:pPr>
            <w:r>
              <w:rPr>
                <w:rFonts w:ascii="Arial" w:cs="Arial" w:eastAsia="Arial" w:hAnsi="Arial"/>
                <w:sz w:val="12"/>
                <w:szCs w:val="12"/>
                <w:b w:val="1"/>
                <w:bCs w:val="1"/>
                <w:color w:val="auto"/>
              </w:rPr>
              <w:t>Revenues</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2"/>
                <w:szCs w:val="12"/>
                <w:color w:val="auto"/>
              </w:rPr>
              <w:t>182,290</w:t>
            </w:r>
          </w:p>
        </w:tc>
        <w:tc>
          <w:tcPr>
            <w:tcW w:w="4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40"/>
              <w:spacing w:after="0"/>
              <w:rPr>
                <w:sz w:val="20"/>
                <w:szCs w:val="20"/>
                <w:color w:val="auto"/>
              </w:rPr>
            </w:pPr>
            <w:r>
              <w:rPr>
                <w:rFonts w:ascii="Arial" w:cs="Arial" w:eastAsia="Arial" w:hAnsi="Arial"/>
                <w:sz w:val="12"/>
                <w:szCs w:val="12"/>
                <w:color w:val="auto"/>
              </w:rPr>
              <w:t>166,430</w:t>
            </w:r>
          </w:p>
        </w:tc>
        <w:tc>
          <w:tcPr>
            <w:tcW w:w="4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40"/>
              <w:spacing w:after="0"/>
              <w:rPr>
                <w:sz w:val="20"/>
                <w:szCs w:val="20"/>
                <w:color w:val="auto"/>
              </w:rPr>
            </w:pPr>
            <w:r>
              <w:rPr>
                <w:rFonts w:ascii="Arial" w:cs="Arial" w:eastAsia="Arial" w:hAnsi="Arial"/>
                <w:sz w:val="12"/>
                <w:szCs w:val="12"/>
                <w:color w:val="auto"/>
              </w:rPr>
              <w:t>367,318</w:t>
            </w:r>
          </w:p>
        </w:tc>
        <w:tc>
          <w:tcPr>
            <w:tcW w:w="740" w:type="dxa"/>
            <w:vAlign w:val="bottom"/>
            <w:gridSpan w:val="2"/>
          </w:tcPr>
          <w:p>
            <w:pPr>
              <w:jc w:val="right"/>
              <w:ind w:right="58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319,669</w:t>
            </w:r>
          </w:p>
        </w:tc>
        <w:tc>
          <w:tcPr>
            <w:tcW w:w="0" w:type="dxa"/>
            <w:vAlign w:val="bottom"/>
          </w:tcPr>
          <w:p>
            <w:pPr>
              <w:spacing w:after="0"/>
              <w:rPr>
                <w:sz w:val="1"/>
                <w:szCs w:val="1"/>
                <w:color w:val="auto"/>
              </w:rPr>
            </w:pPr>
          </w:p>
        </w:tc>
      </w:tr>
      <w:tr>
        <w:trPr>
          <w:trHeight w:val="137"/>
        </w:trPr>
        <w:tc>
          <w:tcPr>
            <w:tcW w:w="4820" w:type="dxa"/>
            <w:vAlign w:val="bottom"/>
          </w:tcPr>
          <w:p>
            <w:pPr>
              <w:spacing w:after="0" w:line="137" w:lineRule="exact"/>
              <w:rPr>
                <w:sz w:val="20"/>
                <w:szCs w:val="20"/>
                <w:color w:val="auto"/>
              </w:rPr>
            </w:pPr>
            <w:r>
              <w:rPr>
                <w:rFonts w:ascii="Arial" w:cs="Arial" w:eastAsia="Arial" w:hAnsi="Arial"/>
                <w:sz w:val="12"/>
                <w:szCs w:val="12"/>
                <w:b w:val="1"/>
                <w:bCs w:val="1"/>
                <w:color w:val="auto"/>
              </w:rPr>
              <w:t>Operating expenses</w:t>
            </w:r>
          </w:p>
        </w:tc>
        <w:tc>
          <w:tcPr>
            <w:tcW w:w="3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820" w:type="dxa"/>
            <w:vAlign w:val="bottom"/>
          </w:tcPr>
          <w:p>
            <w:pPr>
              <w:ind w:left="80"/>
              <w:spacing w:after="0"/>
              <w:rPr>
                <w:sz w:val="20"/>
                <w:szCs w:val="20"/>
                <w:color w:val="auto"/>
              </w:rPr>
            </w:pPr>
            <w:r>
              <w:rPr>
                <w:rFonts w:ascii="Arial" w:cs="Arial" w:eastAsia="Arial" w:hAnsi="Arial"/>
                <w:sz w:val="12"/>
                <w:szCs w:val="12"/>
                <w:color w:val="auto"/>
              </w:rPr>
              <w:t>Cost of revenue (excludes depreciation and amortization)</w:t>
            </w:r>
          </w:p>
        </w:tc>
        <w:tc>
          <w:tcPr>
            <w:tcW w:w="360" w:type="dxa"/>
            <w:vAlign w:val="bottom"/>
          </w:tcPr>
          <w:p>
            <w:pPr>
              <w:spacing w:after="0"/>
              <w:rPr>
                <w:sz w:val="13"/>
                <w:szCs w:val="13"/>
                <w:color w:val="auto"/>
              </w:rPr>
            </w:pPr>
          </w:p>
        </w:tc>
        <w:tc>
          <w:tcPr>
            <w:tcW w:w="1180" w:type="dxa"/>
            <w:vAlign w:val="bottom"/>
          </w:tcPr>
          <w:p>
            <w:pPr>
              <w:jc w:val="right"/>
              <w:ind w:right="40"/>
              <w:spacing w:after="0"/>
              <w:rPr>
                <w:sz w:val="20"/>
                <w:szCs w:val="20"/>
                <w:color w:val="auto"/>
              </w:rPr>
            </w:pPr>
            <w:r>
              <w:rPr>
                <w:rFonts w:ascii="Arial" w:cs="Arial" w:eastAsia="Arial" w:hAnsi="Arial"/>
                <w:sz w:val="12"/>
                <w:szCs w:val="12"/>
                <w:color w:val="auto"/>
              </w:rPr>
              <w:t>115,281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ind w:right="40"/>
              <w:spacing w:after="0"/>
              <w:rPr>
                <w:sz w:val="20"/>
                <w:szCs w:val="20"/>
                <w:color w:val="auto"/>
              </w:rPr>
            </w:pPr>
            <w:r>
              <w:rPr>
                <w:rFonts w:ascii="Arial" w:cs="Arial" w:eastAsia="Arial" w:hAnsi="Arial"/>
                <w:sz w:val="12"/>
                <w:szCs w:val="12"/>
                <w:color w:val="auto"/>
              </w:rPr>
              <w:t>110,749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40"/>
              <w:spacing w:after="0"/>
              <w:rPr>
                <w:sz w:val="20"/>
                <w:szCs w:val="20"/>
                <w:color w:val="auto"/>
              </w:rPr>
            </w:pPr>
            <w:r>
              <w:rPr>
                <w:rFonts w:ascii="Arial" w:cs="Arial" w:eastAsia="Arial" w:hAnsi="Arial"/>
                <w:sz w:val="12"/>
                <w:szCs w:val="12"/>
                <w:color w:val="auto"/>
              </w:rPr>
              <w:t>237,247</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212,229</w:t>
            </w: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Arial" w:cs="Arial" w:eastAsia="Arial" w:hAnsi="Arial"/>
                <w:sz w:val="12"/>
                <w:szCs w:val="12"/>
                <w:color w:val="auto"/>
              </w:rPr>
              <w:t>Salary and employee benefits</w:t>
            </w:r>
          </w:p>
        </w:tc>
        <w:tc>
          <w:tcPr>
            <w:tcW w:w="360" w:type="dxa"/>
            <w:vAlign w:val="bottom"/>
          </w:tcPr>
          <w:p>
            <w:pPr>
              <w:spacing w:after="0"/>
              <w:rPr>
                <w:sz w:val="13"/>
                <w:szCs w:val="13"/>
                <w:color w:val="auto"/>
              </w:rPr>
            </w:pPr>
          </w:p>
        </w:tc>
        <w:tc>
          <w:tcPr>
            <w:tcW w:w="1180" w:type="dxa"/>
            <w:vAlign w:val="bottom"/>
          </w:tcPr>
          <w:p>
            <w:pPr>
              <w:jc w:val="right"/>
              <w:ind w:right="40"/>
              <w:spacing w:after="0"/>
              <w:rPr>
                <w:sz w:val="20"/>
                <w:szCs w:val="20"/>
                <w:color w:val="auto"/>
              </w:rPr>
            </w:pPr>
            <w:r>
              <w:rPr>
                <w:rFonts w:ascii="Arial" w:cs="Arial" w:eastAsia="Arial" w:hAnsi="Arial"/>
                <w:sz w:val="12"/>
                <w:szCs w:val="12"/>
                <w:color w:val="auto"/>
              </w:rPr>
              <w:t>19,109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ind w:right="40"/>
              <w:spacing w:after="0"/>
              <w:rPr>
                <w:sz w:val="20"/>
                <w:szCs w:val="20"/>
                <w:color w:val="auto"/>
              </w:rPr>
            </w:pPr>
            <w:r>
              <w:rPr>
                <w:rFonts w:ascii="Arial" w:cs="Arial" w:eastAsia="Arial" w:hAnsi="Arial"/>
                <w:sz w:val="12"/>
                <w:szCs w:val="12"/>
                <w:color w:val="auto"/>
              </w:rPr>
              <w:t>15,770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40"/>
              <w:spacing w:after="0"/>
              <w:rPr>
                <w:sz w:val="20"/>
                <w:szCs w:val="20"/>
                <w:color w:val="auto"/>
              </w:rPr>
            </w:pPr>
            <w:r>
              <w:rPr>
                <w:rFonts w:ascii="Arial" w:cs="Arial" w:eastAsia="Arial" w:hAnsi="Arial"/>
                <w:sz w:val="12"/>
                <w:szCs w:val="12"/>
                <w:color w:val="auto"/>
              </w:rPr>
              <w:t>38,157</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31,847</w:t>
            </w: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Arial" w:cs="Arial" w:eastAsia="Arial" w:hAnsi="Arial"/>
                <w:sz w:val="12"/>
                <w:szCs w:val="12"/>
                <w:color w:val="auto"/>
              </w:rPr>
              <w:t>Depreciation and amortization</w:t>
            </w:r>
          </w:p>
        </w:tc>
        <w:tc>
          <w:tcPr>
            <w:tcW w:w="360" w:type="dxa"/>
            <w:vAlign w:val="bottom"/>
          </w:tcPr>
          <w:p>
            <w:pPr>
              <w:spacing w:after="0"/>
              <w:rPr>
                <w:sz w:val="13"/>
                <w:szCs w:val="13"/>
                <w:color w:val="auto"/>
              </w:rPr>
            </w:pPr>
          </w:p>
        </w:tc>
        <w:tc>
          <w:tcPr>
            <w:tcW w:w="1180" w:type="dxa"/>
            <w:vAlign w:val="bottom"/>
          </w:tcPr>
          <w:p>
            <w:pPr>
              <w:jc w:val="right"/>
              <w:ind w:right="40"/>
              <w:spacing w:after="0"/>
              <w:rPr>
                <w:sz w:val="20"/>
                <w:szCs w:val="20"/>
                <w:color w:val="auto"/>
              </w:rPr>
            </w:pPr>
            <w:r>
              <w:rPr>
                <w:rFonts w:ascii="Arial" w:cs="Arial" w:eastAsia="Arial" w:hAnsi="Arial"/>
                <w:sz w:val="12"/>
                <w:szCs w:val="12"/>
                <w:color w:val="auto"/>
              </w:rPr>
              <w:t>17,980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ind w:right="40"/>
              <w:spacing w:after="0"/>
              <w:rPr>
                <w:sz w:val="20"/>
                <w:szCs w:val="20"/>
                <w:color w:val="auto"/>
              </w:rPr>
            </w:pPr>
            <w:r>
              <w:rPr>
                <w:rFonts w:ascii="Arial" w:cs="Arial" w:eastAsia="Arial" w:hAnsi="Arial"/>
                <w:sz w:val="12"/>
                <w:szCs w:val="12"/>
                <w:color w:val="auto"/>
              </w:rPr>
              <w:t>17,505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40"/>
              <w:spacing w:after="0"/>
              <w:rPr>
                <w:sz w:val="20"/>
                <w:szCs w:val="20"/>
                <w:color w:val="auto"/>
              </w:rPr>
            </w:pPr>
            <w:r>
              <w:rPr>
                <w:rFonts w:ascii="Arial" w:cs="Arial" w:eastAsia="Arial" w:hAnsi="Arial"/>
                <w:sz w:val="12"/>
                <w:szCs w:val="12"/>
                <w:color w:val="auto"/>
              </w:rPr>
              <w:t>36,028</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34,858</w:t>
            </w:r>
          </w:p>
        </w:tc>
        <w:tc>
          <w:tcPr>
            <w:tcW w:w="0" w:type="dxa"/>
            <w:vAlign w:val="bottom"/>
          </w:tcPr>
          <w:p>
            <w:pPr>
              <w:spacing w:after="0"/>
              <w:rPr>
                <w:sz w:val="1"/>
                <w:szCs w:val="1"/>
                <w:color w:val="auto"/>
              </w:rPr>
            </w:pPr>
          </w:p>
        </w:tc>
      </w:tr>
      <w:tr>
        <w:trPr>
          <w:trHeight w:val="162"/>
        </w:trPr>
        <w:tc>
          <w:tcPr>
            <w:tcW w:w="4820" w:type="dxa"/>
            <w:vAlign w:val="bottom"/>
          </w:tcPr>
          <w:p>
            <w:pPr>
              <w:ind w:left="80"/>
              <w:spacing w:after="0"/>
              <w:rPr>
                <w:sz w:val="20"/>
                <w:szCs w:val="20"/>
                <w:color w:val="auto"/>
              </w:rPr>
            </w:pPr>
            <w:r>
              <w:rPr>
                <w:rFonts w:ascii="Arial" w:cs="Arial" w:eastAsia="Arial" w:hAnsi="Arial"/>
                <w:sz w:val="12"/>
                <w:szCs w:val="12"/>
                <w:color w:val="auto"/>
              </w:rPr>
              <w:t>Selling, general and administrative</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10,787</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9,346</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19,905</w:t>
            </w: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16,849</w:t>
            </w:r>
          </w:p>
        </w:tc>
        <w:tc>
          <w:tcPr>
            <w:tcW w:w="0" w:type="dxa"/>
            <w:vAlign w:val="bottom"/>
          </w:tcPr>
          <w:p>
            <w:pPr>
              <w:spacing w:after="0"/>
              <w:rPr>
                <w:sz w:val="1"/>
                <w:szCs w:val="1"/>
                <w:color w:val="auto"/>
              </w:rPr>
            </w:pPr>
          </w:p>
        </w:tc>
      </w:tr>
      <w:tr>
        <w:trPr>
          <w:trHeight w:val="142"/>
        </w:trPr>
        <w:tc>
          <w:tcPr>
            <w:tcW w:w="4820" w:type="dxa"/>
            <w:vAlign w:val="bottom"/>
          </w:tcPr>
          <w:p>
            <w:pPr>
              <w:ind w:left="160"/>
              <w:spacing w:after="0"/>
              <w:rPr>
                <w:sz w:val="20"/>
                <w:szCs w:val="20"/>
                <w:color w:val="auto"/>
              </w:rPr>
            </w:pPr>
            <w:r>
              <w:rPr>
                <w:rFonts w:ascii="Arial" w:cs="Arial" w:eastAsia="Arial" w:hAnsi="Arial"/>
                <w:sz w:val="12"/>
                <w:szCs w:val="12"/>
                <w:color w:val="auto"/>
              </w:rPr>
              <w:t>Total operating expenses</w:t>
            </w: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163,157</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153,370</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331,337</w:t>
            </w:r>
          </w:p>
        </w:tc>
        <w:tc>
          <w:tcPr>
            <w:tcW w:w="1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295,783</w:t>
            </w:r>
          </w:p>
        </w:tc>
        <w:tc>
          <w:tcPr>
            <w:tcW w:w="0" w:type="dxa"/>
            <w:vAlign w:val="bottom"/>
          </w:tcPr>
          <w:p>
            <w:pPr>
              <w:spacing w:after="0"/>
              <w:rPr>
                <w:sz w:val="1"/>
                <w:szCs w:val="1"/>
                <w:color w:val="auto"/>
              </w:rPr>
            </w:pPr>
          </w:p>
        </w:tc>
      </w:tr>
      <w:tr>
        <w:trPr>
          <w:trHeight w:val="151"/>
        </w:trPr>
        <w:tc>
          <w:tcPr>
            <w:tcW w:w="4820" w:type="dxa"/>
            <w:vAlign w:val="bottom"/>
          </w:tcPr>
          <w:p>
            <w:pPr>
              <w:spacing w:after="0"/>
              <w:rPr>
                <w:sz w:val="20"/>
                <w:szCs w:val="20"/>
                <w:color w:val="auto"/>
              </w:rPr>
            </w:pPr>
            <w:r>
              <w:rPr>
                <w:rFonts w:ascii="Arial" w:cs="Arial" w:eastAsia="Arial" w:hAnsi="Arial"/>
                <w:sz w:val="12"/>
                <w:szCs w:val="12"/>
                <w:b w:val="1"/>
                <w:bCs w:val="1"/>
                <w:color w:val="auto"/>
              </w:rPr>
              <w:t>Operating income</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19,133</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13,060</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35,981</w:t>
            </w:r>
          </w:p>
        </w:tc>
        <w:tc>
          <w:tcPr>
            <w:tcW w:w="1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23,886</w:t>
            </w:r>
          </w:p>
        </w:tc>
        <w:tc>
          <w:tcPr>
            <w:tcW w:w="0" w:type="dxa"/>
            <w:vAlign w:val="bottom"/>
          </w:tcPr>
          <w:p>
            <w:pPr>
              <w:spacing w:after="0"/>
              <w:rPr>
                <w:sz w:val="1"/>
                <w:szCs w:val="1"/>
                <w:color w:val="auto"/>
              </w:rPr>
            </w:pPr>
          </w:p>
        </w:tc>
      </w:tr>
      <w:tr>
        <w:trPr>
          <w:trHeight w:val="137"/>
        </w:trPr>
        <w:tc>
          <w:tcPr>
            <w:tcW w:w="4820" w:type="dxa"/>
            <w:vAlign w:val="bottom"/>
          </w:tcPr>
          <w:p>
            <w:pPr>
              <w:spacing w:after="0" w:line="137" w:lineRule="exact"/>
              <w:rPr>
                <w:sz w:val="20"/>
                <w:szCs w:val="20"/>
                <w:color w:val="auto"/>
              </w:rPr>
            </w:pPr>
            <w:r>
              <w:rPr>
                <w:rFonts w:ascii="Arial" w:cs="Arial" w:eastAsia="Arial" w:hAnsi="Arial"/>
                <w:sz w:val="12"/>
                <w:szCs w:val="12"/>
                <w:b w:val="1"/>
                <w:bCs w:val="1"/>
                <w:color w:val="auto"/>
              </w:rPr>
              <w:t>Other (expense) income</w:t>
            </w: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820" w:type="dxa"/>
            <w:vAlign w:val="bottom"/>
          </w:tcPr>
          <w:p>
            <w:pPr>
              <w:ind w:left="80"/>
              <w:spacing w:after="0"/>
              <w:rPr>
                <w:sz w:val="20"/>
                <w:szCs w:val="20"/>
                <w:color w:val="auto"/>
              </w:rPr>
            </w:pPr>
            <w:r>
              <w:rPr>
                <w:rFonts w:ascii="Arial" w:cs="Arial" w:eastAsia="Arial" w:hAnsi="Arial"/>
                <w:sz w:val="12"/>
                <w:szCs w:val="12"/>
                <w:color w:val="auto"/>
              </w:rPr>
              <w:t>Interest expense</w:t>
            </w:r>
          </w:p>
        </w:tc>
        <w:tc>
          <w:tcPr>
            <w:tcW w:w="360" w:type="dxa"/>
            <w:vAlign w:val="bottom"/>
          </w:tcPr>
          <w:p>
            <w:pPr>
              <w:spacing w:after="0"/>
              <w:rPr>
                <w:sz w:val="13"/>
                <w:szCs w:val="13"/>
                <w:color w:val="auto"/>
              </w:rPr>
            </w:pPr>
          </w:p>
        </w:tc>
        <w:tc>
          <w:tcPr>
            <w:tcW w:w="1180" w:type="dxa"/>
            <w:vAlign w:val="bottom"/>
          </w:tcPr>
          <w:p>
            <w:pPr>
              <w:jc w:val="right"/>
              <w:ind w:right="40"/>
              <w:spacing w:after="0"/>
              <w:rPr>
                <w:sz w:val="20"/>
                <w:szCs w:val="20"/>
                <w:color w:val="auto"/>
              </w:rPr>
            </w:pPr>
            <w:r>
              <w:rPr>
                <w:rFonts w:ascii="Arial" w:cs="Arial" w:eastAsia="Arial" w:hAnsi="Arial"/>
                <w:sz w:val="12"/>
                <w:szCs w:val="12"/>
                <w:color w:val="auto"/>
              </w:rPr>
              <w:t>(17,765)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ind w:right="40"/>
              <w:spacing w:after="0"/>
              <w:rPr>
                <w:sz w:val="20"/>
                <w:szCs w:val="20"/>
                <w:color w:val="auto"/>
              </w:rPr>
            </w:pPr>
            <w:r>
              <w:rPr>
                <w:rFonts w:ascii="Arial" w:cs="Arial" w:eastAsia="Arial" w:hAnsi="Arial"/>
                <w:sz w:val="12"/>
                <w:szCs w:val="12"/>
                <w:color w:val="auto"/>
              </w:rPr>
              <w:t>(12,335)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40"/>
              <w:spacing w:after="0"/>
              <w:rPr>
                <w:sz w:val="20"/>
                <w:szCs w:val="20"/>
                <w:color w:val="auto"/>
              </w:rPr>
            </w:pPr>
            <w:r>
              <w:rPr>
                <w:rFonts w:ascii="Arial" w:cs="Arial" w:eastAsia="Arial" w:hAnsi="Arial"/>
                <w:sz w:val="12"/>
                <w:szCs w:val="12"/>
                <w:color w:val="auto"/>
              </w:rPr>
              <w:t>(35,464)</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(23,870)</w:t>
            </w: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Arial" w:cs="Arial" w:eastAsia="Arial" w:hAnsi="Arial"/>
                <w:sz w:val="12"/>
                <w:szCs w:val="12"/>
                <w:color w:val="auto"/>
              </w:rPr>
              <w:t>Other income, net</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375</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587</w:t>
            </w:r>
          </w:p>
        </w:tc>
        <w:tc>
          <w:tcPr>
            <w:tcW w:w="1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151"/>
        </w:trPr>
        <w:tc>
          <w:tcPr>
            <w:tcW w:w="4820" w:type="dxa"/>
            <w:vAlign w:val="bottom"/>
          </w:tcPr>
          <w:p>
            <w:pPr>
              <w:ind w:left="160"/>
              <w:spacing w:after="0"/>
              <w:rPr>
                <w:sz w:val="20"/>
                <w:szCs w:val="20"/>
                <w:color w:val="auto"/>
              </w:rPr>
            </w:pPr>
            <w:r>
              <w:rPr>
                <w:rFonts w:ascii="Arial" w:cs="Arial" w:eastAsia="Arial" w:hAnsi="Arial"/>
                <w:sz w:val="12"/>
                <w:szCs w:val="12"/>
                <w:color w:val="auto"/>
              </w:rPr>
              <w:t>Total other expense, net</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(17,390)</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(12,306)</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(34,877)</w:t>
            </w:r>
          </w:p>
        </w:tc>
        <w:tc>
          <w:tcPr>
            <w:tcW w:w="1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(23,790)</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20"/>
                <w:szCs w:val="20"/>
                <w:color w:val="auto"/>
              </w:rPr>
            </w:pPr>
            <w:r>
              <w:rPr>
                <w:rFonts w:ascii="Arial" w:cs="Arial" w:eastAsia="Arial" w:hAnsi="Arial"/>
                <w:sz w:val="12"/>
                <w:szCs w:val="12"/>
                <w:color w:val="auto"/>
              </w:rPr>
              <w:t>Income before income taxes</w:t>
            </w:r>
          </w:p>
        </w:tc>
        <w:tc>
          <w:tcPr>
            <w:tcW w:w="360" w:type="dxa"/>
            <w:vAlign w:val="bottom"/>
          </w:tcPr>
          <w:p>
            <w:pPr>
              <w:spacing w:after="0"/>
              <w:rPr>
                <w:sz w:val="12"/>
                <w:szCs w:val="12"/>
                <w:color w:val="auto"/>
              </w:rPr>
            </w:pPr>
          </w:p>
        </w:tc>
        <w:tc>
          <w:tcPr>
            <w:tcW w:w="1180" w:type="dxa"/>
            <w:vAlign w:val="bottom"/>
          </w:tcPr>
          <w:p>
            <w:pPr>
              <w:jc w:val="right"/>
              <w:ind w:right="40"/>
              <w:spacing w:after="0"/>
              <w:rPr>
                <w:sz w:val="20"/>
                <w:szCs w:val="20"/>
                <w:color w:val="auto"/>
              </w:rPr>
            </w:pPr>
            <w:r>
              <w:rPr>
                <w:rFonts w:ascii="Arial" w:cs="Arial" w:eastAsia="Arial" w:hAnsi="Arial"/>
                <w:sz w:val="12"/>
                <w:szCs w:val="12"/>
                <w:color w:val="auto"/>
              </w:rPr>
              <w:t>1,743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ind w:right="40"/>
              <w:spacing w:after="0"/>
              <w:rPr>
                <w:sz w:val="20"/>
                <w:szCs w:val="20"/>
                <w:color w:val="auto"/>
              </w:rPr>
            </w:pPr>
            <w:r>
              <w:rPr>
                <w:rFonts w:ascii="Arial" w:cs="Arial" w:eastAsia="Arial" w:hAnsi="Arial"/>
                <w:sz w:val="12"/>
                <w:szCs w:val="12"/>
                <w:color w:val="auto"/>
              </w:rPr>
              <w:t>754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40"/>
              <w:spacing w:after="0"/>
              <w:rPr>
                <w:sz w:val="20"/>
                <w:szCs w:val="20"/>
                <w:color w:val="auto"/>
              </w:rPr>
            </w:pPr>
            <w:r>
              <w:rPr>
                <w:rFonts w:ascii="Arial" w:cs="Arial" w:eastAsia="Arial" w:hAnsi="Arial"/>
                <w:sz w:val="12"/>
                <w:szCs w:val="12"/>
                <w:color w:val="auto"/>
              </w:rPr>
              <w:t>1,104</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96</w:t>
            </w:r>
          </w:p>
        </w:tc>
        <w:tc>
          <w:tcPr>
            <w:tcW w:w="0" w:type="dxa"/>
            <w:vAlign w:val="bottom"/>
          </w:tcPr>
          <w:p>
            <w:pPr>
              <w:spacing w:after="0"/>
              <w:rPr>
                <w:sz w:val="1"/>
                <w:szCs w:val="1"/>
                <w:color w:val="auto"/>
              </w:rPr>
            </w:pPr>
          </w:p>
        </w:tc>
      </w:tr>
      <w:tr>
        <w:trPr>
          <w:trHeight w:val="153"/>
        </w:trPr>
        <w:tc>
          <w:tcPr>
            <w:tcW w:w="4820" w:type="dxa"/>
            <w:vAlign w:val="bottom"/>
          </w:tcPr>
          <w:p>
            <w:pPr>
              <w:spacing w:after="0"/>
              <w:rPr>
                <w:sz w:val="20"/>
                <w:szCs w:val="20"/>
                <w:color w:val="auto"/>
              </w:rPr>
            </w:pPr>
            <w:r>
              <w:rPr>
                <w:rFonts w:ascii="Arial" w:cs="Arial" w:eastAsia="Arial" w:hAnsi="Arial"/>
                <w:sz w:val="12"/>
                <w:szCs w:val="12"/>
                <w:color w:val="auto"/>
              </w:rPr>
              <w:t>Income tax expense</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2,355</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467</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2,222</w:t>
            </w:r>
          </w:p>
        </w:tc>
        <w:tc>
          <w:tcPr>
            <w:tcW w:w="1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142</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20"/>
                <w:szCs w:val="20"/>
                <w:color w:val="auto"/>
              </w:rPr>
            </w:pPr>
            <w:r>
              <w:rPr>
                <w:rFonts w:ascii="Arial" w:cs="Arial" w:eastAsia="Arial" w:hAnsi="Arial"/>
                <w:sz w:val="12"/>
                <w:szCs w:val="12"/>
                <w:b w:val="1"/>
                <w:bCs w:val="1"/>
                <w:color w:val="auto"/>
              </w:rPr>
              <w:t>Net (loss) income</w:t>
            </w:r>
          </w:p>
        </w:tc>
        <w:tc>
          <w:tcPr>
            <w:tcW w:w="360" w:type="dxa"/>
            <w:vAlign w:val="bottom"/>
          </w:tcPr>
          <w:p>
            <w:pPr>
              <w:spacing w:after="0"/>
              <w:rPr>
                <w:sz w:val="12"/>
                <w:szCs w:val="12"/>
                <w:color w:val="auto"/>
              </w:rPr>
            </w:pPr>
          </w:p>
        </w:tc>
        <w:tc>
          <w:tcPr>
            <w:tcW w:w="1180" w:type="dxa"/>
            <w:vAlign w:val="bottom"/>
          </w:tcPr>
          <w:p>
            <w:pPr>
              <w:jc w:val="right"/>
              <w:ind w:right="40"/>
              <w:spacing w:after="0"/>
              <w:rPr>
                <w:sz w:val="20"/>
                <w:szCs w:val="20"/>
                <w:color w:val="auto"/>
              </w:rPr>
            </w:pPr>
            <w:r>
              <w:rPr>
                <w:rFonts w:ascii="Arial" w:cs="Arial" w:eastAsia="Arial" w:hAnsi="Arial"/>
                <w:sz w:val="12"/>
                <w:szCs w:val="12"/>
                <w:color w:val="auto"/>
              </w:rPr>
              <w:t>(612)</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ind w:right="40"/>
              <w:spacing w:after="0"/>
              <w:rPr>
                <w:sz w:val="20"/>
                <w:szCs w:val="20"/>
                <w:color w:val="auto"/>
              </w:rPr>
            </w:pPr>
            <w:r>
              <w:rPr>
                <w:rFonts w:ascii="Arial" w:cs="Arial" w:eastAsia="Arial" w:hAnsi="Arial"/>
                <w:sz w:val="12"/>
                <w:szCs w:val="12"/>
                <w:color w:val="auto"/>
              </w:rPr>
              <w:t>287</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40"/>
              <w:spacing w:after="0"/>
              <w:rPr>
                <w:sz w:val="20"/>
                <w:szCs w:val="20"/>
                <w:color w:val="auto"/>
              </w:rPr>
            </w:pPr>
            <w:r>
              <w:rPr>
                <w:rFonts w:ascii="Arial" w:cs="Arial" w:eastAsia="Arial" w:hAnsi="Arial"/>
                <w:sz w:val="12"/>
                <w:szCs w:val="12"/>
                <w:color w:val="auto"/>
              </w:rPr>
              <w:t>(1,118)</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Arial" w:cs="Arial" w:eastAsia="Arial" w:hAnsi="Arial"/>
                <w:sz w:val="12"/>
                <w:szCs w:val="12"/>
                <w:color w:val="auto"/>
              </w:rPr>
              <w:t>Less: Dividends and accretion attributable to redeemable senior preferred stockholders</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(11,765)</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(8,549)</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(23,060)</w:t>
            </w:r>
          </w:p>
        </w:tc>
        <w:tc>
          <w:tcPr>
            <w:tcW w:w="1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(16,949)</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20"/>
                <w:szCs w:val="20"/>
                <w:color w:val="auto"/>
              </w:rPr>
            </w:pPr>
            <w:r>
              <w:rPr>
                <w:rFonts w:ascii="Arial" w:cs="Arial" w:eastAsia="Arial" w:hAnsi="Arial"/>
                <w:sz w:val="12"/>
                <w:szCs w:val="12"/>
                <w:b w:val="1"/>
                <w:bCs w:val="1"/>
                <w:color w:val="auto"/>
              </w:rPr>
              <w:t>Loss attributable to common stockholders</w:t>
            </w:r>
          </w:p>
        </w:tc>
        <w:tc>
          <w:tcPr>
            <w:tcW w:w="360" w:type="dxa"/>
            <w:vAlign w:val="bottom"/>
          </w:tcPr>
          <w:p>
            <w:pPr>
              <w:spacing w:after="0"/>
              <w:rPr>
                <w:sz w:val="12"/>
                <w:szCs w:val="12"/>
                <w:color w:val="auto"/>
              </w:rPr>
            </w:pPr>
          </w:p>
        </w:tc>
        <w:tc>
          <w:tcPr>
            <w:tcW w:w="1180" w:type="dxa"/>
            <w:vAlign w:val="bottom"/>
          </w:tcPr>
          <w:p>
            <w:pPr>
              <w:jc w:val="right"/>
              <w:ind w:right="40"/>
              <w:spacing w:after="0"/>
              <w:rPr>
                <w:sz w:val="20"/>
                <w:szCs w:val="20"/>
                <w:color w:val="auto"/>
              </w:rPr>
            </w:pPr>
            <w:r>
              <w:rPr>
                <w:rFonts w:ascii="Arial" w:cs="Arial" w:eastAsia="Arial" w:hAnsi="Arial"/>
                <w:sz w:val="12"/>
                <w:szCs w:val="12"/>
                <w:color w:val="auto"/>
              </w:rPr>
              <w:t>(12,377)</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ind w:right="40"/>
              <w:spacing w:after="0"/>
              <w:rPr>
                <w:sz w:val="20"/>
                <w:szCs w:val="20"/>
                <w:color w:val="auto"/>
              </w:rPr>
            </w:pPr>
            <w:r>
              <w:rPr>
                <w:rFonts w:ascii="Arial" w:cs="Arial" w:eastAsia="Arial" w:hAnsi="Arial"/>
                <w:sz w:val="12"/>
                <w:szCs w:val="12"/>
                <w:color w:val="auto"/>
              </w:rPr>
              <w:t>(8,262)</w:t>
            </w:r>
          </w:p>
        </w:tc>
        <w:tc>
          <w:tcPr>
            <w:tcW w:w="4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40"/>
              <w:spacing w:after="0"/>
              <w:rPr>
                <w:sz w:val="20"/>
                <w:szCs w:val="20"/>
                <w:color w:val="auto"/>
              </w:rPr>
            </w:pPr>
            <w:r>
              <w:rPr>
                <w:rFonts w:ascii="Arial" w:cs="Arial" w:eastAsia="Arial" w:hAnsi="Arial"/>
                <w:sz w:val="12"/>
                <w:szCs w:val="12"/>
                <w:color w:val="auto"/>
              </w:rPr>
              <w:t>(24,178)</w:t>
            </w:r>
          </w:p>
        </w:tc>
        <w:tc>
          <w:tcPr>
            <w:tcW w:w="740" w:type="dxa"/>
            <w:vAlign w:val="bottom"/>
            <w:gridSpan w:val="2"/>
          </w:tcPr>
          <w:p>
            <w:pPr>
              <w:jc w:val="right"/>
              <w:ind w:right="58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(16,995)</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20"/>
                <w:szCs w:val="20"/>
                <w:color w:val="auto"/>
              </w:rPr>
            </w:pPr>
            <w:r>
              <w:rPr>
                <w:rFonts w:ascii="Arial" w:cs="Arial" w:eastAsia="Arial" w:hAnsi="Arial"/>
                <w:sz w:val="12"/>
                <w:szCs w:val="12"/>
                <w:b w:val="1"/>
                <w:bCs w:val="1"/>
                <w:color w:val="auto"/>
              </w:rPr>
              <w:t>Other comprehensive income (loss)</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Arial" w:cs="Arial" w:eastAsia="Arial" w:hAnsi="Arial"/>
                <w:sz w:val="12"/>
                <w:szCs w:val="12"/>
                <w:color w:val="auto"/>
              </w:rPr>
              <w:t>Foreign currency translation adjustments</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4820" w:type="dxa"/>
            <w:vAlign w:val="bottom"/>
          </w:tcPr>
          <w:p>
            <w:pPr>
              <w:spacing w:after="0"/>
              <w:rPr>
                <w:sz w:val="20"/>
                <w:szCs w:val="20"/>
                <w:color w:val="auto"/>
              </w:rPr>
            </w:pPr>
            <w:r>
              <w:rPr>
                <w:rFonts w:ascii="Arial" w:cs="Arial" w:eastAsia="Arial" w:hAnsi="Arial"/>
                <w:sz w:val="12"/>
                <w:szCs w:val="12"/>
                <w:b w:val="1"/>
                <w:bCs w:val="1"/>
                <w:color w:val="auto"/>
              </w:rPr>
              <w:t>Comprehensive loss</w:t>
            </w:r>
          </w:p>
        </w:tc>
        <w:tc>
          <w:tcPr>
            <w:tcW w:w="360" w:type="dxa"/>
            <w:vAlign w:val="bottom"/>
          </w:tcPr>
          <w:p>
            <w:pPr>
              <w:jc w:val="right"/>
              <w:ind w:right="220"/>
              <w:spacing w:after="0"/>
              <w:rPr>
                <w:sz w:val="20"/>
                <w:szCs w:val="20"/>
                <w:color w:val="auto"/>
              </w:rPr>
            </w:pPr>
            <w:r>
              <w:rPr>
                <w:rFonts w:ascii="Arial" w:cs="Arial" w:eastAsia="Arial" w:hAnsi="Arial"/>
                <w:sz w:val="12"/>
                <w:szCs w:val="12"/>
                <w:b w:val="1"/>
                <w:bCs w:val="1"/>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2"/>
                <w:szCs w:val="12"/>
                <w:b w:val="1"/>
                <w:bCs w:val="1"/>
                <w:color w:val="auto"/>
              </w:rPr>
              <w:t>(12,370)</w:t>
            </w:r>
          </w:p>
        </w:tc>
        <w:tc>
          <w:tcPr>
            <w:tcW w:w="46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w:t>
            </w:r>
          </w:p>
        </w:tc>
        <w:tc>
          <w:tcPr>
            <w:tcW w:w="1180" w:type="dxa"/>
            <w:vAlign w:val="bottom"/>
          </w:tcPr>
          <w:p>
            <w:pPr>
              <w:jc w:val="right"/>
              <w:ind w:right="40"/>
              <w:spacing w:after="0"/>
              <w:rPr>
                <w:sz w:val="20"/>
                <w:szCs w:val="20"/>
                <w:color w:val="auto"/>
              </w:rPr>
            </w:pPr>
            <w:r>
              <w:rPr>
                <w:rFonts w:ascii="Arial" w:cs="Arial" w:eastAsia="Arial" w:hAnsi="Arial"/>
                <w:sz w:val="12"/>
                <w:szCs w:val="12"/>
                <w:b w:val="1"/>
                <w:bCs w:val="1"/>
                <w:color w:val="auto"/>
              </w:rPr>
              <w:t>(8,262)</w:t>
            </w:r>
          </w:p>
        </w:tc>
        <w:tc>
          <w:tcPr>
            <w:tcW w:w="4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w:t>
            </w:r>
          </w:p>
        </w:tc>
        <w:tc>
          <w:tcPr>
            <w:tcW w:w="1200" w:type="dxa"/>
            <w:vAlign w:val="bottom"/>
          </w:tcPr>
          <w:p>
            <w:pPr>
              <w:jc w:val="right"/>
              <w:ind w:right="40"/>
              <w:spacing w:after="0"/>
              <w:rPr>
                <w:sz w:val="20"/>
                <w:szCs w:val="20"/>
                <w:color w:val="auto"/>
              </w:rPr>
            </w:pPr>
            <w:r>
              <w:rPr>
                <w:rFonts w:ascii="Arial" w:cs="Arial" w:eastAsia="Arial" w:hAnsi="Arial"/>
                <w:sz w:val="12"/>
                <w:szCs w:val="12"/>
                <w:b w:val="1"/>
                <w:bCs w:val="1"/>
                <w:color w:val="auto"/>
              </w:rPr>
              <w:t>(24,147)</w:t>
            </w:r>
          </w:p>
        </w:tc>
        <w:tc>
          <w:tcPr>
            <w:tcW w:w="74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(16,995)</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2"/>
                <w:szCs w:val="12"/>
                <w:b w:val="1"/>
                <w:bCs w:val="1"/>
                <w:color w:val="auto"/>
              </w:rPr>
              <w:t>Loss per common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8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820" w:type="dxa"/>
            <w:vAlign w:val="bottom"/>
          </w:tcPr>
          <w:p>
            <w:pPr>
              <w:ind w:left="80"/>
              <w:spacing w:after="0"/>
              <w:rPr>
                <w:sz w:val="20"/>
                <w:szCs w:val="20"/>
                <w:color w:val="auto"/>
              </w:rPr>
            </w:pPr>
            <w:r>
              <w:rPr>
                <w:rFonts w:ascii="Arial" w:cs="Arial" w:eastAsia="Arial" w:hAnsi="Arial"/>
                <w:sz w:val="12"/>
                <w:szCs w:val="12"/>
                <w:color w:val="auto"/>
              </w:rPr>
              <w:t>Basic and diluted</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(0.16)</w:t>
            </w:r>
          </w:p>
        </w:tc>
        <w:tc>
          <w:tcPr>
            <w:tcW w:w="4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(0.11)</w:t>
            </w:r>
          </w:p>
        </w:tc>
        <w:tc>
          <w:tcPr>
            <w:tcW w:w="4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(0.31)</w:t>
            </w:r>
          </w:p>
        </w:tc>
        <w:tc>
          <w:tcPr>
            <w:tcW w:w="740" w:type="dxa"/>
            <w:vAlign w:val="bottom"/>
            <w:gridSpan w:val="2"/>
          </w:tcPr>
          <w:p>
            <w:pPr>
              <w:jc w:val="right"/>
              <w:ind w:right="58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(0.22)</w:t>
            </w:r>
          </w:p>
        </w:tc>
        <w:tc>
          <w:tcPr>
            <w:tcW w:w="0" w:type="dxa"/>
            <w:vAlign w:val="bottom"/>
          </w:tcPr>
          <w:p>
            <w:pPr>
              <w:spacing w:after="0"/>
              <w:rPr>
                <w:sz w:val="1"/>
                <w:szCs w:val="1"/>
                <w:color w:val="auto"/>
              </w:rPr>
            </w:pPr>
          </w:p>
        </w:tc>
      </w:tr>
      <w:tr>
        <w:trPr>
          <w:trHeight w:val="333"/>
        </w:trPr>
        <w:tc>
          <w:tcPr>
            <w:tcW w:w="4820" w:type="dxa"/>
            <w:vAlign w:val="bottom"/>
          </w:tcPr>
          <w:p>
            <w:pPr>
              <w:spacing w:after="0"/>
              <w:rPr>
                <w:sz w:val="20"/>
                <w:szCs w:val="20"/>
                <w:color w:val="auto"/>
              </w:rPr>
            </w:pPr>
            <w:r>
              <w:rPr>
                <w:rFonts w:ascii="Arial" w:cs="Arial" w:eastAsia="Arial" w:hAnsi="Arial"/>
                <w:sz w:val="12"/>
                <w:szCs w:val="12"/>
                <w:b w:val="1"/>
                <w:bCs w:val="1"/>
                <w:color w:val="auto"/>
              </w:rPr>
              <w:t>Weighted-average common shares outstanding:</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80"/>
              <w:spacing w:after="0"/>
              <w:rPr>
                <w:sz w:val="20"/>
                <w:szCs w:val="20"/>
                <w:color w:val="auto"/>
              </w:rPr>
            </w:pPr>
            <w:r>
              <w:rPr>
                <w:rFonts w:ascii="Arial" w:cs="Arial" w:eastAsia="Arial" w:hAnsi="Arial"/>
                <w:sz w:val="12"/>
                <w:szCs w:val="12"/>
                <w:color w:val="auto"/>
              </w:rPr>
              <w:t>Basic and diluted</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78,292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78,603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78,213</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78,600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280"/>
          </w:cols>
          <w:pgMar w:left="300" w:top="287" w:right="319" w:bottom="1440" w:gutter="0" w:footer="0" w:header="0"/>
        </w:sectPr>
      </w:pPr>
    </w:p>
    <w:bookmarkStart w:id="9" w:name="page10"/>
    <w:bookmarkEnd w:id="9"/>
    <w:p>
      <w:pPr>
        <w:jc w:val="center"/>
        <w:spacing w:after="0"/>
        <w:rPr>
          <w:sz w:val="20"/>
          <w:szCs w:val="20"/>
          <w:color w:val="auto"/>
        </w:rPr>
      </w:pPr>
      <w:r>
        <w:rPr>
          <w:rFonts w:ascii="Arial" w:cs="Arial" w:eastAsia="Arial" w:hAnsi="Arial"/>
          <w:sz w:val="13"/>
          <w:szCs w:val="13"/>
          <w:b w:val="1"/>
          <w:bCs w:val="1"/>
          <w:color w:val="auto"/>
        </w:rPr>
        <w:t>Priority Technology Holdings,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 Consolidated Balance Sheets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4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2440" w:type="dxa"/>
            <w:vAlign w:val="bottom"/>
          </w:tcPr>
          <w:p>
            <w:pPr>
              <w:spacing w:after="0"/>
              <w:rPr>
                <w:sz w:val="13"/>
                <w:szCs w:val="13"/>
                <w:color w:val="auto"/>
              </w:rPr>
            </w:pPr>
          </w:p>
        </w:tc>
        <w:tc>
          <w:tcPr>
            <w:tcW w:w="1420" w:type="dxa"/>
            <w:vAlign w:val="bottom"/>
            <w:vMerge w:val="restart"/>
          </w:tcPr>
          <w:p>
            <w:pPr>
              <w:jc w:val="right"/>
              <w:ind w:right="8"/>
              <w:spacing w:after="0"/>
              <w:rPr>
                <w:sz w:val="20"/>
                <w:szCs w:val="20"/>
                <w:color w:val="auto"/>
              </w:rPr>
            </w:pPr>
            <w:r>
              <w:rPr>
                <w:rFonts w:ascii="Arial" w:cs="Arial" w:eastAsia="Arial" w:hAnsi="Arial"/>
                <w:sz w:val="12"/>
                <w:szCs w:val="12"/>
                <w:b w:val="1"/>
                <w:bCs w:val="1"/>
                <w:color w:val="auto"/>
              </w:rPr>
              <w:t>June 30, 2023</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vMerge w:val="restart"/>
          </w:tcPr>
          <w:p>
            <w:pPr>
              <w:jc w:val="right"/>
              <w:ind w:right="440"/>
              <w:spacing w:after="0"/>
              <w:rPr>
                <w:sz w:val="20"/>
                <w:szCs w:val="20"/>
                <w:color w:val="auto"/>
              </w:rPr>
            </w:pPr>
            <w:r>
              <w:rPr>
                <w:rFonts w:ascii="Arial" w:cs="Arial" w:eastAsia="Arial" w:hAnsi="Arial"/>
                <w:sz w:val="12"/>
                <w:szCs w:val="12"/>
                <w:b w:val="1"/>
                <w:bCs w:val="1"/>
                <w:color w:val="auto"/>
              </w:rPr>
              <w:t>December 31, 2022</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2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Current assets:</w:t>
            </w:r>
          </w:p>
        </w:tc>
        <w:tc>
          <w:tcPr>
            <w:tcW w:w="2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Cash and cash equivalents</w:t>
            </w:r>
          </w:p>
        </w:tc>
        <w:tc>
          <w:tcPr>
            <w:tcW w:w="3860" w:type="dxa"/>
            <w:vAlign w:val="bottom"/>
            <w:gridSpan w:val="2"/>
          </w:tcPr>
          <w:p>
            <w:pPr>
              <w:jc w:val="right"/>
              <w:ind w:right="1308"/>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17,567</w:t>
            </w:r>
          </w:p>
        </w:tc>
        <w:tc>
          <w:tcPr>
            <w:tcW w:w="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80" w:type="dxa"/>
            <w:vAlign w:val="bottom"/>
          </w:tcPr>
          <w:p>
            <w:pPr>
              <w:jc w:val="right"/>
              <w:spacing w:after="0"/>
              <w:rPr>
                <w:sz w:val="20"/>
                <w:szCs w:val="20"/>
                <w:color w:val="auto"/>
              </w:rPr>
            </w:pPr>
            <w:r>
              <w:rPr>
                <w:rFonts w:ascii="Arial" w:cs="Arial" w:eastAsia="Arial" w:hAnsi="Arial"/>
                <w:sz w:val="12"/>
                <w:szCs w:val="12"/>
                <w:color w:val="auto"/>
              </w:rPr>
              <w:t>18,454</w:t>
            </w:r>
          </w:p>
        </w:tc>
        <w:tc>
          <w:tcPr>
            <w:tcW w:w="0" w:type="dxa"/>
            <w:vAlign w:val="bottom"/>
          </w:tcPr>
          <w:p>
            <w:pPr>
              <w:spacing w:after="0"/>
              <w:rPr>
                <w:sz w:val="1"/>
                <w:szCs w:val="1"/>
                <w:color w:val="auto"/>
              </w:rPr>
            </w:pPr>
          </w:p>
        </w:tc>
      </w:tr>
      <w:tr>
        <w:trPr>
          <w:trHeight w:val="162"/>
        </w:trPr>
        <w:tc>
          <w:tcPr>
            <w:tcW w:w="4740" w:type="dxa"/>
            <w:vAlign w:val="bottom"/>
          </w:tcPr>
          <w:p>
            <w:pPr>
              <w:ind w:left="80"/>
              <w:spacing w:after="0"/>
              <w:rPr>
                <w:sz w:val="20"/>
                <w:szCs w:val="20"/>
                <w:color w:val="auto"/>
              </w:rPr>
            </w:pPr>
            <w:r>
              <w:rPr>
                <w:rFonts w:ascii="Arial" w:cs="Arial" w:eastAsia="Arial" w:hAnsi="Arial"/>
                <w:sz w:val="12"/>
                <w:szCs w:val="12"/>
                <w:color w:val="auto"/>
              </w:rPr>
              <w:t>Restricted cash</w:t>
            </w:r>
          </w:p>
        </w:tc>
        <w:tc>
          <w:tcPr>
            <w:tcW w:w="2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12,357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10,582</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Accounts receivable, net of allowances</w:t>
            </w:r>
          </w:p>
        </w:tc>
        <w:tc>
          <w:tcPr>
            <w:tcW w:w="2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60,130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78,113</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Prepaid expenses and other current assets</w:t>
            </w:r>
          </w:p>
        </w:tc>
        <w:tc>
          <w:tcPr>
            <w:tcW w:w="2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14,608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11,832</w:t>
            </w:r>
          </w:p>
        </w:tc>
        <w:tc>
          <w:tcPr>
            <w:tcW w:w="0" w:type="dxa"/>
            <w:vAlign w:val="bottom"/>
          </w:tcPr>
          <w:p>
            <w:pPr>
              <w:spacing w:after="0"/>
              <w:rPr>
                <w:sz w:val="1"/>
                <w:szCs w:val="1"/>
                <w:color w:val="auto"/>
              </w:rPr>
            </w:pPr>
          </w:p>
        </w:tc>
      </w:tr>
      <w:tr>
        <w:trPr>
          <w:trHeight w:val="162"/>
        </w:trPr>
        <w:tc>
          <w:tcPr>
            <w:tcW w:w="4740" w:type="dxa"/>
            <w:vAlign w:val="bottom"/>
          </w:tcPr>
          <w:p>
            <w:pPr>
              <w:ind w:left="80"/>
              <w:spacing w:after="0"/>
              <w:rPr>
                <w:sz w:val="20"/>
                <w:szCs w:val="20"/>
                <w:color w:val="auto"/>
              </w:rPr>
            </w:pPr>
            <w:r>
              <w:rPr>
                <w:rFonts w:ascii="Arial" w:cs="Arial" w:eastAsia="Arial" w:hAnsi="Arial"/>
                <w:sz w:val="12"/>
                <w:szCs w:val="12"/>
                <w:color w:val="auto"/>
              </w:rPr>
              <w:t>Current portion of notes receivable</w:t>
            </w:r>
          </w:p>
        </w:tc>
        <w:tc>
          <w:tcPr>
            <w:tcW w:w="2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2,530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1,471</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Settlement assets and customer/subscriber account balances</w:t>
            </w:r>
          </w:p>
        </w:tc>
        <w:tc>
          <w:tcPr>
            <w:tcW w:w="244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710,705</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532,018</w:t>
            </w:r>
          </w:p>
        </w:tc>
        <w:tc>
          <w:tcPr>
            <w:tcW w:w="0" w:type="dxa"/>
            <w:vAlign w:val="bottom"/>
          </w:tcPr>
          <w:p>
            <w:pPr>
              <w:spacing w:after="0"/>
              <w:rPr>
                <w:sz w:val="1"/>
                <w:szCs w:val="1"/>
                <w:color w:val="auto"/>
              </w:rPr>
            </w:pPr>
          </w:p>
        </w:tc>
      </w:tr>
      <w:tr>
        <w:trPr>
          <w:trHeight w:val="142"/>
        </w:trPr>
        <w:tc>
          <w:tcPr>
            <w:tcW w:w="4740" w:type="dxa"/>
            <w:vAlign w:val="bottom"/>
          </w:tcPr>
          <w:p>
            <w:pPr>
              <w:ind w:left="300"/>
              <w:spacing w:after="0"/>
              <w:rPr>
                <w:sz w:val="20"/>
                <w:szCs w:val="20"/>
                <w:color w:val="auto"/>
              </w:rPr>
            </w:pPr>
            <w:r>
              <w:rPr>
                <w:rFonts w:ascii="Arial" w:cs="Arial" w:eastAsia="Arial" w:hAnsi="Arial"/>
                <w:sz w:val="12"/>
                <w:szCs w:val="12"/>
                <w:color w:val="auto"/>
              </w:rPr>
              <w:t>Total current assets</w:t>
            </w:r>
          </w:p>
        </w:tc>
        <w:tc>
          <w:tcPr>
            <w:tcW w:w="2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817,897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652,470</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20"/>
                <w:szCs w:val="20"/>
                <w:color w:val="auto"/>
              </w:rPr>
            </w:pPr>
            <w:r>
              <w:rPr>
                <w:rFonts w:ascii="Arial" w:cs="Arial" w:eastAsia="Arial" w:hAnsi="Arial"/>
                <w:sz w:val="12"/>
                <w:szCs w:val="12"/>
                <w:color w:val="auto"/>
              </w:rPr>
              <w:t>Notes receivable, less current portion</w:t>
            </w:r>
          </w:p>
        </w:tc>
        <w:tc>
          <w:tcPr>
            <w:tcW w:w="2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3,018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3,191</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Property, equipment and software, net</w:t>
            </w:r>
          </w:p>
        </w:tc>
        <w:tc>
          <w:tcPr>
            <w:tcW w:w="2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38,984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34,687</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Goodwill</w:t>
            </w:r>
          </w:p>
        </w:tc>
        <w:tc>
          <w:tcPr>
            <w:tcW w:w="2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368,740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369,337</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20"/>
                <w:szCs w:val="20"/>
                <w:color w:val="auto"/>
              </w:rPr>
            </w:pPr>
            <w:r>
              <w:rPr>
                <w:rFonts w:ascii="Arial" w:cs="Arial" w:eastAsia="Arial" w:hAnsi="Arial"/>
                <w:sz w:val="12"/>
                <w:szCs w:val="12"/>
                <w:color w:val="auto"/>
              </w:rPr>
              <w:t>Intangible assets, net</w:t>
            </w:r>
          </w:p>
        </w:tc>
        <w:tc>
          <w:tcPr>
            <w:tcW w:w="2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269,428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288,794</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Deferred income taxes, net</w:t>
            </w:r>
          </w:p>
        </w:tc>
        <w:tc>
          <w:tcPr>
            <w:tcW w:w="2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26,066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16,447</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20"/>
                <w:szCs w:val="20"/>
                <w:color w:val="auto"/>
              </w:rPr>
            </w:pPr>
            <w:r>
              <w:rPr>
                <w:rFonts w:ascii="Arial" w:cs="Arial" w:eastAsia="Arial" w:hAnsi="Arial"/>
                <w:sz w:val="12"/>
                <w:szCs w:val="12"/>
                <w:color w:val="auto"/>
              </w:rPr>
              <w:t>Other noncurrent assets</w:t>
            </w:r>
          </w:p>
        </w:tc>
        <w:tc>
          <w:tcPr>
            <w:tcW w:w="244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8,147</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8,437</w:t>
            </w:r>
          </w:p>
        </w:tc>
        <w:tc>
          <w:tcPr>
            <w:tcW w:w="0" w:type="dxa"/>
            <w:vAlign w:val="bottom"/>
          </w:tcPr>
          <w:p>
            <w:pPr>
              <w:spacing w:after="0"/>
              <w:rPr>
                <w:sz w:val="1"/>
                <w:szCs w:val="1"/>
                <w:color w:val="auto"/>
              </w:rPr>
            </w:pPr>
          </w:p>
        </w:tc>
      </w:tr>
      <w:tr>
        <w:trPr>
          <w:trHeight w:val="142"/>
        </w:trPr>
        <w:tc>
          <w:tcPr>
            <w:tcW w:w="4740" w:type="dxa"/>
            <w:vAlign w:val="bottom"/>
          </w:tcPr>
          <w:p>
            <w:pPr>
              <w:ind w:left="440"/>
              <w:spacing w:after="0"/>
              <w:rPr>
                <w:sz w:val="20"/>
                <w:szCs w:val="20"/>
                <w:color w:val="auto"/>
              </w:rPr>
            </w:pPr>
            <w:r>
              <w:rPr>
                <w:rFonts w:ascii="Arial" w:cs="Arial" w:eastAsia="Arial" w:hAnsi="Arial"/>
                <w:sz w:val="12"/>
                <w:szCs w:val="12"/>
                <w:b w:val="1"/>
                <w:bCs w:val="1"/>
                <w:color w:val="auto"/>
              </w:rPr>
              <w:t>Total assets</w:t>
            </w:r>
          </w:p>
        </w:tc>
        <w:tc>
          <w:tcPr>
            <w:tcW w:w="2440" w:type="dxa"/>
            <w:vAlign w:val="bottom"/>
          </w:tcPr>
          <w:p>
            <w:pPr>
              <w:spacing w:after="0"/>
              <w:rPr>
                <w:sz w:val="12"/>
                <w:szCs w:val="12"/>
                <w:color w:val="auto"/>
              </w:rPr>
            </w:pPr>
          </w:p>
        </w:tc>
        <w:tc>
          <w:tcPr>
            <w:tcW w:w="1420" w:type="dxa"/>
            <w:vAlign w:val="bottom"/>
            <w:tcBorders>
              <w:bottom w:val="single" w:sz="8" w:color="auto"/>
            </w:tcBorders>
          </w:tcPr>
          <w:p>
            <w:pPr>
              <w:jc w:val="right"/>
              <w:ind w:right="1308"/>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1,532,280</w:t>
            </w: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1,373,363</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2"/>
                <w:szCs w:val="12"/>
                <w:b w:val="1"/>
                <w:bCs w:val="1"/>
                <w:color w:val="auto"/>
              </w:rPr>
              <w:t>Liabilities, Redeemable Senior Preferred Stock and Stockholders' Deficit</w:t>
            </w:r>
          </w:p>
        </w:tc>
        <w:tc>
          <w:tcPr>
            <w:tcW w:w="24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740" w:type="dxa"/>
            <w:vAlign w:val="bottom"/>
            <w:vMerge w:val="continue"/>
          </w:tcPr>
          <w:p>
            <w:pPr>
              <w:spacing w:after="0"/>
              <w:rPr>
                <w:sz w:val="9"/>
                <w:szCs w:val="9"/>
                <w:color w:val="auto"/>
              </w:rPr>
            </w:pPr>
          </w:p>
        </w:tc>
        <w:tc>
          <w:tcPr>
            <w:tcW w:w="24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Current liabilities:</w:t>
            </w:r>
          </w:p>
        </w:tc>
        <w:tc>
          <w:tcPr>
            <w:tcW w:w="2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40" w:type="dxa"/>
            <w:vAlign w:val="bottom"/>
          </w:tcPr>
          <w:p>
            <w:pPr>
              <w:ind w:left="80"/>
              <w:spacing w:after="0"/>
              <w:rPr>
                <w:sz w:val="20"/>
                <w:szCs w:val="20"/>
                <w:color w:val="auto"/>
              </w:rPr>
            </w:pPr>
            <w:r>
              <w:rPr>
                <w:rFonts w:ascii="Arial" w:cs="Arial" w:eastAsia="Arial" w:hAnsi="Arial"/>
                <w:sz w:val="12"/>
                <w:szCs w:val="12"/>
                <w:color w:val="auto"/>
              </w:rPr>
              <w:t>Accounts payable and accrued expenses</w:t>
            </w:r>
          </w:p>
        </w:tc>
        <w:tc>
          <w:tcPr>
            <w:tcW w:w="3860" w:type="dxa"/>
            <w:vAlign w:val="bottom"/>
            <w:gridSpan w:val="2"/>
          </w:tcPr>
          <w:p>
            <w:pPr>
              <w:jc w:val="right"/>
              <w:ind w:right="1308"/>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59,839</w:t>
            </w:r>
          </w:p>
        </w:tc>
        <w:tc>
          <w:tcPr>
            <w:tcW w:w="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80" w:type="dxa"/>
            <w:vAlign w:val="bottom"/>
          </w:tcPr>
          <w:p>
            <w:pPr>
              <w:jc w:val="right"/>
              <w:spacing w:after="0"/>
              <w:rPr>
                <w:sz w:val="20"/>
                <w:szCs w:val="20"/>
                <w:color w:val="auto"/>
              </w:rPr>
            </w:pPr>
            <w:r>
              <w:rPr>
                <w:rFonts w:ascii="Arial" w:cs="Arial" w:eastAsia="Arial" w:hAnsi="Arial"/>
                <w:sz w:val="12"/>
                <w:szCs w:val="12"/>
                <w:color w:val="auto"/>
              </w:rPr>
              <w:t>51,864</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Accrued residual commissions</w:t>
            </w:r>
          </w:p>
        </w:tc>
        <w:tc>
          <w:tcPr>
            <w:tcW w:w="2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34,614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35,979</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Customer deposits and advance payments</w:t>
            </w:r>
          </w:p>
        </w:tc>
        <w:tc>
          <w:tcPr>
            <w:tcW w:w="2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3,253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2,618</w:t>
            </w:r>
          </w:p>
        </w:tc>
        <w:tc>
          <w:tcPr>
            <w:tcW w:w="0" w:type="dxa"/>
            <w:vAlign w:val="bottom"/>
          </w:tcPr>
          <w:p>
            <w:pPr>
              <w:spacing w:after="0"/>
              <w:rPr>
                <w:sz w:val="1"/>
                <w:szCs w:val="1"/>
                <w:color w:val="auto"/>
              </w:rPr>
            </w:pPr>
          </w:p>
        </w:tc>
      </w:tr>
      <w:tr>
        <w:trPr>
          <w:trHeight w:val="162"/>
        </w:trPr>
        <w:tc>
          <w:tcPr>
            <w:tcW w:w="4740" w:type="dxa"/>
            <w:vAlign w:val="bottom"/>
          </w:tcPr>
          <w:p>
            <w:pPr>
              <w:ind w:left="80"/>
              <w:spacing w:after="0"/>
              <w:rPr>
                <w:sz w:val="20"/>
                <w:szCs w:val="20"/>
                <w:color w:val="auto"/>
              </w:rPr>
            </w:pPr>
            <w:r>
              <w:rPr>
                <w:rFonts w:ascii="Arial" w:cs="Arial" w:eastAsia="Arial" w:hAnsi="Arial"/>
                <w:sz w:val="12"/>
                <w:szCs w:val="12"/>
                <w:color w:val="auto"/>
              </w:rPr>
              <w:t>Current portion of long-term debt</w:t>
            </w:r>
          </w:p>
        </w:tc>
        <w:tc>
          <w:tcPr>
            <w:tcW w:w="2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6,200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6,200</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Settlement and customer/subscriber account obligations</w:t>
            </w:r>
          </w:p>
        </w:tc>
        <w:tc>
          <w:tcPr>
            <w:tcW w:w="244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710,551</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533,340</w:t>
            </w:r>
          </w:p>
        </w:tc>
        <w:tc>
          <w:tcPr>
            <w:tcW w:w="0" w:type="dxa"/>
            <w:vAlign w:val="bottom"/>
          </w:tcPr>
          <w:p>
            <w:pPr>
              <w:spacing w:after="0"/>
              <w:rPr>
                <w:sz w:val="1"/>
                <w:szCs w:val="1"/>
                <w:color w:val="auto"/>
              </w:rPr>
            </w:pPr>
          </w:p>
        </w:tc>
      </w:tr>
      <w:tr>
        <w:trPr>
          <w:trHeight w:val="142"/>
        </w:trPr>
        <w:tc>
          <w:tcPr>
            <w:tcW w:w="4740" w:type="dxa"/>
            <w:vAlign w:val="bottom"/>
          </w:tcPr>
          <w:p>
            <w:pPr>
              <w:ind w:left="300"/>
              <w:spacing w:after="0"/>
              <w:rPr>
                <w:sz w:val="20"/>
                <w:szCs w:val="20"/>
                <w:color w:val="auto"/>
              </w:rPr>
            </w:pPr>
            <w:r>
              <w:rPr>
                <w:rFonts w:ascii="Arial" w:cs="Arial" w:eastAsia="Arial" w:hAnsi="Arial"/>
                <w:sz w:val="12"/>
                <w:szCs w:val="12"/>
                <w:color w:val="auto"/>
              </w:rPr>
              <w:t>Total current liabilities</w:t>
            </w:r>
          </w:p>
        </w:tc>
        <w:tc>
          <w:tcPr>
            <w:tcW w:w="2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814,457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630,001</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20"/>
                <w:szCs w:val="20"/>
                <w:color w:val="auto"/>
              </w:rPr>
            </w:pPr>
            <w:r>
              <w:rPr>
                <w:rFonts w:ascii="Arial" w:cs="Arial" w:eastAsia="Arial" w:hAnsi="Arial"/>
                <w:sz w:val="12"/>
                <w:szCs w:val="12"/>
                <w:color w:val="auto"/>
              </w:rPr>
              <w:t>Long-term debt, net of current portion, discounts and debt issuance costs</w:t>
            </w:r>
          </w:p>
        </w:tc>
        <w:tc>
          <w:tcPr>
            <w:tcW w:w="2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589,932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598,926</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Other noncurrent liabilities</w:t>
            </w:r>
          </w:p>
        </w:tc>
        <w:tc>
          <w:tcPr>
            <w:tcW w:w="244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11,752</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11,643</w:t>
            </w:r>
          </w:p>
        </w:tc>
        <w:tc>
          <w:tcPr>
            <w:tcW w:w="0" w:type="dxa"/>
            <w:vAlign w:val="bottom"/>
          </w:tcPr>
          <w:p>
            <w:pPr>
              <w:spacing w:after="0"/>
              <w:rPr>
                <w:sz w:val="1"/>
                <w:szCs w:val="1"/>
                <w:color w:val="auto"/>
              </w:rPr>
            </w:pPr>
          </w:p>
        </w:tc>
      </w:tr>
      <w:tr>
        <w:trPr>
          <w:trHeight w:val="151"/>
        </w:trPr>
        <w:tc>
          <w:tcPr>
            <w:tcW w:w="4740" w:type="dxa"/>
            <w:vAlign w:val="bottom"/>
          </w:tcPr>
          <w:p>
            <w:pPr>
              <w:ind w:left="300"/>
              <w:spacing w:after="0"/>
              <w:rPr>
                <w:sz w:val="20"/>
                <w:szCs w:val="20"/>
                <w:color w:val="auto"/>
              </w:rPr>
            </w:pPr>
            <w:r>
              <w:rPr>
                <w:rFonts w:ascii="Arial" w:cs="Arial" w:eastAsia="Arial" w:hAnsi="Arial"/>
                <w:sz w:val="12"/>
                <w:szCs w:val="12"/>
                <w:color w:val="auto"/>
              </w:rPr>
              <w:t>Total noncurrent liabilities</w:t>
            </w:r>
          </w:p>
        </w:tc>
        <w:tc>
          <w:tcPr>
            <w:tcW w:w="244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601,684</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610,569</w:t>
            </w:r>
          </w:p>
        </w:tc>
        <w:tc>
          <w:tcPr>
            <w:tcW w:w="0" w:type="dxa"/>
            <w:vAlign w:val="bottom"/>
          </w:tcPr>
          <w:p>
            <w:pPr>
              <w:spacing w:after="0"/>
              <w:rPr>
                <w:sz w:val="1"/>
                <w:szCs w:val="1"/>
                <w:color w:val="auto"/>
              </w:rPr>
            </w:pPr>
          </w:p>
        </w:tc>
      </w:tr>
      <w:tr>
        <w:trPr>
          <w:trHeight w:val="142"/>
        </w:trPr>
        <w:tc>
          <w:tcPr>
            <w:tcW w:w="4740" w:type="dxa"/>
            <w:vAlign w:val="bottom"/>
          </w:tcPr>
          <w:p>
            <w:pPr>
              <w:ind w:left="440"/>
              <w:spacing w:after="0"/>
              <w:rPr>
                <w:sz w:val="20"/>
                <w:szCs w:val="20"/>
                <w:color w:val="auto"/>
              </w:rPr>
            </w:pPr>
            <w:r>
              <w:rPr>
                <w:rFonts w:ascii="Arial" w:cs="Arial" w:eastAsia="Arial" w:hAnsi="Arial"/>
                <w:sz w:val="12"/>
                <w:szCs w:val="12"/>
                <w:b w:val="1"/>
                <w:bCs w:val="1"/>
                <w:color w:val="auto"/>
              </w:rPr>
              <w:t>Total liabilities</w:t>
            </w:r>
          </w:p>
        </w:tc>
        <w:tc>
          <w:tcPr>
            <w:tcW w:w="244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1,416,141</w:t>
            </w: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1,240,570</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20"/>
                <w:szCs w:val="20"/>
                <w:color w:val="auto"/>
              </w:rPr>
            </w:pPr>
            <w:r>
              <w:rPr>
                <w:rFonts w:ascii="Arial" w:cs="Arial" w:eastAsia="Arial" w:hAnsi="Arial"/>
                <w:sz w:val="12"/>
                <w:szCs w:val="12"/>
                <w:color w:val="auto"/>
              </w:rPr>
              <w:t>Redeemable senior preferred stock</w:t>
            </w:r>
          </w:p>
        </w:tc>
        <w:tc>
          <w:tcPr>
            <w:tcW w:w="2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240,731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235,579</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Stockholders' deficit:</w:t>
            </w:r>
          </w:p>
        </w:tc>
        <w:tc>
          <w:tcPr>
            <w:tcW w:w="2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40" w:type="dxa"/>
            <w:vAlign w:val="bottom"/>
          </w:tcPr>
          <w:p>
            <w:pPr>
              <w:ind w:left="80"/>
              <w:spacing w:after="0"/>
              <w:rPr>
                <w:sz w:val="20"/>
                <w:szCs w:val="20"/>
                <w:color w:val="auto"/>
              </w:rPr>
            </w:pPr>
            <w:r>
              <w:rPr>
                <w:rFonts w:ascii="Arial" w:cs="Arial" w:eastAsia="Arial" w:hAnsi="Arial"/>
                <w:sz w:val="12"/>
                <w:szCs w:val="12"/>
                <w:color w:val="auto"/>
              </w:rPr>
              <w:t>Preferred stock</w:t>
            </w:r>
          </w:p>
        </w:tc>
        <w:tc>
          <w:tcPr>
            <w:tcW w:w="2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Common stock</w:t>
            </w:r>
          </w:p>
        </w:tc>
        <w:tc>
          <w:tcPr>
            <w:tcW w:w="2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Treasury stock, at cost</w:t>
            </w:r>
          </w:p>
        </w:tc>
        <w:tc>
          <w:tcPr>
            <w:tcW w:w="2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(12,577)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(11,559)</w:t>
            </w:r>
          </w:p>
        </w:tc>
        <w:tc>
          <w:tcPr>
            <w:tcW w:w="0" w:type="dxa"/>
            <w:vAlign w:val="bottom"/>
          </w:tcPr>
          <w:p>
            <w:pPr>
              <w:spacing w:after="0"/>
              <w:rPr>
                <w:sz w:val="1"/>
                <w:szCs w:val="1"/>
                <w:color w:val="auto"/>
              </w:rPr>
            </w:pPr>
          </w:p>
        </w:tc>
      </w:tr>
      <w:tr>
        <w:trPr>
          <w:trHeight w:val="162"/>
        </w:trPr>
        <w:tc>
          <w:tcPr>
            <w:tcW w:w="4740" w:type="dxa"/>
            <w:vAlign w:val="bottom"/>
          </w:tcPr>
          <w:p>
            <w:pPr>
              <w:ind w:left="80"/>
              <w:spacing w:after="0"/>
              <w:rPr>
                <w:sz w:val="20"/>
                <w:szCs w:val="20"/>
                <w:color w:val="auto"/>
              </w:rPr>
            </w:pPr>
            <w:r>
              <w:rPr>
                <w:rFonts w:ascii="Arial" w:cs="Arial" w:eastAsia="Arial" w:hAnsi="Arial"/>
                <w:sz w:val="12"/>
                <w:szCs w:val="12"/>
                <w:color w:val="auto"/>
              </w:rPr>
              <w:t>Additional paid-in capital</w:t>
            </w:r>
          </w:p>
        </w:tc>
        <w:tc>
          <w:tcPr>
            <w:tcW w:w="2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9,650</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Accumulated other comprehensive income</w:t>
            </w:r>
          </w:p>
        </w:tc>
        <w:tc>
          <w:tcPr>
            <w:tcW w:w="2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4740" w:type="dxa"/>
            <w:vAlign w:val="bottom"/>
          </w:tcPr>
          <w:p>
            <w:pPr>
              <w:ind w:left="80"/>
              <w:spacing w:after="0"/>
              <w:rPr>
                <w:sz w:val="20"/>
                <w:szCs w:val="20"/>
                <w:color w:val="auto"/>
              </w:rPr>
            </w:pPr>
            <w:r>
              <w:rPr>
                <w:rFonts w:ascii="Arial" w:cs="Arial" w:eastAsia="Arial" w:hAnsi="Arial"/>
                <w:sz w:val="12"/>
                <w:szCs w:val="12"/>
                <w:color w:val="auto"/>
              </w:rPr>
              <w:t>Accumulated deficit</w:t>
            </w:r>
          </w:p>
        </w:tc>
        <w:tc>
          <w:tcPr>
            <w:tcW w:w="244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(112,974)</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(102,208)</w:t>
            </w:r>
          </w:p>
        </w:tc>
        <w:tc>
          <w:tcPr>
            <w:tcW w:w="0" w:type="dxa"/>
            <w:vAlign w:val="bottom"/>
          </w:tcPr>
          <w:p>
            <w:pPr>
              <w:spacing w:after="0"/>
              <w:rPr>
                <w:sz w:val="1"/>
                <w:szCs w:val="1"/>
                <w:color w:val="auto"/>
              </w:rPr>
            </w:pPr>
          </w:p>
        </w:tc>
      </w:tr>
      <w:tr>
        <w:trPr>
          <w:trHeight w:val="142"/>
        </w:trPr>
        <w:tc>
          <w:tcPr>
            <w:tcW w:w="4740" w:type="dxa"/>
            <w:vAlign w:val="bottom"/>
          </w:tcPr>
          <w:p>
            <w:pPr>
              <w:ind w:left="360"/>
              <w:spacing w:after="0"/>
              <w:rPr>
                <w:sz w:val="20"/>
                <w:szCs w:val="20"/>
                <w:color w:val="auto"/>
              </w:rPr>
            </w:pPr>
            <w:r>
              <w:rPr>
                <w:rFonts w:ascii="Arial" w:cs="Arial" w:eastAsia="Arial" w:hAnsi="Arial"/>
                <w:sz w:val="12"/>
                <w:szCs w:val="12"/>
                <w:b w:val="1"/>
                <w:bCs w:val="1"/>
                <w:color w:val="auto"/>
              </w:rPr>
              <w:t>Total stockholders' deficit attributable to stockholders of PRTH</w:t>
            </w:r>
          </w:p>
        </w:tc>
        <w:tc>
          <w:tcPr>
            <w:tcW w:w="2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(125,444)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(104,041)</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Non-controlling interest</w:t>
            </w:r>
          </w:p>
        </w:tc>
        <w:tc>
          <w:tcPr>
            <w:tcW w:w="244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852</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1,255</w:t>
            </w:r>
          </w:p>
        </w:tc>
        <w:tc>
          <w:tcPr>
            <w:tcW w:w="0" w:type="dxa"/>
            <w:vAlign w:val="bottom"/>
          </w:tcPr>
          <w:p>
            <w:pPr>
              <w:spacing w:after="0"/>
              <w:rPr>
                <w:sz w:val="1"/>
                <w:szCs w:val="1"/>
                <w:color w:val="auto"/>
              </w:rPr>
            </w:pPr>
          </w:p>
        </w:tc>
      </w:tr>
      <w:tr>
        <w:trPr>
          <w:trHeight w:val="142"/>
        </w:trPr>
        <w:tc>
          <w:tcPr>
            <w:tcW w:w="4740" w:type="dxa"/>
            <w:vAlign w:val="bottom"/>
          </w:tcPr>
          <w:p>
            <w:pPr>
              <w:ind w:left="20"/>
              <w:spacing w:after="0"/>
              <w:rPr>
                <w:sz w:val="20"/>
                <w:szCs w:val="20"/>
                <w:color w:val="auto"/>
              </w:rPr>
            </w:pPr>
            <w:r>
              <w:rPr>
                <w:rFonts w:ascii="Arial" w:cs="Arial" w:eastAsia="Arial" w:hAnsi="Arial"/>
                <w:sz w:val="12"/>
                <w:szCs w:val="12"/>
                <w:b w:val="1"/>
                <w:bCs w:val="1"/>
                <w:color w:val="auto"/>
              </w:rPr>
              <w:t>Total stockholders' deficit</w:t>
            </w:r>
          </w:p>
        </w:tc>
        <w:tc>
          <w:tcPr>
            <w:tcW w:w="244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(124,592)</w:t>
            </w: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(102,786)</w:t>
            </w:r>
          </w:p>
        </w:tc>
        <w:tc>
          <w:tcPr>
            <w:tcW w:w="0" w:type="dxa"/>
            <w:vAlign w:val="bottom"/>
          </w:tcPr>
          <w:p>
            <w:pPr>
              <w:spacing w:after="0"/>
              <w:rPr>
                <w:sz w:val="1"/>
                <w:szCs w:val="1"/>
                <w:color w:val="auto"/>
              </w:rPr>
            </w:pPr>
          </w:p>
        </w:tc>
      </w:tr>
      <w:tr>
        <w:trPr>
          <w:trHeight w:val="151"/>
        </w:trPr>
        <w:tc>
          <w:tcPr>
            <w:tcW w:w="4740" w:type="dxa"/>
            <w:vAlign w:val="bottom"/>
          </w:tcPr>
          <w:p>
            <w:pPr>
              <w:ind w:left="20"/>
              <w:spacing w:after="0"/>
              <w:rPr>
                <w:sz w:val="20"/>
                <w:szCs w:val="20"/>
                <w:color w:val="auto"/>
              </w:rPr>
            </w:pPr>
            <w:r>
              <w:rPr>
                <w:rFonts w:ascii="Arial" w:cs="Arial" w:eastAsia="Arial" w:hAnsi="Arial"/>
                <w:sz w:val="12"/>
                <w:szCs w:val="12"/>
                <w:b w:val="1"/>
                <w:bCs w:val="1"/>
                <w:color w:val="auto"/>
              </w:rPr>
              <w:t>Total liabilities, redeemable senior preferred stock and stockholders' deficit</w:t>
            </w:r>
          </w:p>
        </w:tc>
        <w:tc>
          <w:tcPr>
            <w:tcW w:w="2440" w:type="dxa"/>
            <w:vAlign w:val="bottom"/>
          </w:tcPr>
          <w:p>
            <w:pPr>
              <w:spacing w:after="0"/>
              <w:rPr>
                <w:sz w:val="13"/>
                <w:szCs w:val="13"/>
                <w:color w:val="auto"/>
              </w:rPr>
            </w:pPr>
          </w:p>
        </w:tc>
        <w:tc>
          <w:tcPr>
            <w:tcW w:w="1420" w:type="dxa"/>
            <w:vAlign w:val="bottom"/>
            <w:tcBorders>
              <w:bottom w:val="single" w:sz="8" w:color="auto"/>
            </w:tcBorders>
          </w:tcPr>
          <w:p>
            <w:pPr>
              <w:jc w:val="right"/>
              <w:ind w:right="1308"/>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1,532,280</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1,373,363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440" w:type="dxa"/>
            <w:vAlign w:val="bottom"/>
            <w:vMerge w:val="restart"/>
          </w:tcPr>
          <w:p>
            <w:pPr>
              <w:jc w:val="right"/>
              <w:ind w:right="1440"/>
              <w:spacing w:after="0"/>
              <w:rPr>
                <w:sz w:val="20"/>
                <w:szCs w:val="20"/>
                <w:color w:val="auto"/>
              </w:rPr>
            </w:pPr>
            <w:r>
              <w:rPr>
                <w:rFonts w:ascii="Arial" w:cs="Arial" w:eastAsia="Arial" w:hAnsi="Arial"/>
                <w:sz w:val="12"/>
                <w:szCs w:val="12"/>
                <w:color w:val="auto"/>
              </w:rPr>
              <w:t>7</w:t>
            </w:r>
          </w:p>
        </w:tc>
        <w:tc>
          <w:tcPr>
            <w:tcW w:w="1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74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87"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3"/>
          <w:szCs w:val="13"/>
          <w:b w:val="1"/>
          <w:bCs w:val="1"/>
          <w:color w:val="auto"/>
        </w:rPr>
        <w:t>Priority Technology Holdings, Inc</w:t>
      </w:r>
      <w:r>
        <w:rPr>
          <w:rFonts w:ascii="Arial" w:cs="Arial" w:eastAsia="Arial" w:hAnsi="Arial"/>
          <w:sz w:val="13"/>
          <w:szCs w:val="13"/>
          <w:color w:val="auto"/>
        </w:rPr>
        <w: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 Consolidated Statements of Cash Flows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20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28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88"/>
              </w:rPr>
              <w:t>Six Months Ended June 30,</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2023</w:t>
            </w: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w w:val="82"/>
              </w:rPr>
              <w:t>2022</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2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Net loss</w:t>
            </w:r>
          </w:p>
        </w:tc>
        <w:tc>
          <w:tcPr>
            <w:tcW w:w="3780" w:type="dxa"/>
            <w:vAlign w:val="bottom"/>
            <w:gridSpan w:val="2"/>
          </w:tcPr>
          <w:p>
            <w:pPr>
              <w:jc w:val="right"/>
              <w:ind w:right="788"/>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(1,118)</w:t>
            </w:r>
          </w:p>
        </w:tc>
        <w:tc>
          <w:tcPr>
            <w:tcW w:w="78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Adjustments to reconcile net loss to net cash provided by operating activities:</w:t>
            </w:r>
          </w:p>
        </w:tc>
        <w:tc>
          <w:tcPr>
            <w:tcW w:w="2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00" w:type="dxa"/>
            <w:vAlign w:val="bottom"/>
          </w:tcPr>
          <w:p>
            <w:pPr>
              <w:ind w:left="140"/>
              <w:spacing w:after="0"/>
              <w:rPr>
                <w:sz w:val="20"/>
                <w:szCs w:val="20"/>
                <w:color w:val="auto"/>
              </w:rPr>
            </w:pPr>
            <w:r>
              <w:rPr>
                <w:rFonts w:ascii="Arial" w:cs="Arial" w:eastAsia="Arial" w:hAnsi="Arial"/>
                <w:sz w:val="12"/>
                <w:szCs w:val="12"/>
                <w:color w:val="auto"/>
              </w:rPr>
              <w:t>Depreciation and amortization of assets</w:t>
            </w:r>
          </w:p>
        </w:tc>
        <w:tc>
          <w:tcPr>
            <w:tcW w:w="2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36,028</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34,858</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Arial" w:cs="Arial" w:eastAsia="Arial" w:hAnsi="Arial"/>
                <w:sz w:val="12"/>
                <w:szCs w:val="12"/>
                <w:color w:val="auto"/>
              </w:rPr>
              <w:t>Stock-based compensation</w:t>
            </w:r>
          </w:p>
        </w:tc>
        <w:tc>
          <w:tcPr>
            <w:tcW w:w="2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3,682</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3,100</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Arial" w:cs="Arial" w:eastAsia="Arial" w:hAnsi="Arial"/>
                <w:sz w:val="12"/>
                <w:szCs w:val="12"/>
                <w:color w:val="auto"/>
              </w:rPr>
              <w:t>Amortization of debt issuance costs and discounts</w:t>
            </w:r>
          </w:p>
        </w:tc>
        <w:tc>
          <w:tcPr>
            <w:tcW w:w="2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1,826</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1,719</w:t>
            </w:r>
          </w:p>
        </w:tc>
        <w:tc>
          <w:tcPr>
            <w:tcW w:w="0" w:type="dxa"/>
            <w:vAlign w:val="bottom"/>
          </w:tcPr>
          <w:p>
            <w:pPr>
              <w:spacing w:after="0"/>
              <w:rPr>
                <w:sz w:val="1"/>
                <w:szCs w:val="1"/>
                <w:color w:val="auto"/>
              </w:rPr>
            </w:pPr>
          </w:p>
        </w:tc>
      </w:tr>
      <w:tr>
        <w:trPr>
          <w:trHeight w:val="162"/>
        </w:trPr>
        <w:tc>
          <w:tcPr>
            <w:tcW w:w="5200" w:type="dxa"/>
            <w:vAlign w:val="bottom"/>
          </w:tcPr>
          <w:p>
            <w:pPr>
              <w:ind w:left="140"/>
              <w:spacing w:after="0"/>
              <w:rPr>
                <w:sz w:val="20"/>
                <w:szCs w:val="20"/>
                <w:color w:val="auto"/>
              </w:rPr>
            </w:pPr>
            <w:r>
              <w:rPr>
                <w:rFonts w:ascii="Arial" w:cs="Arial" w:eastAsia="Arial" w:hAnsi="Arial"/>
                <w:sz w:val="12"/>
                <w:szCs w:val="12"/>
                <w:color w:val="auto"/>
              </w:rPr>
              <w:t>Deferred income tax</w:t>
            </w:r>
          </w:p>
        </w:tc>
        <w:tc>
          <w:tcPr>
            <w:tcW w:w="2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(9,619)</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(3,053)</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Arial" w:cs="Arial" w:eastAsia="Arial" w:hAnsi="Arial"/>
                <w:sz w:val="12"/>
                <w:szCs w:val="12"/>
                <w:color w:val="auto"/>
              </w:rPr>
              <w:t>Change in contingent consideration</w:t>
            </w:r>
          </w:p>
        </w:tc>
        <w:tc>
          <w:tcPr>
            <w:tcW w:w="2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346</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200" w:type="dxa"/>
            <w:vAlign w:val="bottom"/>
          </w:tcPr>
          <w:p>
            <w:pPr>
              <w:ind w:left="160"/>
              <w:spacing w:after="0"/>
              <w:rPr>
                <w:sz w:val="20"/>
                <w:szCs w:val="20"/>
                <w:color w:val="auto"/>
              </w:rPr>
            </w:pPr>
            <w:r>
              <w:rPr>
                <w:rFonts w:ascii="Arial" w:cs="Arial" w:eastAsia="Arial" w:hAnsi="Arial"/>
                <w:sz w:val="12"/>
                <w:szCs w:val="12"/>
                <w:color w:val="auto"/>
              </w:rPr>
              <w:t>Other non-cash items, net</w:t>
            </w:r>
          </w:p>
        </w:tc>
        <w:tc>
          <w:tcPr>
            <w:tcW w:w="2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(461)</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5200" w:type="dxa"/>
            <w:vAlign w:val="bottom"/>
          </w:tcPr>
          <w:p>
            <w:pPr>
              <w:ind w:left="80"/>
              <w:spacing w:after="0"/>
              <w:rPr>
                <w:sz w:val="20"/>
                <w:szCs w:val="20"/>
                <w:color w:val="auto"/>
              </w:rPr>
            </w:pPr>
            <w:r>
              <w:rPr>
                <w:rFonts w:ascii="Arial" w:cs="Arial" w:eastAsia="Arial" w:hAnsi="Arial"/>
                <w:sz w:val="12"/>
                <w:szCs w:val="12"/>
                <w:color w:val="auto"/>
              </w:rPr>
              <w:t>Change in operating assets and liabilities:</w:t>
            </w:r>
          </w:p>
        </w:tc>
        <w:tc>
          <w:tcPr>
            <w:tcW w:w="2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Arial" w:cs="Arial" w:eastAsia="Arial" w:hAnsi="Arial"/>
                <w:sz w:val="12"/>
                <w:szCs w:val="12"/>
                <w:color w:val="auto"/>
              </w:rPr>
              <w:t>Accounts receivable</w:t>
            </w:r>
          </w:p>
        </w:tc>
        <w:tc>
          <w:tcPr>
            <w:tcW w:w="2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18,066</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(12,015)</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Arial" w:cs="Arial" w:eastAsia="Arial" w:hAnsi="Arial"/>
                <w:sz w:val="12"/>
                <w:szCs w:val="12"/>
                <w:color w:val="auto"/>
              </w:rPr>
              <w:t>Prepaid expenses and other current assets</w:t>
            </w:r>
          </w:p>
        </w:tc>
        <w:tc>
          <w:tcPr>
            <w:tcW w:w="2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(3,560)</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(4,445)</w:t>
            </w:r>
          </w:p>
        </w:tc>
        <w:tc>
          <w:tcPr>
            <w:tcW w:w="0" w:type="dxa"/>
            <w:vAlign w:val="bottom"/>
          </w:tcPr>
          <w:p>
            <w:pPr>
              <w:spacing w:after="0"/>
              <w:rPr>
                <w:sz w:val="1"/>
                <w:szCs w:val="1"/>
                <w:color w:val="auto"/>
              </w:rPr>
            </w:pPr>
          </w:p>
        </w:tc>
      </w:tr>
      <w:tr>
        <w:trPr>
          <w:trHeight w:val="162"/>
        </w:trPr>
        <w:tc>
          <w:tcPr>
            <w:tcW w:w="5200" w:type="dxa"/>
            <w:vAlign w:val="bottom"/>
          </w:tcPr>
          <w:p>
            <w:pPr>
              <w:ind w:left="140"/>
              <w:spacing w:after="0"/>
              <w:rPr>
                <w:sz w:val="20"/>
                <w:szCs w:val="20"/>
                <w:color w:val="auto"/>
              </w:rPr>
            </w:pPr>
            <w:r>
              <w:rPr>
                <w:rFonts w:ascii="Arial" w:cs="Arial" w:eastAsia="Arial" w:hAnsi="Arial"/>
                <w:sz w:val="12"/>
                <w:szCs w:val="12"/>
                <w:color w:val="auto"/>
              </w:rPr>
              <w:t>Income taxes (receivable) payable</w:t>
            </w:r>
          </w:p>
        </w:tc>
        <w:tc>
          <w:tcPr>
            <w:tcW w:w="2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498</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(304)</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Arial" w:cs="Arial" w:eastAsia="Arial" w:hAnsi="Arial"/>
                <w:sz w:val="12"/>
                <w:szCs w:val="12"/>
                <w:color w:val="auto"/>
              </w:rPr>
              <w:t>Notes receivable</w:t>
            </w:r>
          </w:p>
        </w:tc>
        <w:tc>
          <w:tcPr>
            <w:tcW w:w="2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(389)</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297</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Arial" w:cs="Arial" w:eastAsia="Arial" w:hAnsi="Arial"/>
                <w:sz w:val="12"/>
                <w:szCs w:val="12"/>
                <w:color w:val="auto"/>
              </w:rPr>
              <w:t>Accounts payable and other accrued liabilities</w:t>
            </w:r>
          </w:p>
        </w:tc>
        <w:tc>
          <w:tcPr>
            <w:tcW w:w="2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1,306</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14,792</w:t>
            </w:r>
          </w:p>
        </w:tc>
        <w:tc>
          <w:tcPr>
            <w:tcW w:w="0" w:type="dxa"/>
            <w:vAlign w:val="bottom"/>
          </w:tcPr>
          <w:p>
            <w:pPr>
              <w:spacing w:after="0"/>
              <w:rPr>
                <w:sz w:val="1"/>
                <w:szCs w:val="1"/>
                <w:color w:val="auto"/>
              </w:rPr>
            </w:pPr>
          </w:p>
        </w:tc>
      </w:tr>
      <w:tr>
        <w:trPr>
          <w:trHeight w:val="162"/>
        </w:trPr>
        <w:tc>
          <w:tcPr>
            <w:tcW w:w="5200" w:type="dxa"/>
            <w:vAlign w:val="bottom"/>
          </w:tcPr>
          <w:p>
            <w:pPr>
              <w:ind w:left="140"/>
              <w:spacing w:after="0"/>
              <w:rPr>
                <w:sz w:val="20"/>
                <w:szCs w:val="20"/>
                <w:color w:val="auto"/>
              </w:rPr>
            </w:pPr>
            <w:r>
              <w:rPr>
                <w:rFonts w:ascii="Arial" w:cs="Arial" w:eastAsia="Arial" w:hAnsi="Arial"/>
                <w:sz w:val="12"/>
                <w:szCs w:val="12"/>
                <w:color w:val="auto"/>
              </w:rPr>
              <w:t>Customer deposits and advance payments</w:t>
            </w:r>
          </w:p>
        </w:tc>
        <w:tc>
          <w:tcPr>
            <w:tcW w:w="2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635</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(3,957)</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Arial" w:cs="Arial" w:eastAsia="Arial" w:hAnsi="Arial"/>
                <w:sz w:val="12"/>
                <w:szCs w:val="12"/>
                <w:color w:val="auto"/>
              </w:rPr>
              <w:t>Other assets and liabilities, net</w:t>
            </w:r>
          </w:p>
        </w:tc>
        <w:tc>
          <w:tcPr>
            <w:tcW w:w="28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(383)</w:t>
            </w:r>
          </w:p>
        </w:tc>
        <w:tc>
          <w:tcPr>
            <w:tcW w:w="1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(612)</w:t>
            </w:r>
          </w:p>
        </w:tc>
        <w:tc>
          <w:tcPr>
            <w:tcW w:w="0" w:type="dxa"/>
            <w:vAlign w:val="bottom"/>
          </w:tcPr>
          <w:p>
            <w:pPr>
              <w:spacing w:after="0"/>
              <w:rPr>
                <w:sz w:val="1"/>
                <w:szCs w:val="1"/>
                <w:color w:val="auto"/>
              </w:rPr>
            </w:pPr>
          </w:p>
        </w:tc>
      </w:tr>
      <w:tr>
        <w:trPr>
          <w:trHeight w:val="151"/>
        </w:trPr>
        <w:tc>
          <w:tcPr>
            <w:tcW w:w="5200" w:type="dxa"/>
            <w:vAlign w:val="bottom"/>
          </w:tcPr>
          <w:p>
            <w:pPr>
              <w:ind w:left="80"/>
              <w:spacing w:after="0"/>
              <w:rPr>
                <w:sz w:val="20"/>
                <w:szCs w:val="20"/>
                <w:color w:val="auto"/>
              </w:rPr>
            </w:pPr>
            <w:r>
              <w:rPr>
                <w:rFonts w:ascii="Arial" w:cs="Arial" w:eastAsia="Arial" w:hAnsi="Arial"/>
                <w:sz w:val="12"/>
                <w:szCs w:val="12"/>
                <w:b w:val="1"/>
                <w:bCs w:val="1"/>
                <w:color w:val="auto"/>
              </w:rPr>
              <w:t>Net cash provided by operating activities</w:t>
            </w:r>
          </w:p>
        </w:tc>
        <w:tc>
          <w:tcPr>
            <w:tcW w:w="28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46,857</w:t>
            </w:r>
          </w:p>
        </w:tc>
        <w:tc>
          <w:tcPr>
            <w:tcW w:w="1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30,334</w:t>
            </w:r>
          </w:p>
        </w:tc>
        <w:tc>
          <w:tcPr>
            <w:tcW w:w="0" w:type="dxa"/>
            <w:vAlign w:val="bottom"/>
          </w:tcPr>
          <w:p>
            <w:pPr>
              <w:spacing w:after="0"/>
              <w:rPr>
                <w:sz w:val="1"/>
                <w:szCs w:val="1"/>
                <w:color w:val="auto"/>
              </w:rPr>
            </w:pPr>
          </w:p>
        </w:tc>
      </w:tr>
      <w:tr>
        <w:trPr>
          <w:trHeight w:val="137"/>
        </w:trPr>
        <w:tc>
          <w:tcPr>
            <w:tcW w:w="5200" w:type="dxa"/>
            <w:vAlign w:val="bottom"/>
          </w:tcPr>
          <w:p>
            <w:pPr>
              <w:spacing w:after="0" w:line="137" w:lineRule="exact"/>
              <w:rPr>
                <w:sz w:val="20"/>
                <w:szCs w:val="20"/>
                <w:color w:val="auto"/>
              </w:rPr>
            </w:pPr>
            <w:r>
              <w:rPr>
                <w:rFonts w:ascii="Arial" w:cs="Arial" w:eastAsia="Arial" w:hAnsi="Arial"/>
                <w:sz w:val="12"/>
                <w:szCs w:val="12"/>
                <w:b w:val="1"/>
                <w:bCs w:val="1"/>
                <w:color w:val="auto"/>
              </w:rPr>
              <w:t>Cash flows from investing activities:</w:t>
            </w:r>
          </w:p>
        </w:tc>
        <w:tc>
          <w:tcPr>
            <w:tcW w:w="2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200" w:type="dxa"/>
            <w:vAlign w:val="bottom"/>
          </w:tcPr>
          <w:p>
            <w:pPr>
              <w:ind w:left="80"/>
              <w:spacing w:after="0"/>
              <w:rPr>
                <w:sz w:val="20"/>
                <w:szCs w:val="20"/>
                <w:color w:val="auto"/>
              </w:rPr>
            </w:pPr>
            <w:r>
              <w:rPr>
                <w:rFonts w:ascii="Arial" w:cs="Arial" w:eastAsia="Arial" w:hAnsi="Arial"/>
                <w:sz w:val="12"/>
                <w:szCs w:val="12"/>
                <w:color w:val="auto"/>
              </w:rPr>
              <w:t>Additions to property, equipment and software</w:t>
            </w:r>
          </w:p>
        </w:tc>
        <w:tc>
          <w:tcPr>
            <w:tcW w:w="2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(9,869)</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(6,011)</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Notes receivable, net</w:t>
            </w:r>
          </w:p>
        </w:tc>
        <w:tc>
          <w:tcPr>
            <w:tcW w:w="2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(498)</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(2,750)</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Acquisitions of assets and other investing activities</w:t>
            </w:r>
          </w:p>
        </w:tc>
        <w:tc>
          <w:tcPr>
            <w:tcW w:w="28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(2,715)</w:t>
            </w:r>
          </w:p>
        </w:tc>
        <w:tc>
          <w:tcPr>
            <w:tcW w:w="1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(3,974)</w:t>
            </w:r>
          </w:p>
        </w:tc>
        <w:tc>
          <w:tcPr>
            <w:tcW w:w="0" w:type="dxa"/>
            <w:vAlign w:val="bottom"/>
          </w:tcPr>
          <w:p>
            <w:pPr>
              <w:spacing w:after="0"/>
              <w:rPr>
                <w:sz w:val="1"/>
                <w:szCs w:val="1"/>
                <w:color w:val="auto"/>
              </w:rPr>
            </w:pPr>
          </w:p>
        </w:tc>
      </w:tr>
      <w:tr>
        <w:trPr>
          <w:trHeight w:val="142"/>
        </w:trPr>
        <w:tc>
          <w:tcPr>
            <w:tcW w:w="5200" w:type="dxa"/>
            <w:vAlign w:val="bottom"/>
          </w:tcPr>
          <w:p>
            <w:pPr>
              <w:ind w:left="80"/>
              <w:spacing w:after="0"/>
              <w:rPr>
                <w:sz w:val="20"/>
                <w:szCs w:val="20"/>
                <w:color w:val="auto"/>
              </w:rPr>
            </w:pPr>
            <w:r>
              <w:rPr>
                <w:rFonts w:ascii="Arial" w:cs="Arial" w:eastAsia="Arial" w:hAnsi="Arial"/>
                <w:sz w:val="12"/>
                <w:szCs w:val="12"/>
                <w:b w:val="1"/>
                <w:bCs w:val="1"/>
                <w:color w:val="auto"/>
              </w:rPr>
              <w:t>Net cash used in investing activities</w:t>
            </w:r>
          </w:p>
        </w:tc>
        <w:tc>
          <w:tcPr>
            <w:tcW w:w="28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(13,082)</w:t>
            </w:r>
          </w:p>
        </w:tc>
        <w:tc>
          <w:tcPr>
            <w:tcW w:w="1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(12,735)</w:t>
            </w:r>
          </w:p>
        </w:tc>
        <w:tc>
          <w:tcPr>
            <w:tcW w:w="0" w:type="dxa"/>
            <w:vAlign w:val="bottom"/>
          </w:tcPr>
          <w:p>
            <w:pPr>
              <w:spacing w:after="0"/>
              <w:rPr>
                <w:sz w:val="1"/>
                <w:szCs w:val="1"/>
                <w:color w:val="auto"/>
              </w:rPr>
            </w:pPr>
          </w:p>
        </w:tc>
      </w:tr>
      <w:tr>
        <w:trPr>
          <w:trHeight w:val="142"/>
        </w:trPr>
        <w:tc>
          <w:tcPr>
            <w:tcW w:w="5200" w:type="dxa"/>
            <w:vAlign w:val="bottom"/>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2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Repayments of long-term debt</w:t>
            </w:r>
          </w:p>
        </w:tc>
        <w:tc>
          <w:tcPr>
            <w:tcW w:w="2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(3,525)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(3,100)</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Borrowings under revolving credit facility</w:t>
            </w:r>
          </w:p>
        </w:tc>
        <w:tc>
          <w:tcPr>
            <w:tcW w:w="2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5,000</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12,000</w:t>
            </w:r>
          </w:p>
        </w:tc>
        <w:tc>
          <w:tcPr>
            <w:tcW w:w="0" w:type="dxa"/>
            <w:vAlign w:val="bottom"/>
          </w:tcPr>
          <w:p>
            <w:pPr>
              <w:spacing w:after="0"/>
              <w:rPr>
                <w:sz w:val="1"/>
                <w:szCs w:val="1"/>
                <w:color w:val="auto"/>
              </w:rPr>
            </w:pPr>
          </w:p>
        </w:tc>
      </w:tr>
      <w:tr>
        <w:trPr>
          <w:trHeight w:val="162"/>
        </w:trPr>
        <w:tc>
          <w:tcPr>
            <w:tcW w:w="5200" w:type="dxa"/>
            <w:vAlign w:val="bottom"/>
          </w:tcPr>
          <w:p>
            <w:pPr>
              <w:ind w:left="80"/>
              <w:spacing w:after="0"/>
              <w:rPr>
                <w:sz w:val="20"/>
                <w:szCs w:val="20"/>
                <w:color w:val="auto"/>
              </w:rPr>
            </w:pPr>
            <w:r>
              <w:rPr>
                <w:rFonts w:ascii="Arial" w:cs="Arial" w:eastAsia="Arial" w:hAnsi="Arial"/>
                <w:sz w:val="12"/>
                <w:szCs w:val="12"/>
                <w:color w:val="auto"/>
              </w:rPr>
              <w:t>Repayments of borrowings under revolving credit facility</w:t>
            </w:r>
          </w:p>
        </w:tc>
        <w:tc>
          <w:tcPr>
            <w:tcW w:w="2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(12,000)</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(12,500)</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Repurchases of common stock and shares withheld for taxes</w:t>
            </w:r>
          </w:p>
        </w:tc>
        <w:tc>
          <w:tcPr>
            <w:tcW w:w="2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(1,018)</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(2,079)</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Dividends paid to redeemable senior preferred stockholders</w:t>
            </w:r>
          </w:p>
        </w:tc>
        <w:tc>
          <w:tcPr>
            <w:tcW w:w="2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(17,908)</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(7,076)</w:t>
            </w:r>
          </w:p>
        </w:tc>
        <w:tc>
          <w:tcPr>
            <w:tcW w:w="0" w:type="dxa"/>
            <w:vAlign w:val="bottom"/>
          </w:tcPr>
          <w:p>
            <w:pPr>
              <w:spacing w:after="0"/>
              <w:rPr>
                <w:sz w:val="1"/>
                <w:szCs w:val="1"/>
                <w:color w:val="auto"/>
              </w:rPr>
            </w:pPr>
          </w:p>
        </w:tc>
      </w:tr>
      <w:tr>
        <w:trPr>
          <w:trHeight w:val="162"/>
        </w:trPr>
        <w:tc>
          <w:tcPr>
            <w:tcW w:w="5200" w:type="dxa"/>
            <w:vAlign w:val="bottom"/>
          </w:tcPr>
          <w:p>
            <w:pPr>
              <w:ind w:left="80"/>
              <w:spacing w:after="0"/>
              <w:rPr>
                <w:sz w:val="20"/>
                <w:szCs w:val="20"/>
                <w:color w:val="auto"/>
              </w:rPr>
            </w:pPr>
            <w:r>
              <w:rPr>
                <w:rFonts w:ascii="Arial" w:cs="Arial" w:eastAsia="Arial" w:hAnsi="Arial"/>
                <w:sz w:val="12"/>
                <w:szCs w:val="12"/>
                <w:color w:val="auto"/>
              </w:rPr>
              <w:t>Settlement and customer/subscriber accounts obligations, net</w:t>
            </w:r>
          </w:p>
        </w:tc>
        <w:tc>
          <w:tcPr>
            <w:tcW w:w="2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175,548</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15,180</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Payment of contingent consideration related to business combination</w:t>
            </w:r>
          </w:p>
        </w:tc>
        <w:tc>
          <w:tcPr>
            <w:tcW w:w="28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(1,959)</w:t>
            </w:r>
          </w:p>
        </w:tc>
        <w:tc>
          <w:tcPr>
            <w:tcW w:w="1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(1,863)</w:t>
            </w:r>
          </w:p>
        </w:tc>
        <w:tc>
          <w:tcPr>
            <w:tcW w:w="0" w:type="dxa"/>
            <w:vAlign w:val="bottom"/>
          </w:tcPr>
          <w:p>
            <w:pPr>
              <w:spacing w:after="0"/>
              <w:rPr>
                <w:sz w:val="1"/>
                <w:szCs w:val="1"/>
                <w:color w:val="auto"/>
              </w:rPr>
            </w:pPr>
          </w:p>
        </w:tc>
      </w:tr>
      <w:tr>
        <w:trPr>
          <w:trHeight w:val="138"/>
        </w:trPr>
        <w:tc>
          <w:tcPr>
            <w:tcW w:w="5200" w:type="dxa"/>
            <w:vAlign w:val="bottom"/>
          </w:tcPr>
          <w:p>
            <w:pPr>
              <w:ind w:left="80"/>
              <w:spacing w:after="0"/>
              <w:rPr>
                <w:sz w:val="20"/>
                <w:szCs w:val="20"/>
                <w:color w:val="auto"/>
              </w:rPr>
            </w:pPr>
            <w:r>
              <w:rPr>
                <w:rFonts w:ascii="Arial" w:cs="Arial" w:eastAsia="Arial" w:hAnsi="Arial"/>
                <w:sz w:val="12"/>
                <w:szCs w:val="12"/>
                <w:b w:val="1"/>
                <w:bCs w:val="1"/>
                <w:color w:val="auto"/>
              </w:rPr>
              <w:t>Net cash provided by financing activities</w:t>
            </w:r>
          </w:p>
        </w:tc>
        <w:tc>
          <w:tcPr>
            <w:tcW w:w="2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144,138</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562</w:t>
            </w:r>
          </w:p>
        </w:tc>
        <w:tc>
          <w:tcPr>
            <w:tcW w:w="0" w:type="dxa"/>
            <w:vAlign w:val="bottom"/>
          </w:tcPr>
          <w:p>
            <w:pPr>
              <w:spacing w:after="0"/>
              <w:rPr>
                <w:sz w:val="1"/>
                <w:szCs w:val="1"/>
                <w:color w:val="auto"/>
              </w:rPr>
            </w:pPr>
          </w:p>
        </w:tc>
      </w:tr>
      <w:tr>
        <w:trPr>
          <w:trHeight w:val="157"/>
        </w:trPr>
        <w:tc>
          <w:tcPr>
            <w:tcW w:w="5200" w:type="dxa"/>
            <w:vAlign w:val="bottom"/>
          </w:tcPr>
          <w:p>
            <w:pPr>
              <w:ind w:left="20"/>
              <w:spacing w:after="0"/>
              <w:rPr>
                <w:sz w:val="20"/>
                <w:szCs w:val="20"/>
                <w:color w:val="auto"/>
              </w:rPr>
            </w:pPr>
            <w:r>
              <w:rPr>
                <w:rFonts w:ascii="Arial" w:cs="Arial" w:eastAsia="Arial" w:hAnsi="Arial"/>
                <w:sz w:val="12"/>
                <w:szCs w:val="12"/>
                <w:b w:val="1"/>
                <w:bCs w:val="1"/>
                <w:color w:val="auto"/>
              </w:rPr>
              <w:t>Net change in cash and cash equivalents, and restricted cash:</w:t>
            </w:r>
          </w:p>
        </w:tc>
        <w:tc>
          <w:tcPr>
            <w:tcW w:w="2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00" w:type="dxa"/>
            <w:vAlign w:val="bottom"/>
          </w:tcPr>
          <w:p>
            <w:pPr>
              <w:ind w:left="80"/>
              <w:spacing w:after="0"/>
              <w:rPr>
                <w:sz w:val="20"/>
                <w:szCs w:val="20"/>
                <w:color w:val="auto"/>
              </w:rPr>
            </w:pPr>
            <w:r>
              <w:rPr>
                <w:rFonts w:ascii="Arial" w:cs="Arial" w:eastAsia="Arial" w:hAnsi="Arial"/>
                <w:sz w:val="12"/>
                <w:szCs w:val="12"/>
                <w:color w:val="auto"/>
              </w:rPr>
              <w:t>Net increase in cash and cash equivalents, and restricted cash</w:t>
            </w:r>
          </w:p>
        </w:tc>
        <w:tc>
          <w:tcPr>
            <w:tcW w:w="2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177,913</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18,161</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Cash and cash equivalents, and restricted cash at beginning of period</w:t>
            </w:r>
          </w:p>
        </w:tc>
        <w:tc>
          <w:tcPr>
            <w:tcW w:w="28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560,610</w:t>
            </w:r>
          </w:p>
        </w:tc>
        <w:tc>
          <w:tcPr>
            <w:tcW w:w="1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518,093</w:t>
            </w:r>
          </w:p>
        </w:tc>
        <w:tc>
          <w:tcPr>
            <w:tcW w:w="0" w:type="dxa"/>
            <w:vAlign w:val="bottom"/>
          </w:tcPr>
          <w:p>
            <w:pPr>
              <w:spacing w:after="0"/>
              <w:rPr>
                <w:sz w:val="1"/>
                <w:szCs w:val="1"/>
                <w:color w:val="auto"/>
              </w:rPr>
            </w:pPr>
          </w:p>
        </w:tc>
      </w:tr>
      <w:tr>
        <w:trPr>
          <w:trHeight w:val="151"/>
        </w:trPr>
        <w:tc>
          <w:tcPr>
            <w:tcW w:w="5200" w:type="dxa"/>
            <w:vAlign w:val="bottom"/>
          </w:tcPr>
          <w:p>
            <w:pPr>
              <w:spacing w:after="0"/>
              <w:rPr>
                <w:sz w:val="20"/>
                <w:szCs w:val="20"/>
                <w:color w:val="auto"/>
              </w:rPr>
            </w:pPr>
            <w:r>
              <w:rPr>
                <w:rFonts w:ascii="Arial" w:cs="Arial" w:eastAsia="Arial" w:hAnsi="Arial"/>
                <w:sz w:val="12"/>
                <w:szCs w:val="12"/>
                <w:b w:val="1"/>
                <w:bCs w:val="1"/>
                <w:color w:val="auto"/>
              </w:rPr>
              <w:t>Cash and cash equivalents, and restricted cash equivalents at end of period</w:t>
            </w:r>
          </w:p>
        </w:tc>
        <w:tc>
          <w:tcPr>
            <w:tcW w:w="2880" w:type="dxa"/>
            <w:vAlign w:val="bottom"/>
          </w:tcPr>
          <w:p>
            <w:pPr>
              <w:spacing w:after="0"/>
              <w:rPr>
                <w:sz w:val="13"/>
                <w:szCs w:val="13"/>
                <w:color w:val="auto"/>
              </w:rPr>
            </w:pPr>
          </w:p>
        </w:tc>
        <w:tc>
          <w:tcPr>
            <w:tcW w:w="900" w:type="dxa"/>
            <w:vAlign w:val="bottom"/>
            <w:tcBorders>
              <w:bottom w:val="single" w:sz="8" w:color="auto"/>
            </w:tcBorders>
          </w:tcPr>
          <w:p>
            <w:pPr>
              <w:jc w:val="right"/>
              <w:ind w:right="788"/>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738,523</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536,254</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2"/>
                <w:szCs w:val="12"/>
                <w:b w:val="1"/>
                <w:bCs w:val="1"/>
                <w:color w:val="auto"/>
              </w:rPr>
              <w:t>Reconciliation of cash and cash equivalents, and restricted cash:</w:t>
            </w:r>
          </w:p>
        </w:tc>
        <w:tc>
          <w:tcPr>
            <w:tcW w:w="2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200" w:type="dxa"/>
            <w:vAlign w:val="bottom"/>
            <w:vMerge w:val="continue"/>
          </w:tcPr>
          <w:p>
            <w:pPr>
              <w:spacing w:after="0"/>
              <w:rPr>
                <w:sz w:val="19"/>
                <w:szCs w:val="19"/>
                <w:color w:val="auto"/>
              </w:rPr>
            </w:pPr>
          </w:p>
        </w:tc>
        <w:tc>
          <w:tcPr>
            <w:tcW w:w="2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Cash and cash equivalents</w:t>
            </w:r>
          </w:p>
        </w:tc>
        <w:tc>
          <w:tcPr>
            <w:tcW w:w="3780" w:type="dxa"/>
            <w:vAlign w:val="bottom"/>
            <w:gridSpan w:val="2"/>
          </w:tcPr>
          <w:p>
            <w:pPr>
              <w:jc w:val="right"/>
              <w:ind w:right="788"/>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17,567</w:t>
            </w:r>
          </w:p>
        </w:tc>
        <w:tc>
          <w:tcPr>
            <w:tcW w:w="78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22,162</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Restricted cash</w:t>
            </w:r>
          </w:p>
        </w:tc>
        <w:tc>
          <w:tcPr>
            <w:tcW w:w="2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12,357</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11,717</w:t>
            </w:r>
          </w:p>
        </w:tc>
        <w:tc>
          <w:tcPr>
            <w:tcW w:w="0" w:type="dxa"/>
            <w:vAlign w:val="bottom"/>
          </w:tcPr>
          <w:p>
            <w:pPr>
              <w:spacing w:after="0"/>
              <w:rPr>
                <w:sz w:val="1"/>
                <w:szCs w:val="1"/>
                <w:color w:val="auto"/>
              </w:rPr>
            </w:pPr>
          </w:p>
        </w:tc>
      </w:tr>
      <w:tr>
        <w:trPr>
          <w:trHeight w:val="162"/>
        </w:trPr>
        <w:tc>
          <w:tcPr>
            <w:tcW w:w="5200" w:type="dxa"/>
            <w:vAlign w:val="bottom"/>
          </w:tcPr>
          <w:p>
            <w:pPr>
              <w:ind w:left="80"/>
              <w:spacing w:after="0"/>
              <w:rPr>
                <w:sz w:val="20"/>
                <w:szCs w:val="20"/>
                <w:color w:val="auto"/>
              </w:rPr>
            </w:pPr>
            <w:r>
              <w:rPr>
                <w:rFonts w:ascii="Arial" w:cs="Arial" w:eastAsia="Arial" w:hAnsi="Arial"/>
                <w:sz w:val="12"/>
                <w:szCs w:val="12"/>
                <w:color w:val="auto"/>
                <w:w w:val="95"/>
              </w:rPr>
              <w:t>Cash and cash equivalents included in settlement assets and customer/subscriber account balances</w:t>
            </w:r>
          </w:p>
        </w:tc>
        <w:tc>
          <w:tcPr>
            <w:tcW w:w="28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708,599</w:t>
            </w:r>
          </w:p>
        </w:tc>
        <w:tc>
          <w:tcPr>
            <w:tcW w:w="1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502,375</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20"/>
                <w:szCs w:val="20"/>
                <w:color w:val="auto"/>
              </w:rPr>
            </w:pPr>
            <w:r>
              <w:rPr>
                <w:rFonts w:ascii="Arial" w:cs="Arial" w:eastAsia="Arial" w:hAnsi="Arial"/>
                <w:sz w:val="12"/>
                <w:szCs w:val="12"/>
                <w:b w:val="1"/>
                <w:bCs w:val="1"/>
                <w:color w:val="auto"/>
              </w:rPr>
              <w:t>Total cash and cash equivalents, and restricted cash</w:t>
            </w:r>
          </w:p>
        </w:tc>
        <w:tc>
          <w:tcPr>
            <w:tcW w:w="2880" w:type="dxa"/>
            <w:vAlign w:val="bottom"/>
          </w:tcPr>
          <w:p>
            <w:pPr>
              <w:spacing w:after="0"/>
              <w:rPr>
                <w:sz w:val="12"/>
                <w:szCs w:val="12"/>
                <w:color w:val="auto"/>
              </w:rPr>
            </w:pPr>
          </w:p>
        </w:tc>
        <w:tc>
          <w:tcPr>
            <w:tcW w:w="900" w:type="dxa"/>
            <w:vAlign w:val="bottom"/>
            <w:tcBorders>
              <w:bottom w:val="single" w:sz="8" w:color="auto"/>
            </w:tcBorders>
          </w:tcPr>
          <w:p>
            <w:pPr>
              <w:jc w:val="right"/>
              <w:ind w:right="788"/>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738,523</w:t>
            </w:r>
          </w:p>
        </w:tc>
        <w:tc>
          <w:tcPr>
            <w:tcW w:w="120" w:type="dxa"/>
            <w:vAlign w:val="bottom"/>
          </w:tcPr>
          <w:p>
            <w:pPr>
              <w:spacing w:after="0"/>
              <w:rPr>
                <w:sz w:val="12"/>
                <w:szCs w:val="12"/>
                <w:color w:val="auto"/>
              </w:rPr>
            </w:pPr>
          </w:p>
        </w:tc>
        <w:tc>
          <w:tcPr>
            <w:tcW w:w="6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536,254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80" w:type="dxa"/>
            <w:vAlign w:val="bottom"/>
            <w:vMerge w:val="restart"/>
          </w:tcPr>
          <w:p>
            <w:pPr>
              <w:jc w:val="right"/>
              <w:ind w:right="2340"/>
              <w:spacing w:after="0"/>
              <w:rPr>
                <w:sz w:val="20"/>
                <w:szCs w:val="20"/>
                <w:color w:val="auto"/>
              </w:rPr>
            </w:pPr>
            <w:r>
              <w:rPr>
                <w:rFonts w:ascii="Arial" w:cs="Arial" w:eastAsia="Arial" w:hAnsi="Arial"/>
                <w:sz w:val="12"/>
                <w:szCs w:val="12"/>
                <w:color w:val="auto"/>
              </w:rPr>
              <w:t>8</w:t>
            </w: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20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87"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2"/>
          <w:szCs w:val="12"/>
          <w:b w:val="1"/>
          <w:bCs w:val="1"/>
          <w:color w:val="auto"/>
        </w:rPr>
        <w:t>Priority Technology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 Reportable Segments' Results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66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2"/>
                <w:szCs w:val="12"/>
                <w:b w:val="1"/>
                <w:bCs w:val="1"/>
                <w:color w:val="auto"/>
              </w:rPr>
              <w:t>Three Months Ended June 30,</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Six Months Ended June 30,</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2023</w:t>
            </w: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2023</w:t>
            </w:r>
          </w:p>
        </w:tc>
        <w:tc>
          <w:tcPr>
            <w:tcW w:w="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w w:val="89"/>
              </w:rPr>
              <w:t>2022</w:t>
            </w:r>
          </w:p>
        </w:tc>
        <w:tc>
          <w:tcPr>
            <w:tcW w:w="0" w:type="dxa"/>
            <w:vAlign w:val="bottom"/>
          </w:tcPr>
          <w:p>
            <w:pPr>
              <w:spacing w:after="0"/>
              <w:rPr>
                <w:sz w:val="1"/>
                <w:szCs w:val="1"/>
                <w:color w:val="auto"/>
              </w:rPr>
            </w:pPr>
          </w:p>
        </w:tc>
      </w:tr>
      <w:tr>
        <w:trPr>
          <w:trHeight w:val="142"/>
        </w:trPr>
        <w:tc>
          <w:tcPr>
            <w:tcW w:w="4660" w:type="dxa"/>
            <w:vAlign w:val="bottom"/>
          </w:tcPr>
          <w:p>
            <w:pPr>
              <w:spacing w:after="0"/>
              <w:rPr>
                <w:sz w:val="20"/>
                <w:szCs w:val="20"/>
                <w:color w:val="auto"/>
              </w:rPr>
            </w:pPr>
            <w:r>
              <w:rPr>
                <w:rFonts w:ascii="Arial" w:cs="Arial" w:eastAsia="Arial" w:hAnsi="Arial"/>
                <w:sz w:val="12"/>
                <w:szCs w:val="12"/>
                <w:b w:val="1"/>
                <w:bCs w:val="1"/>
                <w:color w:val="auto"/>
              </w:rPr>
              <w:t>SMB Payments:</w:t>
            </w: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80"/>
              <w:spacing w:after="0"/>
              <w:rPr>
                <w:sz w:val="20"/>
                <w:szCs w:val="20"/>
                <w:color w:val="auto"/>
              </w:rPr>
            </w:pPr>
            <w:r>
              <w:rPr>
                <w:rFonts w:ascii="Arial" w:cs="Arial" w:eastAsia="Arial" w:hAnsi="Arial"/>
                <w:sz w:val="12"/>
                <w:szCs w:val="12"/>
                <w:color w:val="auto"/>
              </w:rPr>
              <w:t>Revenue</w:t>
            </w: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80"/>
              <w:spacing w:after="0"/>
              <w:rPr>
                <w:sz w:val="20"/>
                <w:szCs w:val="20"/>
                <w:color w:val="auto"/>
              </w:rPr>
            </w:pPr>
            <w:r>
              <w:rPr>
                <w:rFonts w:ascii="Arial" w:cs="Arial" w:eastAsia="Arial" w:hAnsi="Arial"/>
                <w:sz w:val="12"/>
                <w:szCs w:val="12"/>
                <w:color w:val="auto"/>
              </w:rPr>
              <w:t>147,895</w:t>
            </w:r>
          </w:p>
        </w:tc>
        <w:tc>
          <w:tcPr>
            <w:tcW w:w="440" w:type="dxa"/>
            <w:vAlign w:val="bottom"/>
            <w:gridSpan w:val="2"/>
          </w:tcPr>
          <w:p>
            <w:pPr>
              <w:jc w:val="right"/>
              <w:ind w:right="252"/>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142,506</w:t>
            </w:r>
          </w:p>
        </w:tc>
        <w:tc>
          <w:tcPr>
            <w:tcW w:w="460" w:type="dxa"/>
            <w:vAlign w:val="bottom"/>
            <w:gridSpan w:val="2"/>
          </w:tcPr>
          <w:p>
            <w:pPr>
              <w:jc w:val="right"/>
              <w:ind w:right="252"/>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302,828</w:t>
            </w:r>
          </w:p>
        </w:tc>
        <w:tc>
          <w:tcPr>
            <w:tcW w:w="74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80"/>
              <w:spacing w:after="0"/>
              <w:rPr>
                <w:sz w:val="20"/>
                <w:szCs w:val="20"/>
                <w:color w:val="auto"/>
              </w:rPr>
            </w:pPr>
            <w:r>
              <w:rPr>
                <w:rFonts w:ascii="Arial" w:cs="Arial" w:eastAsia="Arial" w:hAnsi="Arial"/>
                <w:sz w:val="12"/>
                <w:szCs w:val="12"/>
                <w:color w:val="auto"/>
              </w:rPr>
              <w:t>272,465</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Arial" w:cs="Arial" w:eastAsia="Arial" w:hAnsi="Arial"/>
                <w:sz w:val="12"/>
                <w:szCs w:val="12"/>
                <w:color w:val="auto"/>
              </w:rPr>
              <w:t>Operating expenses</w:t>
            </w: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136,353</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128,511</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279,275</w:t>
            </w:r>
          </w:p>
        </w:tc>
        <w:tc>
          <w:tcPr>
            <w:tcW w:w="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245,984</w:t>
            </w:r>
          </w:p>
        </w:tc>
        <w:tc>
          <w:tcPr>
            <w:tcW w:w="0" w:type="dxa"/>
            <w:vAlign w:val="bottom"/>
          </w:tcPr>
          <w:p>
            <w:pPr>
              <w:spacing w:after="0"/>
              <w:rPr>
                <w:sz w:val="1"/>
                <w:szCs w:val="1"/>
                <w:color w:val="auto"/>
              </w:rPr>
            </w:pPr>
          </w:p>
        </w:tc>
      </w:tr>
      <w:tr>
        <w:trPr>
          <w:trHeight w:val="151"/>
        </w:trPr>
        <w:tc>
          <w:tcPr>
            <w:tcW w:w="4660" w:type="dxa"/>
            <w:vAlign w:val="bottom"/>
          </w:tcPr>
          <w:p>
            <w:pPr>
              <w:ind w:left="80"/>
              <w:spacing w:after="0"/>
              <w:rPr>
                <w:sz w:val="20"/>
                <w:szCs w:val="20"/>
                <w:color w:val="auto"/>
              </w:rPr>
            </w:pPr>
            <w:r>
              <w:rPr>
                <w:rFonts w:ascii="Arial" w:cs="Arial" w:eastAsia="Arial" w:hAnsi="Arial"/>
                <w:sz w:val="12"/>
                <w:szCs w:val="12"/>
                <w:b w:val="1"/>
                <w:bCs w:val="1"/>
                <w:color w:val="auto"/>
              </w:rPr>
              <w:t>Operating income</w:t>
            </w: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w w:val="89"/>
              </w:rPr>
              <w:t>$</w:t>
            </w: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11,542</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13,995</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23,553</w:t>
            </w:r>
          </w:p>
        </w:tc>
        <w:tc>
          <w:tcPr>
            <w:tcW w:w="80" w:type="dxa"/>
            <w:vAlign w:val="bottom"/>
          </w:tcPr>
          <w:p>
            <w:pPr>
              <w:spacing w:after="0"/>
              <w:rPr>
                <w:sz w:val="13"/>
                <w:szCs w:val="13"/>
                <w:color w:val="auto"/>
              </w:rPr>
            </w:pPr>
          </w:p>
        </w:tc>
        <w:tc>
          <w:tcPr>
            <w:tcW w:w="6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w w:val="89"/>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26,481</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80"/>
              <w:spacing w:after="0"/>
              <w:rPr>
                <w:sz w:val="20"/>
                <w:szCs w:val="20"/>
                <w:color w:val="auto"/>
              </w:rPr>
            </w:pPr>
            <w:r>
              <w:rPr>
                <w:rFonts w:ascii="Arial" w:cs="Arial" w:eastAsia="Arial" w:hAnsi="Arial"/>
                <w:sz w:val="12"/>
                <w:szCs w:val="12"/>
                <w:color w:val="auto"/>
              </w:rPr>
              <w:t>Operating margin</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7.8 %</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Arial" w:cs="Arial" w:eastAsia="Arial" w:hAnsi="Arial"/>
                <w:sz w:val="12"/>
                <w:szCs w:val="12"/>
                <w:color w:val="auto"/>
              </w:rPr>
              <w:t>9.8 %</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Arial" w:cs="Arial" w:eastAsia="Arial" w:hAnsi="Arial"/>
                <w:sz w:val="12"/>
                <w:szCs w:val="12"/>
                <w:color w:val="auto"/>
              </w:rPr>
              <w:t>7.8 %</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2"/>
                <w:szCs w:val="12"/>
                <w:color w:val="auto"/>
              </w:rPr>
              <w:t>9.7 %</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Arial" w:cs="Arial" w:eastAsia="Arial" w:hAnsi="Arial"/>
                <w:sz w:val="12"/>
                <w:szCs w:val="12"/>
                <w:color w:val="auto"/>
              </w:rPr>
              <w:t>Depreciation and amortization</w:t>
            </w: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80"/>
              <w:spacing w:after="0"/>
              <w:rPr>
                <w:sz w:val="20"/>
                <w:szCs w:val="20"/>
                <w:color w:val="auto"/>
              </w:rPr>
            </w:pPr>
            <w:r>
              <w:rPr>
                <w:rFonts w:ascii="Arial" w:cs="Arial" w:eastAsia="Arial" w:hAnsi="Arial"/>
                <w:sz w:val="12"/>
                <w:szCs w:val="12"/>
                <w:color w:val="auto"/>
              </w:rPr>
              <w:t>10,769</w:t>
            </w:r>
          </w:p>
        </w:tc>
        <w:tc>
          <w:tcPr>
            <w:tcW w:w="440" w:type="dxa"/>
            <w:vAlign w:val="bottom"/>
            <w:gridSpan w:val="2"/>
          </w:tcPr>
          <w:p>
            <w:pPr>
              <w:jc w:val="right"/>
              <w:ind w:right="252"/>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10,980</w:t>
            </w:r>
          </w:p>
        </w:tc>
        <w:tc>
          <w:tcPr>
            <w:tcW w:w="460" w:type="dxa"/>
            <w:vAlign w:val="bottom"/>
            <w:gridSpan w:val="2"/>
          </w:tcPr>
          <w:p>
            <w:pPr>
              <w:jc w:val="right"/>
              <w:ind w:right="252"/>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21,615</w:t>
            </w:r>
          </w:p>
        </w:tc>
        <w:tc>
          <w:tcPr>
            <w:tcW w:w="74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80"/>
              <w:spacing w:after="0"/>
              <w:rPr>
                <w:sz w:val="20"/>
                <w:szCs w:val="20"/>
                <w:color w:val="auto"/>
              </w:rPr>
            </w:pPr>
            <w:r>
              <w:rPr>
                <w:rFonts w:ascii="Arial" w:cs="Arial" w:eastAsia="Arial" w:hAnsi="Arial"/>
                <w:sz w:val="12"/>
                <w:szCs w:val="12"/>
                <w:color w:val="auto"/>
              </w:rPr>
              <w:t>21,804</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Arial" w:cs="Arial" w:eastAsia="Arial" w:hAnsi="Arial"/>
                <w:sz w:val="12"/>
                <w:szCs w:val="12"/>
                <w:color w:val="auto"/>
              </w:rPr>
              <w:t>Key indicators:</w:t>
            </w: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80"/>
              <w:spacing w:after="0"/>
              <w:rPr>
                <w:sz w:val="20"/>
                <w:szCs w:val="20"/>
                <w:color w:val="auto"/>
              </w:rPr>
            </w:pPr>
            <w:r>
              <w:rPr>
                <w:rFonts w:ascii="Arial" w:cs="Arial" w:eastAsia="Arial" w:hAnsi="Arial"/>
                <w:sz w:val="12"/>
                <w:szCs w:val="12"/>
                <w:color w:val="auto"/>
              </w:rPr>
              <w:t>Merchant bankcard processing dollar value</w:t>
            </w: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80"/>
              <w:spacing w:after="0"/>
              <w:rPr>
                <w:sz w:val="20"/>
                <w:szCs w:val="20"/>
                <w:color w:val="auto"/>
              </w:rPr>
            </w:pPr>
            <w:r>
              <w:rPr>
                <w:rFonts w:ascii="Arial" w:cs="Arial" w:eastAsia="Arial" w:hAnsi="Arial"/>
                <w:sz w:val="12"/>
                <w:szCs w:val="12"/>
                <w:color w:val="auto"/>
              </w:rPr>
              <w:t>15,111,781</w:t>
            </w:r>
          </w:p>
        </w:tc>
        <w:tc>
          <w:tcPr>
            <w:tcW w:w="440" w:type="dxa"/>
            <w:vAlign w:val="bottom"/>
            <w:gridSpan w:val="2"/>
          </w:tcPr>
          <w:p>
            <w:pPr>
              <w:jc w:val="right"/>
              <w:ind w:right="252"/>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15,402,560</w:t>
            </w:r>
          </w:p>
        </w:tc>
        <w:tc>
          <w:tcPr>
            <w:tcW w:w="460" w:type="dxa"/>
            <w:vAlign w:val="bottom"/>
            <w:gridSpan w:val="2"/>
          </w:tcPr>
          <w:p>
            <w:pPr>
              <w:jc w:val="right"/>
              <w:ind w:right="252"/>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30,332,495</w:t>
            </w:r>
          </w:p>
        </w:tc>
        <w:tc>
          <w:tcPr>
            <w:tcW w:w="74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80"/>
              <w:spacing w:after="0"/>
              <w:rPr>
                <w:sz w:val="20"/>
                <w:szCs w:val="20"/>
                <w:color w:val="auto"/>
              </w:rPr>
            </w:pPr>
            <w:r>
              <w:rPr>
                <w:rFonts w:ascii="Arial" w:cs="Arial" w:eastAsia="Arial" w:hAnsi="Arial"/>
                <w:sz w:val="12"/>
                <w:szCs w:val="12"/>
                <w:color w:val="auto"/>
              </w:rPr>
              <w:t>29,479,407</w:t>
            </w:r>
          </w:p>
        </w:tc>
        <w:tc>
          <w:tcPr>
            <w:tcW w:w="0" w:type="dxa"/>
            <w:vAlign w:val="bottom"/>
          </w:tcPr>
          <w:p>
            <w:pPr>
              <w:spacing w:after="0"/>
              <w:rPr>
                <w:sz w:val="1"/>
                <w:szCs w:val="1"/>
                <w:color w:val="auto"/>
              </w:rPr>
            </w:pPr>
          </w:p>
        </w:tc>
      </w:tr>
      <w:tr>
        <w:trPr>
          <w:trHeight w:val="149"/>
        </w:trPr>
        <w:tc>
          <w:tcPr>
            <w:tcW w:w="4660" w:type="dxa"/>
            <w:vAlign w:val="bottom"/>
          </w:tcPr>
          <w:p>
            <w:pPr>
              <w:ind w:left="80"/>
              <w:spacing w:after="0"/>
              <w:rPr>
                <w:sz w:val="20"/>
                <w:szCs w:val="20"/>
                <w:color w:val="auto"/>
              </w:rPr>
            </w:pPr>
            <w:r>
              <w:rPr>
                <w:rFonts w:ascii="Arial" w:cs="Arial" w:eastAsia="Arial" w:hAnsi="Arial"/>
                <w:sz w:val="12"/>
                <w:szCs w:val="12"/>
                <w:color w:val="auto"/>
              </w:rPr>
              <w:t>Merchant bankcard transaction count</w:t>
            </w:r>
          </w:p>
        </w:tc>
        <w:tc>
          <w:tcPr>
            <w:tcW w:w="380" w:type="dxa"/>
            <w:vAlign w:val="bottom"/>
          </w:tcPr>
          <w:p>
            <w:pPr>
              <w:spacing w:after="0"/>
              <w:rPr>
                <w:sz w:val="12"/>
                <w:szCs w:val="12"/>
                <w:color w:val="auto"/>
              </w:rPr>
            </w:pPr>
          </w:p>
        </w:tc>
        <w:tc>
          <w:tcPr>
            <w:tcW w:w="1240" w:type="dxa"/>
            <w:vAlign w:val="bottom"/>
          </w:tcPr>
          <w:p>
            <w:pPr>
              <w:jc w:val="right"/>
              <w:ind w:right="80"/>
              <w:spacing w:after="0"/>
              <w:rPr>
                <w:sz w:val="20"/>
                <w:szCs w:val="20"/>
                <w:color w:val="auto"/>
              </w:rPr>
            </w:pPr>
            <w:r>
              <w:rPr>
                <w:rFonts w:ascii="Arial" w:cs="Arial" w:eastAsia="Arial" w:hAnsi="Arial"/>
                <w:sz w:val="12"/>
                <w:szCs w:val="12"/>
                <w:color w:val="auto"/>
              </w:rPr>
              <w:t>180,343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164,341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343,749</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jc w:val="right"/>
              <w:ind w:right="80"/>
              <w:spacing w:after="0"/>
              <w:rPr>
                <w:sz w:val="20"/>
                <w:szCs w:val="20"/>
                <w:color w:val="auto"/>
              </w:rPr>
            </w:pPr>
            <w:r>
              <w:rPr>
                <w:rFonts w:ascii="Arial" w:cs="Arial" w:eastAsia="Arial" w:hAnsi="Arial"/>
                <w:sz w:val="12"/>
                <w:szCs w:val="12"/>
                <w:color w:val="auto"/>
              </w:rPr>
              <w:t>310,289</w:t>
            </w:r>
          </w:p>
        </w:tc>
        <w:tc>
          <w:tcPr>
            <w:tcW w:w="0" w:type="dxa"/>
            <w:vAlign w:val="bottom"/>
          </w:tcPr>
          <w:p>
            <w:pPr>
              <w:spacing w:after="0"/>
              <w:rPr>
                <w:sz w:val="1"/>
                <w:szCs w:val="1"/>
                <w:color w:val="auto"/>
              </w:rPr>
            </w:pPr>
          </w:p>
        </w:tc>
      </w:tr>
      <w:tr>
        <w:trPr>
          <w:trHeight w:val="157"/>
        </w:trPr>
        <w:tc>
          <w:tcPr>
            <w:tcW w:w="4660" w:type="dxa"/>
            <w:vAlign w:val="bottom"/>
          </w:tcPr>
          <w:p>
            <w:pPr>
              <w:spacing w:after="0"/>
              <w:rPr>
                <w:sz w:val="20"/>
                <w:szCs w:val="20"/>
                <w:color w:val="auto"/>
              </w:rPr>
            </w:pPr>
            <w:r>
              <w:rPr>
                <w:rFonts w:ascii="Arial" w:cs="Arial" w:eastAsia="Arial" w:hAnsi="Arial"/>
                <w:sz w:val="12"/>
                <w:szCs w:val="12"/>
                <w:b w:val="1"/>
                <w:bCs w:val="1"/>
                <w:color w:val="auto"/>
              </w:rPr>
              <w:t>B2B Payments:</w:t>
            </w: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80"/>
              <w:spacing w:after="0"/>
              <w:rPr>
                <w:sz w:val="20"/>
                <w:szCs w:val="20"/>
                <w:color w:val="auto"/>
              </w:rPr>
            </w:pPr>
            <w:r>
              <w:rPr>
                <w:rFonts w:ascii="Arial" w:cs="Arial" w:eastAsia="Arial" w:hAnsi="Arial"/>
                <w:sz w:val="12"/>
                <w:szCs w:val="12"/>
                <w:color w:val="auto"/>
              </w:rPr>
              <w:t>Revenue</w:t>
            </w: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80"/>
              <w:spacing w:after="0"/>
              <w:rPr>
                <w:sz w:val="20"/>
                <w:szCs w:val="20"/>
                <w:color w:val="auto"/>
              </w:rPr>
            </w:pPr>
            <w:r>
              <w:rPr>
                <w:rFonts w:ascii="Arial" w:cs="Arial" w:eastAsia="Arial" w:hAnsi="Arial"/>
                <w:sz w:val="12"/>
                <w:szCs w:val="12"/>
                <w:color w:val="auto"/>
              </w:rPr>
              <w:t>2,971</w:t>
            </w:r>
          </w:p>
        </w:tc>
        <w:tc>
          <w:tcPr>
            <w:tcW w:w="440" w:type="dxa"/>
            <w:vAlign w:val="bottom"/>
            <w:gridSpan w:val="2"/>
          </w:tcPr>
          <w:p>
            <w:pPr>
              <w:jc w:val="right"/>
              <w:ind w:right="252"/>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5,295</w:t>
            </w:r>
          </w:p>
        </w:tc>
        <w:tc>
          <w:tcPr>
            <w:tcW w:w="460" w:type="dxa"/>
            <w:vAlign w:val="bottom"/>
            <w:gridSpan w:val="2"/>
          </w:tcPr>
          <w:p>
            <w:pPr>
              <w:jc w:val="right"/>
              <w:ind w:right="252"/>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5,757</w:t>
            </w:r>
          </w:p>
        </w:tc>
        <w:tc>
          <w:tcPr>
            <w:tcW w:w="74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80"/>
              <w:spacing w:after="0"/>
              <w:rPr>
                <w:sz w:val="20"/>
                <w:szCs w:val="20"/>
                <w:color w:val="auto"/>
              </w:rPr>
            </w:pPr>
            <w:r>
              <w:rPr>
                <w:rFonts w:ascii="Arial" w:cs="Arial" w:eastAsia="Arial" w:hAnsi="Arial"/>
                <w:sz w:val="12"/>
                <w:szCs w:val="12"/>
                <w:color w:val="auto"/>
              </w:rPr>
              <w:t>11,220</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Arial" w:cs="Arial" w:eastAsia="Arial" w:hAnsi="Arial"/>
                <w:sz w:val="12"/>
                <w:szCs w:val="12"/>
                <w:color w:val="auto"/>
              </w:rPr>
              <w:t>Operating expenses</w:t>
            </w: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2,990</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4,632</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6,625</w:t>
            </w:r>
          </w:p>
        </w:tc>
        <w:tc>
          <w:tcPr>
            <w:tcW w:w="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10,148</w:t>
            </w:r>
          </w:p>
        </w:tc>
        <w:tc>
          <w:tcPr>
            <w:tcW w:w="0" w:type="dxa"/>
            <w:vAlign w:val="bottom"/>
          </w:tcPr>
          <w:p>
            <w:pPr>
              <w:spacing w:after="0"/>
              <w:rPr>
                <w:sz w:val="1"/>
                <w:szCs w:val="1"/>
                <w:color w:val="auto"/>
              </w:rPr>
            </w:pPr>
          </w:p>
        </w:tc>
      </w:tr>
      <w:tr>
        <w:trPr>
          <w:trHeight w:val="151"/>
        </w:trPr>
        <w:tc>
          <w:tcPr>
            <w:tcW w:w="4660" w:type="dxa"/>
            <w:vAlign w:val="bottom"/>
          </w:tcPr>
          <w:p>
            <w:pPr>
              <w:ind w:left="80"/>
              <w:spacing w:after="0"/>
              <w:rPr>
                <w:sz w:val="20"/>
                <w:szCs w:val="20"/>
                <w:color w:val="auto"/>
              </w:rPr>
            </w:pPr>
            <w:r>
              <w:rPr>
                <w:rFonts w:ascii="Arial" w:cs="Arial" w:eastAsia="Arial" w:hAnsi="Arial"/>
                <w:sz w:val="12"/>
                <w:szCs w:val="12"/>
                <w:b w:val="1"/>
                <w:bCs w:val="1"/>
                <w:color w:val="auto"/>
              </w:rPr>
              <w:t>Operating (loss) income</w:t>
            </w: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w w:val="89"/>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(19)</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663</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(868)</w:t>
            </w:r>
          </w:p>
        </w:tc>
        <w:tc>
          <w:tcPr>
            <w:tcW w:w="80" w:type="dxa"/>
            <w:vAlign w:val="bottom"/>
          </w:tcPr>
          <w:p>
            <w:pPr>
              <w:spacing w:after="0"/>
              <w:rPr>
                <w:sz w:val="13"/>
                <w:szCs w:val="13"/>
                <w:color w:val="auto"/>
              </w:rPr>
            </w:pPr>
          </w:p>
        </w:tc>
        <w:tc>
          <w:tcPr>
            <w:tcW w:w="6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w w:val="89"/>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1,072</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80"/>
              <w:spacing w:after="0"/>
              <w:rPr>
                <w:sz w:val="20"/>
                <w:szCs w:val="20"/>
                <w:color w:val="auto"/>
              </w:rPr>
            </w:pPr>
            <w:r>
              <w:rPr>
                <w:rFonts w:ascii="Arial" w:cs="Arial" w:eastAsia="Arial" w:hAnsi="Arial"/>
                <w:sz w:val="12"/>
                <w:szCs w:val="12"/>
                <w:color w:val="auto"/>
              </w:rPr>
              <w:t>Operating margin</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(0.6)%</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Arial" w:cs="Arial" w:eastAsia="Arial" w:hAnsi="Arial"/>
                <w:sz w:val="12"/>
                <w:szCs w:val="12"/>
                <w:color w:val="auto"/>
              </w:rPr>
              <w:t>12.5 %</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Arial" w:cs="Arial" w:eastAsia="Arial" w:hAnsi="Arial"/>
                <w:sz w:val="12"/>
                <w:szCs w:val="12"/>
                <w:color w:val="auto"/>
              </w:rPr>
              <w:t>(15.1)%</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2"/>
                <w:szCs w:val="12"/>
                <w:color w:val="auto"/>
              </w:rPr>
              <w:t>9.6 %</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Arial" w:cs="Arial" w:eastAsia="Arial" w:hAnsi="Arial"/>
                <w:sz w:val="12"/>
                <w:szCs w:val="12"/>
                <w:color w:val="auto"/>
              </w:rPr>
              <w:t>Depreciation and amortization</w:t>
            </w: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80"/>
              <w:spacing w:after="0"/>
              <w:rPr>
                <w:sz w:val="20"/>
                <w:szCs w:val="20"/>
                <w:color w:val="auto"/>
              </w:rPr>
            </w:pPr>
            <w:r>
              <w:rPr>
                <w:rFonts w:ascii="Arial" w:cs="Arial" w:eastAsia="Arial" w:hAnsi="Arial"/>
                <w:sz w:val="12"/>
                <w:szCs w:val="12"/>
                <w:color w:val="auto"/>
              </w:rPr>
              <w:t>127</w:t>
            </w:r>
          </w:p>
        </w:tc>
        <w:tc>
          <w:tcPr>
            <w:tcW w:w="440" w:type="dxa"/>
            <w:vAlign w:val="bottom"/>
            <w:gridSpan w:val="2"/>
          </w:tcPr>
          <w:p>
            <w:pPr>
              <w:jc w:val="right"/>
              <w:ind w:right="252"/>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73</w:t>
            </w:r>
          </w:p>
        </w:tc>
        <w:tc>
          <w:tcPr>
            <w:tcW w:w="460" w:type="dxa"/>
            <w:vAlign w:val="bottom"/>
            <w:gridSpan w:val="2"/>
          </w:tcPr>
          <w:p>
            <w:pPr>
              <w:jc w:val="right"/>
              <w:ind w:right="252"/>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252</w:t>
            </w:r>
          </w:p>
        </w:tc>
        <w:tc>
          <w:tcPr>
            <w:tcW w:w="74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80"/>
              <w:spacing w:after="0"/>
              <w:rPr>
                <w:sz w:val="20"/>
                <w:szCs w:val="20"/>
                <w:color w:val="auto"/>
              </w:rPr>
            </w:pPr>
            <w:r>
              <w:rPr>
                <w:rFonts w:ascii="Arial" w:cs="Arial" w:eastAsia="Arial" w:hAnsi="Arial"/>
                <w:sz w:val="12"/>
                <w:szCs w:val="12"/>
                <w:color w:val="auto"/>
              </w:rPr>
              <w:t>146</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Arial" w:cs="Arial" w:eastAsia="Arial" w:hAnsi="Arial"/>
                <w:sz w:val="12"/>
                <w:szCs w:val="12"/>
                <w:color w:val="auto"/>
              </w:rPr>
              <w:t>Key indicators:</w:t>
            </w: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80"/>
              <w:spacing w:after="0"/>
              <w:rPr>
                <w:sz w:val="20"/>
                <w:szCs w:val="20"/>
                <w:color w:val="auto"/>
              </w:rPr>
            </w:pPr>
            <w:r>
              <w:rPr>
                <w:rFonts w:ascii="Arial" w:cs="Arial" w:eastAsia="Arial" w:hAnsi="Arial"/>
                <w:sz w:val="12"/>
                <w:szCs w:val="12"/>
                <w:color w:val="auto"/>
              </w:rPr>
              <w:t>B2B issuing dollar volume</w:t>
            </w: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80"/>
              <w:spacing w:after="0"/>
              <w:rPr>
                <w:sz w:val="20"/>
                <w:szCs w:val="20"/>
                <w:color w:val="auto"/>
              </w:rPr>
            </w:pPr>
            <w:r>
              <w:rPr>
                <w:rFonts w:ascii="Arial" w:cs="Arial" w:eastAsia="Arial" w:hAnsi="Arial"/>
                <w:sz w:val="12"/>
                <w:szCs w:val="12"/>
                <w:color w:val="auto"/>
              </w:rPr>
              <w:t>216,358</w:t>
            </w:r>
          </w:p>
        </w:tc>
        <w:tc>
          <w:tcPr>
            <w:tcW w:w="440" w:type="dxa"/>
            <w:vAlign w:val="bottom"/>
            <w:gridSpan w:val="2"/>
          </w:tcPr>
          <w:p>
            <w:pPr>
              <w:jc w:val="right"/>
              <w:ind w:right="252"/>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214,085</w:t>
            </w:r>
          </w:p>
        </w:tc>
        <w:tc>
          <w:tcPr>
            <w:tcW w:w="460" w:type="dxa"/>
            <w:vAlign w:val="bottom"/>
            <w:gridSpan w:val="2"/>
          </w:tcPr>
          <w:p>
            <w:pPr>
              <w:jc w:val="right"/>
              <w:ind w:right="252"/>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414,904</w:t>
            </w:r>
          </w:p>
        </w:tc>
        <w:tc>
          <w:tcPr>
            <w:tcW w:w="74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80"/>
              <w:spacing w:after="0"/>
              <w:rPr>
                <w:sz w:val="20"/>
                <w:szCs w:val="20"/>
                <w:color w:val="auto"/>
              </w:rPr>
            </w:pPr>
            <w:r>
              <w:rPr>
                <w:rFonts w:ascii="Arial" w:cs="Arial" w:eastAsia="Arial" w:hAnsi="Arial"/>
                <w:sz w:val="12"/>
                <w:szCs w:val="12"/>
                <w:color w:val="auto"/>
              </w:rPr>
              <w:t>383,580</w:t>
            </w:r>
          </w:p>
        </w:tc>
        <w:tc>
          <w:tcPr>
            <w:tcW w:w="0" w:type="dxa"/>
            <w:vAlign w:val="bottom"/>
          </w:tcPr>
          <w:p>
            <w:pPr>
              <w:spacing w:after="0"/>
              <w:rPr>
                <w:sz w:val="1"/>
                <w:szCs w:val="1"/>
                <w:color w:val="auto"/>
              </w:rPr>
            </w:pPr>
          </w:p>
        </w:tc>
      </w:tr>
      <w:tr>
        <w:trPr>
          <w:trHeight w:val="149"/>
        </w:trPr>
        <w:tc>
          <w:tcPr>
            <w:tcW w:w="4660" w:type="dxa"/>
            <w:vAlign w:val="bottom"/>
          </w:tcPr>
          <w:p>
            <w:pPr>
              <w:ind w:left="80"/>
              <w:spacing w:after="0"/>
              <w:rPr>
                <w:sz w:val="20"/>
                <w:szCs w:val="20"/>
                <w:color w:val="auto"/>
              </w:rPr>
            </w:pPr>
            <w:r>
              <w:rPr>
                <w:rFonts w:ascii="Arial" w:cs="Arial" w:eastAsia="Arial" w:hAnsi="Arial"/>
                <w:sz w:val="12"/>
                <w:szCs w:val="12"/>
                <w:color w:val="auto"/>
              </w:rPr>
              <w:t>B2B issuing transaction count</w:t>
            </w:r>
          </w:p>
        </w:tc>
        <w:tc>
          <w:tcPr>
            <w:tcW w:w="380" w:type="dxa"/>
            <w:vAlign w:val="bottom"/>
          </w:tcPr>
          <w:p>
            <w:pPr>
              <w:spacing w:after="0"/>
              <w:rPr>
                <w:sz w:val="12"/>
                <w:szCs w:val="12"/>
                <w:color w:val="auto"/>
              </w:rPr>
            </w:pPr>
          </w:p>
        </w:tc>
        <w:tc>
          <w:tcPr>
            <w:tcW w:w="1240" w:type="dxa"/>
            <w:vAlign w:val="bottom"/>
          </w:tcPr>
          <w:p>
            <w:pPr>
              <w:jc w:val="right"/>
              <w:ind w:right="80"/>
              <w:spacing w:after="0"/>
              <w:rPr>
                <w:sz w:val="20"/>
                <w:szCs w:val="20"/>
                <w:color w:val="auto"/>
              </w:rPr>
            </w:pPr>
            <w:r>
              <w:rPr>
                <w:rFonts w:ascii="Arial" w:cs="Arial" w:eastAsia="Arial" w:hAnsi="Arial"/>
                <w:sz w:val="12"/>
                <w:szCs w:val="12"/>
                <w:color w:val="auto"/>
              </w:rPr>
              <w:t>282</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247</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562</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jc w:val="right"/>
              <w:ind w:right="80"/>
              <w:spacing w:after="0"/>
              <w:rPr>
                <w:sz w:val="20"/>
                <w:szCs w:val="20"/>
                <w:color w:val="auto"/>
              </w:rPr>
            </w:pPr>
            <w:r>
              <w:rPr>
                <w:rFonts w:ascii="Arial" w:cs="Arial" w:eastAsia="Arial" w:hAnsi="Arial"/>
                <w:sz w:val="12"/>
                <w:szCs w:val="12"/>
                <w:color w:val="auto"/>
              </w:rPr>
              <w:t>435</w:t>
            </w:r>
          </w:p>
        </w:tc>
        <w:tc>
          <w:tcPr>
            <w:tcW w:w="0" w:type="dxa"/>
            <w:vAlign w:val="bottom"/>
          </w:tcPr>
          <w:p>
            <w:pPr>
              <w:spacing w:after="0"/>
              <w:rPr>
                <w:sz w:val="1"/>
                <w:szCs w:val="1"/>
                <w:color w:val="auto"/>
              </w:rPr>
            </w:pPr>
          </w:p>
        </w:tc>
      </w:tr>
      <w:tr>
        <w:trPr>
          <w:trHeight w:val="157"/>
        </w:trPr>
        <w:tc>
          <w:tcPr>
            <w:tcW w:w="4660" w:type="dxa"/>
            <w:vAlign w:val="bottom"/>
          </w:tcPr>
          <w:p>
            <w:pPr>
              <w:spacing w:after="0"/>
              <w:rPr>
                <w:sz w:val="20"/>
                <w:szCs w:val="20"/>
                <w:color w:val="auto"/>
              </w:rPr>
            </w:pPr>
            <w:r>
              <w:rPr>
                <w:rFonts w:ascii="Arial" w:cs="Arial" w:eastAsia="Arial" w:hAnsi="Arial"/>
                <w:sz w:val="12"/>
                <w:szCs w:val="12"/>
                <w:b w:val="1"/>
                <w:bCs w:val="1"/>
                <w:color w:val="auto"/>
              </w:rPr>
              <w:t>Enterprise Payments:</w:t>
            </w: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80"/>
              <w:spacing w:after="0"/>
              <w:rPr>
                <w:sz w:val="20"/>
                <w:szCs w:val="20"/>
                <w:color w:val="auto"/>
              </w:rPr>
            </w:pPr>
            <w:r>
              <w:rPr>
                <w:rFonts w:ascii="Arial" w:cs="Arial" w:eastAsia="Arial" w:hAnsi="Arial"/>
                <w:sz w:val="12"/>
                <w:szCs w:val="12"/>
                <w:color w:val="auto"/>
              </w:rPr>
              <w:t>Revenue</w:t>
            </w: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80"/>
              <w:spacing w:after="0"/>
              <w:rPr>
                <w:sz w:val="20"/>
                <w:szCs w:val="20"/>
                <w:color w:val="auto"/>
              </w:rPr>
            </w:pPr>
            <w:r>
              <w:rPr>
                <w:rFonts w:ascii="Arial" w:cs="Arial" w:eastAsia="Arial" w:hAnsi="Arial"/>
                <w:sz w:val="12"/>
                <w:szCs w:val="12"/>
                <w:color w:val="auto"/>
              </w:rPr>
              <w:t>31,424</w:t>
            </w:r>
          </w:p>
        </w:tc>
        <w:tc>
          <w:tcPr>
            <w:tcW w:w="440" w:type="dxa"/>
            <w:vAlign w:val="bottom"/>
            <w:gridSpan w:val="2"/>
          </w:tcPr>
          <w:p>
            <w:pPr>
              <w:jc w:val="right"/>
              <w:ind w:right="252"/>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18,629</w:t>
            </w:r>
          </w:p>
        </w:tc>
        <w:tc>
          <w:tcPr>
            <w:tcW w:w="460" w:type="dxa"/>
            <w:vAlign w:val="bottom"/>
            <w:gridSpan w:val="2"/>
          </w:tcPr>
          <w:p>
            <w:pPr>
              <w:jc w:val="right"/>
              <w:ind w:right="252"/>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58,733</w:t>
            </w:r>
          </w:p>
        </w:tc>
        <w:tc>
          <w:tcPr>
            <w:tcW w:w="74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80"/>
              <w:spacing w:after="0"/>
              <w:rPr>
                <w:sz w:val="20"/>
                <w:szCs w:val="20"/>
                <w:color w:val="auto"/>
              </w:rPr>
            </w:pPr>
            <w:r>
              <w:rPr>
                <w:rFonts w:ascii="Arial" w:cs="Arial" w:eastAsia="Arial" w:hAnsi="Arial"/>
                <w:sz w:val="12"/>
                <w:szCs w:val="12"/>
                <w:color w:val="auto"/>
              </w:rPr>
              <w:t>35,984</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Arial" w:cs="Arial" w:eastAsia="Arial" w:hAnsi="Arial"/>
                <w:sz w:val="12"/>
                <w:szCs w:val="12"/>
                <w:color w:val="auto"/>
              </w:rPr>
              <w:t>Operating expenses</w:t>
            </w: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15,345</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12,931</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29,991</w:t>
            </w:r>
          </w:p>
        </w:tc>
        <w:tc>
          <w:tcPr>
            <w:tcW w:w="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25,792</w:t>
            </w:r>
          </w:p>
        </w:tc>
        <w:tc>
          <w:tcPr>
            <w:tcW w:w="0" w:type="dxa"/>
            <w:vAlign w:val="bottom"/>
          </w:tcPr>
          <w:p>
            <w:pPr>
              <w:spacing w:after="0"/>
              <w:rPr>
                <w:sz w:val="1"/>
                <w:szCs w:val="1"/>
                <w:color w:val="auto"/>
              </w:rPr>
            </w:pPr>
          </w:p>
        </w:tc>
      </w:tr>
      <w:tr>
        <w:trPr>
          <w:trHeight w:val="151"/>
        </w:trPr>
        <w:tc>
          <w:tcPr>
            <w:tcW w:w="4660" w:type="dxa"/>
            <w:vAlign w:val="bottom"/>
          </w:tcPr>
          <w:p>
            <w:pPr>
              <w:ind w:left="80"/>
              <w:spacing w:after="0"/>
              <w:rPr>
                <w:sz w:val="20"/>
                <w:szCs w:val="20"/>
                <w:color w:val="auto"/>
              </w:rPr>
            </w:pPr>
            <w:r>
              <w:rPr>
                <w:rFonts w:ascii="Arial" w:cs="Arial" w:eastAsia="Arial" w:hAnsi="Arial"/>
                <w:sz w:val="12"/>
                <w:szCs w:val="12"/>
                <w:b w:val="1"/>
                <w:bCs w:val="1"/>
                <w:color w:val="auto"/>
              </w:rPr>
              <w:t>Operating income</w:t>
            </w: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w w:val="89"/>
              </w:rPr>
              <w:t>$</w:t>
            </w: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16,079</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5,698</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28,742</w:t>
            </w:r>
          </w:p>
        </w:tc>
        <w:tc>
          <w:tcPr>
            <w:tcW w:w="80" w:type="dxa"/>
            <w:vAlign w:val="bottom"/>
          </w:tcPr>
          <w:p>
            <w:pPr>
              <w:spacing w:after="0"/>
              <w:rPr>
                <w:sz w:val="13"/>
                <w:szCs w:val="13"/>
                <w:color w:val="auto"/>
              </w:rPr>
            </w:pPr>
          </w:p>
        </w:tc>
        <w:tc>
          <w:tcPr>
            <w:tcW w:w="6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w w:val="89"/>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10,192</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80"/>
              <w:spacing w:after="0"/>
              <w:rPr>
                <w:sz w:val="20"/>
                <w:szCs w:val="20"/>
                <w:color w:val="auto"/>
              </w:rPr>
            </w:pPr>
            <w:r>
              <w:rPr>
                <w:rFonts w:ascii="Arial" w:cs="Arial" w:eastAsia="Arial" w:hAnsi="Arial"/>
                <w:sz w:val="12"/>
                <w:szCs w:val="12"/>
                <w:color w:val="auto"/>
              </w:rPr>
              <w:t>Operating margin</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51.2 %</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Arial" w:cs="Arial" w:eastAsia="Arial" w:hAnsi="Arial"/>
                <w:sz w:val="12"/>
                <w:szCs w:val="12"/>
                <w:color w:val="auto"/>
              </w:rPr>
              <w:t>30.6 %</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Arial" w:cs="Arial" w:eastAsia="Arial" w:hAnsi="Arial"/>
                <w:sz w:val="12"/>
                <w:szCs w:val="12"/>
                <w:color w:val="auto"/>
              </w:rPr>
              <w:t>48.9 %</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2"/>
                <w:szCs w:val="12"/>
                <w:color w:val="auto"/>
              </w:rPr>
              <w:t>28.3 %</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Arial" w:cs="Arial" w:eastAsia="Arial" w:hAnsi="Arial"/>
                <w:sz w:val="12"/>
                <w:szCs w:val="12"/>
                <w:color w:val="auto"/>
              </w:rPr>
              <w:t>Depreciation and amortization</w:t>
            </w: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80"/>
              <w:spacing w:after="0"/>
              <w:rPr>
                <w:sz w:val="20"/>
                <w:szCs w:val="20"/>
                <w:color w:val="auto"/>
              </w:rPr>
            </w:pPr>
            <w:r>
              <w:rPr>
                <w:rFonts w:ascii="Arial" w:cs="Arial" w:eastAsia="Arial" w:hAnsi="Arial"/>
                <w:sz w:val="12"/>
                <w:szCs w:val="12"/>
                <w:color w:val="auto"/>
              </w:rPr>
              <w:t>6,713</w:t>
            </w:r>
          </w:p>
        </w:tc>
        <w:tc>
          <w:tcPr>
            <w:tcW w:w="440" w:type="dxa"/>
            <w:vAlign w:val="bottom"/>
            <w:gridSpan w:val="2"/>
          </w:tcPr>
          <w:p>
            <w:pPr>
              <w:jc w:val="right"/>
              <w:ind w:right="252"/>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6,199</w:t>
            </w:r>
          </w:p>
        </w:tc>
        <w:tc>
          <w:tcPr>
            <w:tcW w:w="460" w:type="dxa"/>
            <w:vAlign w:val="bottom"/>
            <w:gridSpan w:val="2"/>
          </w:tcPr>
          <w:p>
            <w:pPr>
              <w:jc w:val="right"/>
              <w:ind w:right="252"/>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13,403</w:t>
            </w:r>
          </w:p>
        </w:tc>
        <w:tc>
          <w:tcPr>
            <w:tcW w:w="74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80"/>
              <w:spacing w:after="0"/>
              <w:rPr>
                <w:sz w:val="20"/>
                <w:szCs w:val="20"/>
                <w:color w:val="auto"/>
              </w:rPr>
            </w:pPr>
            <w:r>
              <w:rPr>
                <w:rFonts w:ascii="Arial" w:cs="Arial" w:eastAsia="Arial" w:hAnsi="Arial"/>
                <w:sz w:val="12"/>
                <w:szCs w:val="12"/>
                <w:color w:val="auto"/>
              </w:rPr>
              <w:t>12,396</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Arial" w:cs="Arial" w:eastAsia="Arial" w:hAnsi="Arial"/>
                <w:sz w:val="12"/>
                <w:szCs w:val="12"/>
                <w:color w:val="auto"/>
              </w:rPr>
              <w:t>Key indicators:</w:t>
            </w: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60" w:type="dxa"/>
            <w:vAlign w:val="bottom"/>
          </w:tcPr>
          <w:p>
            <w:pPr>
              <w:ind w:left="60"/>
              <w:spacing w:after="0"/>
              <w:rPr>
                <w:sz w:val="20"/>
                <w:szCs w:val="20"/>
                <w:color w:val="auto"/>
              </w:rPr>
            </w:pPr>
            <w:r>
              <w:rPr>
                <w:rFonts w:ascii="Arial" w:cs="Arial" w:eastAsia="Arial" w:hAnsi="Arial"/>
                <w:sz w:val="12"/>
                <w:szCs w:val="12"/>
                <w:color w:val="auto"/>
              </w:rPr>
              <w:t>Average billed clients</w:t>
            </w:r>
          </w:p>
        </w:tc>
        <w:tc>
          <w:tcPr>
            <w:tcW w:w="380" w:type="dxa"/>
            <w:vAlign w:val="bottom"/>
          </w:tcPr>
          <w:p>
            <w:pPr>
              <w:spacing w:after="0"/>
              <w:rPr>
                <w:sz w:val="13"/>
                <w:szCs w:val="13"/>
                <w:color w:val="auto"/>
              </w:rPr>
            </w:pPr>
          </w:p>
        </w:tc>
        <w:tc>
          <w:tcPr>
            <w:tcW w:w="1240" w:type="dxa"/>
            <w:vAlign w:val="bottom"/>
          </w:tcPr>
          <w:p>
            <w:pPr>
              <w:jc w:val="right"/>
              <w:ind w:right="80"/>
              <w:spacing w:after="0"/>
              <w:rPr>
                <w:sz w:val="20"/>
                <w:szCs w:val="20"/>
                <w:color w:val="auto"/>
              </w:rPr>
            </w:pPr>
            <w:r>
              <w:rPr>
                <w:rFonts w:ascii="Arial" w:cs="Arial" w:eastAsia="Arial" w:hAnsi="Arial"/>
                <w:sz w:val="12"/>
                <w:szCs w:val="12"/>
                <w:color w:val="auto"/>
              </w:rPr>
              <w:t>520,028</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362,552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492,622</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jc w:val="right"/>
              <w:ind w:right="80"/>
              <w:spacing w:after="0"/>
              <w:rPr>
                <w:sz w:val="20"/>
                <w:szCs w:val="20"/>
                <w:color w:val="auto"/>
              </w:rPr>
            </w:pPr>
            <w:r>
              <w:rPr>
                <w:rFonts w:ascii="Arial" w:cs="Arial" w:eastAsia="Arial" w:hAnsi="Arial"/>
                <w:sz w:val="12"/>
                <w:szCs w:val="12"/>
                <w:color w:val="auto"/>
              </w:rPr>
              <w:t>354,473</w:t>
            </w:r>
          </w:p>
        </w:tc>
        <w:tc>
          <w:tcPr>
            <w:tcW w:w="0" w:type="dxa"/>
            <w:vAlign w:val="bottom"/>
          </w:tcPr>
          <w:p>
            <w:pPr>
              <w:spacing w:after="0"/>
              <w:rPr>
                <w:sz w:val="1"/>
                <w:szCs w:val="1"/>
                <w:color w:val="auto"/>
              </w:rPr>
            </w:pPr>
          </w:p>
        </w:tc>
      </w:tr>
      <w:tr>
        <w:trPr>
          <w:trHeight w:val="162"/>
        </w:trPr>
        <w:tc>
          <w:tcPr>
            <w:tcW w:w="4660" w:type="dxa"/>
            <w:vAlign w:val="bottom"/>
          </w:tcPr>
          <w:p>
            <w:pPr>
              <w:ind w:left="60"/>
              <w:spacing w:after="0"/>
              <w:rPr>
                <w:sz w:val="20"/>
                <w:szCs w:val="20"/>
                <w:color w:val="auto"/>
              </w:rPr>
            </w:pPr>
            <w:r>
              <w:rPr>
                <w:rFonts w:ascii="Arial" w:cs="Arial" w:eastAsia="Arial" w:hAnsi="Arial"/>
                <w:sz w:val="12"/>
                <w:szCs w:val="12"/>
                <w:color w:val="auto"/>
              </w:rPr>
              <w:t>Average new enrollments</w:t>
            </w:r>
          </w:p>
        </w:tc>
        <w:tc>
          <w:tcPr>
            <w:tcW w:w="380" w:type="dxa"/>
            <w:vAlign w:val="bottom"/>
          </w:tcPr>
          <w:p>
            <w:pPr>
              <w:spacing w:after="0"/>
              <w:rPr>
                <w:sz w:val="14"/>
                <w:szCs w:val="14"/>
                <w:color w:val="auto"/>
              </w:rPr>
            </w:pPr>
          </w:p>
        </w:tc>
        <w:tc>
          <w:tcPr>
            <w:tcW w:w="1240" w:type="dxa"/>
            <w:vAlign w:val="bottom"/>
          </w:tcPr>
          <w:p>
            <w:pPr>
              <w:jc w:val="right"/>
              <w:ind w:right="80"/>
              <w:spacing w:after="0"/>
              <w:rPr>
                <w:sz w:val="20"/>
                <w:szCs w:val="20"/>
                <w:color w:val="auto"/>
              </w:rPr>
            </w:pPr>
            <w:r>
              <w:rPr>
                <w:rFonts w:ascii="Arial" w:cs="Arial" w:eastAsia="Arial" w:hAnsi="Arial"/>
                <w:sz w:val="12"/>
                <w:szCs w:val="12"/>
                <w:color w:val="auto"/>
              </w:rPr>
              <w:t>53,374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28,251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49,661</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ind w:right="80"/>
              <w:spacing w:after="0"/>
              <w:rPr>
                <w:sz w:val="20"/>
                <w:szCs w:val="20"/>
                <w:color w:val="auto"/>
              </w:rPr>
            </w:pPr>
            <w:r>
              <w:rPr>
                <w:rFonts w:ascii="Arial" w:cs="Arial" w:eastAsia="Arial" w:hAnsi="Arial"/>
                <w:sz w:val="12"/>
                <w:szCs w:val="12"/>
                <w:color w:val="auto"/>
              </w:rPr>
              <w:t>25,846</w:t>
            </w:r>
          </w:p>
        </w:tc>
        <w:tc>
          <w:tcPr>
            <w:tcW w:w="0" w:type="dxa"/>
            <w:vAlign w:val="bottom"/>
          </w:tcPr>
          <w:p>
            <w:pPr>
              <w:spacing w:after="0"/>
              <w:rPr>
                <w:sz w:val="1"/>
                <w:szCs w:val="1"/>
                <w:color w:val="auto"/>
              </w:rPr>
            </w:pPr>
          </w:p>
        </w:tc>
      </w:tr>
      <w:tr>
        <w:trPr>
          <w:trHeight w:val="324"/>
        </w:trPr>
        <w:tc>
          <w:tcPr>
            <w:tcW w:w="4660" w:type="dxa"/>
            <w:vAlign w:val="bottom"/>
          </w:tcPr>
          <w:p>
            <w:pPr>
              <w:spacing w:after="0"/>
              <w:rPr>
                <w:sz w:val="20"/>
                <w:szCs w:val="20"/>
                <w:color w:val="auto"/>
              </w:rPr>
            </w:pPr>
            <w:r>
              <w:rPr>
                <w:rFonts w:ascii="Arial" w:cs="Arial" w:eastAsia="Arial" w:hAnsi="Arial"/>
                <w:sz w:val="12"/>
                <w:szCs w:val="12"/>
                <w:b w:val="1"/>
                <w:bCs w:val="1"/>
                <w:color w:val="auto"/>
              </w:rPr>
              <w:t>Operating income of reportable segments</w:t>
            </w: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80"/>
              <w:spacing w:after="0"/>
              <w:rPr>
                <w:sz w:val="20"/>
                <w:szCs w:val="20"/>
                <w:color w:val="auto"/>
              </w:rPr>
            </w:pPr>
            <w:r>
              <w:rPr>
                <w:rFonts w:ascii="Arial" w:cs="Arial" w:eastAsia="Arial" w:hAnsi="Arial"/>
                <w:sz w:val="12"/>
                <w:szCs w:val="12"/>
                <w:color w:val="auto"/>
              </w:rPr>
              <w:t>27,602</w:t>
            </w:r>
          </w:p>
        </w:tc>
        <w:tc>
          <w:tcPr>
            <w:tcW w:w="440" w:type="dxa"/>
            <w:vAlign w:val="bottom"/>
            <w:gridSpan w:val="2"/>
          </w:tcPr>
          <w:p>
            <w:pPr>
              <w:jc w:val="right"/>
              <w:ind w:right="252"/>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20,356</w:t>
            </w:r>
          </w:p>
        </w:tc>
        <w:tc>
          <w:tcPr>
            <w:tcW w:w="460" w:type="dxa"/>
            <w:vAlign w:val="bottom"/>
            <w:gridSpan w:val="2"/>
          </w:tcPr>
          <w:p>
            <w:pPr>
              <w:jc w:val="right"/>
              <w:ind w:right="252"/>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51,427</w:t>
            </w:r>
          </w:p>
        </w:tc>
        <w:tc>
          <w:tcPr>
            <w:tcW w:w="74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80"/>
              <w:spacing w:after="0"/>
              <w:rPr>
                <w:sz w:val="20"/>
                <w:szCs w:val="20"/>
                <w:color w:val="auto"/>
              </w:rPr>
            </w:pPr>
            <w:r>
              <w:rPr>
                <w:rFonts w:ascii="Arial" w:cs="Arial" w:eastAsia="Arial" w:hAnsi="Arial"/>
                <w:sz w:val="12"/>
                <w:szCs w:val="12"/>
                <w:color w:val="auto"/>
              </w:rPr>
              <w:t>37,745</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Arial" w:cs="Arial" w:eastAsia="Arial" w:hAnsi="Arial"/>
                <w:sz w:val="12"/>
                <w:szCs w:val="12"/>
                <w:color w:val="auto"/>
              </w:rPr>
              <w:t>Less: Corporate expense</w:t>
            </w: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(8,469)</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(7,296)</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(15,446)</w:t>
            </w:r>
          </w:p>
        </w:tc>
        <w:tc>
          <w:tcPr>
            <w:tcW w:w="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(13,859)</w:t>
            </w:r>
          </w:p>
        </w:tc>
        <w:tc>
          <w:tcPr>
            <w:tcW w:w="0" w:type="dxa"/>
            <w:vAlign w:val="bottom"/>
          </w:tcPr>
          <w:p>
            <w:pPr>
              <w:spacing w:after="0"/>
              <w:rPr>
                <w:sz w:val="1"/>
                <w:szCs w:val="1"/>
                <w:color w:val="auto"/>
              </w:rPr>
            </w:pPr>
          </w:p>
        </w:tc>
      </w:tr>
      <w:tr>
        <w:trPr>
          <w:trHeight w:val="151"/>
        </w:trPr>
        <w:tc>
          <w:tcPr>
            <w:tcW w:w="4660" w:type="dxa"/>
            <w:vAlign w:val="bottom"/>
          </w:tcPr>
          <w:p>
            <w:pPr>
              <w:spacing w:after="0"/>
              <w:rPr>
                <w:sz w:val="20"/>
                <w:szCs w:val="20"/>
                <w:color w:val="auto"/>
              </w:rPr>
            </w:pPr>
            <w:r>
              <w:rPr>
                <w:rFonts w:ascii="Arial" w:cs="Arial" w:eastAsia="Arial" w:hAnsi="Arial"/>
                <w:sz w:val="12"/>
                <w:szCs w:val="12"/>
                <w:b w:val="1"/>
                <w:bCs w:val="1"/>
                <w:color w:val="auto"/>
              </w:rPr>
              <w:t>Consolidated operating income</w:t>
            </w: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w w:val="89"/>
              </w:rPr>
              <w:t>$</w:t>
            </w: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19,133</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13,060</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35,981</w:t>
            </w:r>
          </w:p>
        </w:tc>
        <w:tc>
          <w:tcPr>
            <w:tcW w:w="80" w:type="dxa"/>
            <w:vAlign w:val="bottom"/>
          </w:tcPr>
          <w:p>
            <w:pPr>
              <w:spacing w:after="0"/>
              <w:rPr>
                <w:sz w:val="13"/>
                <w:szCs w:val="13"/>
                <w:color w:val="auto"/>
              </w:rPr>
            </w:pPr>
          </w:p>
        </w:tc>
        <w:tc>
          <w:tcPr>
            <w:tcW w:w="6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w w:val="89"/>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23,886</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2"/>
                <w:szCs w:val="12"/>
                <w:color w:val="auto"/>
              </w:rPr>
              <w:t>Corporate depreciation and amortization</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60" w:type="dxa"/>
            <w:vAlign w:val="bottom"/>
            <w:vMerge w:val="continue"/>
          </w:tcPr>
          <w:p>
            <w:pPr>
              <w:spacing w:after="0"/>
              <w:rPr>
                <w:sz w:val="11"/>
                <w:szCs w:val="11"/>
                <w:color w:val="auto"/>
              </w:rPr>
            </w:pPr>
          </w:p>
        </w:tc>
        <w:tc>
          <w:tcPr>
            <w:tcW w:w="380" w:type="dxa"/>
            <w:vAlign w:val="bottom"/>
          </w:tcPr>
          <w:p>
            <w:pPr>
              <w:jc w:val="right"/>
              <w:ind w:right="240"/>
              <w:spacing w:after="0" w:line="129" w:lineRule="exact"/>
              <w:rPr>
                <w:sz w:val="20"/>
                <w:szCs w:val="20"/>
                <w:color w:val="auto"/>
              </w:rPr>
            </w:pPr>
            <w:r>
              <w:rPr>
                <w:rFonts w:ascii="Arial" w:cs="Arial" w:eastAsia="Arial" w:hAnsi="Arial"/>
                <w:sz w:val="12"/>
                <w:szCs w:val="12"/>
                <w:color w:val="auto"/>
                <w:w w:val="89"/>
              </w:rPr>
              <w:t>$</w:t>
            </w:r>
          </w:p>
        </w:tc>
        <w:tc>
          <w:tcPr>
            <w:tcW w:w="1240" w:type="dxa"/>
            <w:vAlign w:val="bottom"/>
          </w:tcPr>
          <w:p>
            <w:pPr>
              <w:jc w:val="right"/>
              <w:ind w:right="80"/>
              <w:spacing w:after="0" w:line="129" w:lineRule="exact"/>
              <w:rPr>
                <w:sz w:val="20"/>
                <w:szCs w:val="20"/>
                <w:color w:val="auto"/>
              </w:rPr>
            </w:pPr>
            <w:r>
              <w:rPr>
                <w:rFonts w:ascii="Arial" w:cs="Arial" w:eastAsia="Arial" w:hAnsi="Arial"/>
                <w:sz w:val="12"/>
                <w:szCs w:val="12"/>
                <w:color w:val="auto"/>
              </w:rPr>
              <w:t>371</w:t>
            </w:r>
          </w:p>
        </w:tc>
        <w:tc>
          <w:tcPr>
            <w:tcW w:w="440" w:type="dxa"/>
            <w:vAlign w:val="bottom"/>
            <w:gridSpan w:val="2"/>
          </w:tcPr>
          <w:p>
            <w:pPr>
              <w:jc w:val="right"/>
              <w:ind w:right="252"/>
              <w:spacing w:after="0" w:line="129"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80"/>
              <w:spacing w:after="0" w:line="129" w:lineRule="exact"/>
              <w:rPr>
                <w:sz w:val="20"/>
                <w:szCs w:val="20"/>
                <w:color w:val="auto"/>
              </w:rPr>
            </w:pPr>
            <w:r>
              <w:rPr>
                <w:rFonts w:ascii="Arial" w:cs="Arial" w:eastAsia="Arial" w:hAnsi="Arial"/>
                <w:sz w:val="12"/>
                <w:szCs w:val="12"/>
                <w:color w:val="auto"/>
              </w:rPr>
              <w:t>253</w:t>
            </w:r>
          </w:p>
        </w:tc>
        <w:tc>
          <w:tcPr>
            <w:tcW w:w="460" w:type="dxa"/>
            <w:vAlign w:val="bottom"/>
            <w:gridSpan w:val="2"/>
          </w:tcPr>
          <w:p>
            <w:pPr>
              <w:jc w:val="right"/>
              <w:ind w:right="252"/>
              <w:spacing w:after="0" w:line="129"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80"/>
              <w:spacing w:after="0" w:line="129" w:lineRule="exact"/>
              <w:rPr>
                <w:sz w:val="20"/>
                <w:szCs w:val="20"/>
                <w:color w:val="auto"/>
              </w:rPr>
            </w:pPr>
            <w:r>
              <w:rPr>
                <w:rFonts w:ascii="Arial" w:cs="Arial" w:eastAsia="Arial" w:hAnsi="Arial"/>
                <w:sz w:val="12"/>
                <w:szCs w:val="12"/>
                <w:color w:val="auto"/>
              </w:rPr>
              <w:t>758</w:t>
            </w:r>
          </w:p>
        </w:tc>
        <w:tc>
          <w:tcPr>
            <w:tcW w:w="740" w:type="dxa"/>
            <w:vAlign w:val="bottom"/>
            <w:gridSpan w:val="2"/>
          </w:tcPr>
          <w:p>
            <w:pPr>
              <w:jc w:val="right"/>
              <w:ind w:right="520"/>
              <w:spacing w:after="0" w:line="129"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80"/>
              <w:spacing w:after="0" w:line="129" w:lineRule="exact"/>
              <w:rPr>
                <w:sz w:val="20"/>
                <w:szCs w:val="20"/>
                <w:color w:val="auto"/>
              </w:rPr>
            </w:pPr>
            <w:r>
              <w:rPr>
                <w:rFonts w:ascii="Arial" w:cs="Arial" w:eastAsia="Arial" w:hAnsi="Arial"/>
                <w:sz w:val="12"/>
                <w:szCs w:val="12"/>
                <w:color w:val="auto"/>
              </w:rPr>
              <w:t>512</w:t>
            </w:r>
          </w:p>
        </w:tc>
        <w:tc>
          <w:tcPr>
            <w:tcW w:w="0" w:type="dxa"/>
            <w:vAlign w:val="bottom"/>
          </w:tcPr>
          <w:p>
            <w:pPr>
              <w:spacing w:after="0"/>
              <w:rPr>
                <w:sz w:val="1"/>
                <w:szCs w:val="1"/>
                <w:color w:val="auto"/>
              </w:rPr>
            </w:pPr>
          </w:p>
        </w:tc>
      </w:tr>
      <w:tr>
        <w:trPr>
          <w:trHeight w:val="882"/>
        </w:trPr>
        <w:tc>
          <w:tcPr>
            <w:tcW w:w="4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540"/>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98" w:right="319" w:bottom="1440"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549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9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549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549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549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2023-08-10T07:12:36Z</dcterms:created>
  <dcterms:modified xsi:type="dcterms:W3CDTF">2023-08-10T07:12:36Z</dcterms:modified>
</cp:coreProperties>
</file>