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(Amendment No. _ 2 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 I Acquisitions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55304A104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right="10120" w:firstLine="8"/>
        <w:spacing w:after="0" w:line="265" w:lineRule="auto"/>
        <w:tabs>
          <w:tab w:leader="none" w:pos="150"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51" w:lineRule="exact"/>
        <w:rPr>
          <w:sz w:val="24"/>
          <w:szCs w:val="24"/>
          <w:color w:val="auto"/>
        </w:rPr>
      </w:pPr>
    </w:p>
    <w:p>
      <w:pPr>
        <w:ind w:firstLine="8"/>
        <w:spacing w:after="0" w:line="194" w:lineRule="auto"/>
        <w:tabs>
          <w:tab w:leader="none" w:pos="113"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NAMES OF REPORTING PERSONS</w:t>
      </w:r>
    </w:p>
    <w:p>
      <w:pPr>
        <w:ind w:left="460" w:hanging="452"/>
        <w:spacing w:after="0" w:line="185" w:lineRule="auto"/>
        <w:tabs>
          <w:tab w:leader="none" w:pos="460" w:val="left"/>
        </w:tabs>
        <w:numPr>
          <w:ilvl w:val="0"/>
          <w:numId w:val="3"/>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Boothbay Absolute Return Strategies LP</w:t>
      </w:r>
    </w:p>
    <w:p>
      <w:pPr>
        <w:spacing w:after="0" w:line="36"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460" w:hanging="452"/>
        <w:spacing w:after="0" w:line="180" w:lineRule="auto"/>
        <w:tabs>
          <w:tab w:leader="none" w:pos="460" w:val="left"/>
        </w:tabs>
        <w:numPr>
          <w:ilvl w:val="0"/>
          <w:numId w:val="3"/>
        </w:numPr>
        <w:rPr>
          <w:rFonts w:ascii="Arial" w:cs="Arial" w:eastAsia="Arial" w:hAnsi="Arial"/>
          <w:sz w:val="25"/>
          <w:szCs w:val="25"/>
          <w:color w:val="auto"/>
          <w:vertAlign w:val="subscript"/>
        </w:rPr>
      </w:pPr>
      <w:r>
        <w:rPr>
          <w:rFonts w:ascii="Arial" w:cs="Arial" w:eastAsia="Arial" w:hAnsi="Arial"/>
          <w:sz w:val="14"/>
          <w:szCs w:val="14"/>
          <w:color w:val="auto"/>
        </w:rPr>
        <w:t>(see instructions)</w:t>
      </w:r>
    </w:p>
    <w:p>
      <w:pPr>
        <w:spacing w:after="0" w:line="2" w:lineRule="exact"/>
        <w:rPr>
          <w:rFonts w:ascii="Arial" w:cs="Arial" w:eastAsia="Arial" w:hAnsi="Arial"/>
          <w:sz w:val="25"/>
          <w:szCs w:val="25"/>
          <w:color w:val="auto"/>
          <w:vertAlign w:val="subscript"/>
        </w:rPr>
      </w:pPr>
    </w:p>
    <w:p>
      <w:pPr>
        <w:ind w:left="700" w:hanging="246"/>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7" w:lineRule="exact"/>
        <w:rPr>
          <w:rFonts w:ascii="Arial" w:cs="Arial" w:eastAsia="Arial" w:hAnsi="Arial"/>
          <w:sz w:val="18"/>
          <w:szCs w:val="18"/>
          <w:color w:val="auto"/>
        </w:rPr>
      </w:pPr>
    </w:p>
    <w:p>
      <w:pPr>
        <w:ind w:left="700" w:hanging="246"/>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ind w:left="460" w:hanging="452"/>
        <w:spacing w:after="0" w:line="181" w:lineRule="auto"/>
        <w:tabs>
          <w:tab w:leader="none" w:pos="460" w:val="left"/>
        </w:tabs>
        <w:numPr>
          <w:ilvl w:val="0"/>
          <w:numId w:val="3"/>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60" w:type="dxa"/>
            <w:vAlign w:val="bottom"/>
            <w:tcBorders>
              <w:top w:val="single" w:sz="8" w:color="auto"/>
            </w:tcBorders>
          </w:tcPr>
          <w:p>
            <w:pPr>
              <w:spacing w:after="0"/>
              <w:rPr>
                <w:sz w:val="18"/>
                <w:szCs w:val="18"/>
                <w:color w:val="auto"/>
              </w:rPr>
            </w:pPr>
          </w:p>
        </w:tc>
        <w:tc>
          <w:tcPr>
            <w:tcW w:w="946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4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960" w:type="dxa"/>
            <w:vAlign w:val="bottom"/>
            <w:vMerge w:val="continue"/>
          </w:tcPr>
          <w:p>
            <w:pPr>
              <w:spacing w:after="0"/>
              <w:rPr>
                <w:sz w:val="9"/>
                <w:szCs w:val="9"/>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vMerge w:val="continue"/>
          </w:tcPr>
          <w:p>
            <w:pPr>
              <w:spacing w:after="0"/>
              <w:rPr>
                <w:sz w:val="10"/>
                <w:szCs w:val="10"/>
                <w:color w:val="auto"/>
              </w:rPr>
            </w:pPr>
          </w:p>
        </w:tc>
        <w:tc>
          <w:tcPr>
            <w:tcW w:w="9460" w:type="dxa"/>
            <w:vAlign w:val="bottom"/>
            <w:vMerge w:val="restart"/>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9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vMerge w:val="continue"/>
          </w:tcPr>
          <w:p>
            <w:pPr>
              <w:spacing w:after="0"/>
              <w:rPr>
                <w:sz w:val="10"/>
                <w:szCs w:val="10"/>
                <w:color w:val="auto"/>
              </w:rPr>
            </w:pPr>
          </w:p>
        </w:tc>
        <w:tc>
          <w:tcPr>
            <w:tcW w:w="9460" w:type="dxa"/>
            <w:vAlign w:val="bottom"/>
            <w:vMerge w:val="restart"/>
          </w:tcPr>
          <w:p>
            <w:pPr>
              <w:ind w:left="440"/>
              <w:spacing w:after="0"/>
              <w:rPr>
                <w:sz w:val="20"/>
                <w:szCs w:val="20"/>
                <w:color w:val="auto"/>
              </w:rPr>
            </w:pPr>
            <w:r>
              <w:rPr>
                <w:rFonts w:ascii="Arial" w:cs="Arial" w:eastAsia="Arial" w:hAnsi="Arial"/>
                <w:sz w:val="18"/>
                <w:szCs w:val="18"/>
                <w:color w:val="auto"/>
              </w:rPr>
              <w:t>600,833*</w:t>
            </w:r>
          </w:p>
        </w:tc>
        <w:tc>
          <w:tcPr>
            <w:tcW w:w="0" w:type="dxa"/>
            <w:vAlign w:val="bottom"/>
          </w:tcPr>
          <w:p>
            <w:pPr>
              <w:spacing w:after="0"/>
              <w:rPr>
                <w:sz w:val="1"/>
                <w:szCs w:val="1"/>
                <w:color w:val="auto"/>
              </w:rPr>
            </w:pPr>
          </w:p>
        </w:tc>
      </w:tr>
      <w:tr>
        <w:trPr>
          <w:trHeight w:val="121"/>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9460" w:type="dxa"/>
            <w:vAlign w:val="bottom"/>
            <w:vMerge w:val="restart"/>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946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94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460" w:type="dxa"/>
            <w:vAlign w:val="bottom"/>
          </w:tcPr>
          <w:p>
            <w:pPr>
              <w:ind w:left="440"/>
              <w:spacing w:after="0"/>
              <w:rPr>
                <w:sz w:val="20"/>
                <w:szCs w:val="20"/>
                <w:color w:val="auto"/>
              </w:rPr>
            </w:pPr>
            <w:r>
              <w:rPr>
                <w:rFonts w:ascii="Arial" w:cs="Arial" w:eastAsia="Arial" w:hAnsi="Arial"/>
                <w:sz w:val="18"/>
                <w:szCs w:val="18"/>
                <w:color w:val="auto"/>
              </w:rPr>
              <w:t>600,833*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ind w:left="460"/>
        <w:spacing w:after="0" w:line="204" w:lineRule="auto"/>
        <w:rPr>
          <w:sz w:val="20"/>
          <w:szCs w:val="20"/>
          <w:color w:val="auto"/>
        </w:rPr>
      </w:pPr>
      <w:r>
        <w:rPr>
          <w:rFonts w:ascii="Arial" w:cs="Arial" w:eastAsia="Arial" w:hAnsi="Arial"/>
          <w:sz w:val="18"/>
          <w:szCs w:val="18"/>
          <w:color w:val="auto"/>
        </w:rPr>
        <w:t>600,833</w:t>
      </w:r>
      <w:r>
        <w:rPr>
          <w:rFonts w:ascii="Arial" w:cs="Arial" w:eastAsia="Arial" w:hAnsi="Arial"/>
          <w:sz w:val="30"/>
          <w:szCs w:val="3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CHECK IF THE AGGREGATE AMOUNT IN ROW (9) EXCLUDES CERTAIN SHARES</w:t>
      </w:r>
    </w:p>
    <w:p>
      <w:pPr>
        <w:spacing w:after="0" w:line="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NAMES OF REPORTING PERSONS</w:t>
      </w:r>
    </w:p>
    <w:p>
      <w:pPr>
        <w:ind w:left="460" w:hanging="452"/>
        <w:spacing w:after="0" w:line="185" w:lineRule="auto"/>
        <w:tabs>
          <w:tab w:leader="none" w:pos="460" w:val="left"/>
        </w:tabs>
        <w:numPr>
          <w:ilvl w:val="0"/>
          <w:numId w:val="5"/>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Boothbay Fund Management, LLC</w:t>
      </w:r>
    </w:p>
    <w:p>
      <w:pPr>
        <w:spacing w:after="0" w:line="36"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460" w:hanging="452"/>
        <w:spacing w:after="0" w:line="180" w:lineRule="auto"/>
        <w:tabs>
          <w:tab w:leader="none" w:pos="460" w:val="left"/>
        </w:tabs>
        <w:numPr>
          <w:ilvl w:val="0"/>
          <w:numId w:val="5"/>
        </w:numPr>
        <w:rPr>
          <w:rFonts w:ascii="Arial" w:cs="Arial" w:eastAsia="Arial" w:hAnsi="Arial"/>
          <w:sz w:val="25"/>
          <w:szCs w:val="25"/>
          <w:color w:val="auto"/>
          <w:vertAlign w:val="subscript"/>
        </w:rPr>
      </w:pPr>
      <w:r>
        <w:rPr>
          <w:rFonts w:ascii="Arial" w:cs="Arial" w:eastAsia="Arial" w:hAnsi="Arial"/>
          <w:sz w:val="14"/>
          <w:szCs w:val="14"/>
          <w:color w:val="auto"/>
        </w:rPr>
        <w:t>(see instructions)</w:t>
      </w:r>
    </w:p>
    <w:p>
      <w:pPr>
        <w:spacing w:after="0" w:line="2" w:lineRule="exact"/>
        <w:rPr>
          <w:rFonts w:ascii="Arial" w:cs="Arial" w:eastAsia="Arial" w:hAnsi="Arial"/>
          <w:sz w:val="25"/>
          <w:szCs w:val="25"/>
          <w:color w:val="auto"/>
          <w:vertAlign w:val="subscript"/>
        </w:rPr>
      </w:pPr>
    </w:p>
    <w:p>
      <w:pPr>
        <w:ind w:left="700" w:hanging="246"/>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7" w:lineRule="exact"/>
        <w:rPr>
          <w:rFonts w:ascii="Arial" w:cs="Arial" w:eastAsia="Arial" w:hAnsi="Arial"/>
          <w:sz w:val="18"/>
          <w:szCs w:val="18"/>
          <w:color w:val="auto"/>
        </w:rPr>
      </w:pPr>
    </w:p>
    <w:p>
      <w:pPr>
        <w:ind w:left="700" w:hanging="246"/>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ind w:left="460" w:hanging="452"/>
        <w:spacing w:after="0" w:line="181" w:lineRule="auto"/>
        <w:tabs>
          <w:tab w:leader="none" w:pos="460" w:val="left"/>
        </w:tabs>
        <w:numPr>
          <w:ilvl w:val="0"/>
          <w:numId w:val="5"/>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60" w:type="dxa"/>
            <w:vAlign w:val="bottom"/>
            <w:tcBorders>
              <w:top w:val="single" w:sz="8" w:color="auto"/>
            </w:tcBorders>
          </w:tcPr>
          <w:p>
            <w:pPr>
              <w:spacing w:after="0"/>
              <w:rPr>
                <w:sz w:val="18"/>
                <w:szCs w:val="18"/>
                <w:color w:val="auto"/>
              </w:rPr>
            </w:pPr>
          </w:p>
        </w:tc>
        <w:tc>
          <w:tcPr>
            <w:tcW w:w="946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4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960" w:type="dxa"/>
            <w:vAlign w:val="bottom"/>
            <w:vMerge w:val="continue"/>
          </w:tcPr>
          <w:p>
            <w:pPr>
              <w:spacing w:after="0"/>
              <w:rPr>
                <w:sz w:val="9"/>
                <w:szCs w:val="9"/>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vMerge w:val="continue"/>
          </w:tcPr>
          <w:p>
            <w:pPr>
              <w:spacing w:after="0"/>
              <w:rPr>
                <w:sz w:val="10"/>
                <w:szCs w:val="10"/>
                <w:color w:val="auto"/>
              </w:rPr>
            </w:pPr>
          </w:p>
        </w:tc>
        <w:tc>
          <w:tcPr>
            <w:tcW w:w="9460" w:type="dxa"/>
            <w:vAlign w:val="bottom"/>
            <w:vMerge w:val="restart"/>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9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vMerge w:val="continue"/>
          </w:tcPr>
          <w:p>
            <w:pPr>
              <w:spacing w:after="0"/>
              <w:rPr>
                <w:sz w:val="10"/>
                <w:szCs w:val="10"/>
                <w:color w:val="auto"/>
              </w:rPr>
            </w:pPr>
          </w:p>
        </w:tc>
        <w:tc>
          <w:tcPr>
            <w:tcW w:w="9460" w:type="dxa"/>
            <w:vAlign w:val="bottom"/>
            <w:vMerge w:val="restart"/>
          </w:tcPr>
          <w:p>
            <w:pPr>
              <w:ind w:left="440"/>
              <w:spacing w:after="0"/>
              <w:rPr>
                <w:sz w:val="20"/>
                <w:szCs w:val="20"/>
                <w:color w:val="auto"/>
              </w:rPr>
            </w:pPr>
            <w:r>
              <w:rPr>
                <w:rFonts w:ascii="Arial" w:cs="Arial" w:eastAsia="Arial" w:hAnsi="Arial"/>
                <w:sz w:val="18"/>
                <w:szCs w:val="18"/>
                <w:color w:val="auto"/>
              </w:rPr>
              <w:t>600,833*</w:t>
            </w:r>
          </w:p>
        </w:tc>
        <w:tc>
          <w:tcPr>
            <w:tcW w:w="0" w:type="dxa"/>
            <w:vAlign w:val="bottom"/>
          </w:tcPr>
          <w:p>
            <w:pPr>
              <w:spacing w:after="0"/>
              <w:rPr>
                <w:sz w:val="1"/>
                <w:szCs w:val="1"/>
                <w:color w:val="auto"/>
              </w:rPr>
            </w:pPr>
          </w:p>
        </w:tc>
      </w:tr>
      <w:tr>
        <w:trPr>
          <w:trHeight w:val="121"/>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9460" w:type="dxa"/>
            <w:vAlign w:val="bottom"/>
            <w:vMerge w:val="restart"/>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946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94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460" w:type="dxa"/>
            <w:vAlign w:val="bottom"/>
          </w:tcPr>
          <w:p>
            <w:pPr>
              <w:ind w:left="440"/>
              <w:spacing w:after="0"/>
              <w:rPr>
                <w:sz w:val="20"/>
                <w:szCs w:val="20"/>
                <w:color w:val="auto"/>
              </w:rPr>
            </w:pPr>
            <w:r>
              <w:rPr>
                <w:rFonts w:ascii="Arial" w:cs="Arial" w:eastAsia="Arial" w:hAnsi="Arial"/>
                <w:sz w:val="18"/>
                <w:szCs w:val="18"/>
                <w:color w:val="auto"/>
              </w:rPr>
              <w:t>600,833*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600,833*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NAMES OF REPORTING PERSONS</w:t>
      </w:r>
    </w:p>
    <w:p>
      <w:pPr>
        <w:ind w:left="460" w:hanging="452"/>
        <w:spacing w:after="0" w:line="185" w:lineRule="auto"/>
        <w:tabs>
          <w:tab w:leader="none" w:pos="460" w:val="left"/>
        </w:tabs>
        <w:numPr>
          <w:ilvl w:val="0"/>
          <w:numId w:val="7"/>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Ari Glass</w:t>
      </w:r>
    </w:p>
    <w:p>
      <w:pPr>
        <w:spacing w:after="0" w:line="36"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460" w:hanging="452"/>
        <w:spacing w:after="0" w:line="180" w:lineRule="auto"/>
        <w:tabs>
          <w:tab w:leader="none" w:pos="460" w:val="left"/>
        </w:tabs>
        <w:numPr>
          <w:ilvl w:val="0"/>
          <w:numId w:val="7"/>
        </w:numPr>
        <w:rPr>
          <w:rFonts w:ascii="Arial" w:cs="Arial" w:eastAsia="Arial" w:hAnsi="Arial"/>
          <w:sz w:val="25"/>
          <w:szCs w:val="25"/>
          <w:color w:val="auto"/>
          <w:vertAlign w:val="subscript"/>
        </w:rPr>
      </w:pPr>
      <w:r>
        <w:rPr>
          <w:rFonts w:ascii="Arial" w:cs="Arial" w:eastAsia="Arial" w:hAnsi="Arial"/>
          <w:sz w:val="14"/>
          <w:szCs w:val="14"/>
          <w:color w:val="auto"/>
        </w:rPr>
        <w:t>(see instructions)</w:t>
      </w:r>
    </w:p>
    <w:p>
      <w:pPr>
        <w:spacing w:after="0" w:line="2" w:lineRule="exact"/>
        <w:rPr>
          <w:rFonts w:ascii="Arial" w:cs="Arial" w:eastAsia="Arial" w:hAnsi="Arial"/>
          <w:sz w:val="25"/>
          <w:szCs w:val="25"/>
          <w:color w:val="auto"/>
          <w:vertAlign w:val="subscript"/>
        </w:rPr>
      </w:pPr>
    </w:p>
    <w:p>
      <w:pPr>
        <w:ind w:left="700" w:hanging="246"/>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7" w:lineRule="exact"/>
        <w:rPr>
          <w:rFonts w:ascii="Arial" w:cs="Arial" w:eastAsia="Arial" w:hAnsi="Arial"/>
          <w:sz w:val="18"/>
          <w:szCs w:val="18"/>
          <w:color w:val="auto"/>
        </w:rPr>
      </w:pPr>
    </w:p>
    <w:p>
      <w:pPr>
        <w:ind w:left="700" w:hanging="246"/>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ind w:left="460" w:hanging="452"/>
        <w:spacing w:after="0" w:line="181" w:lineRule="auto"/>
        <w:tabs>
          <w:tab w:leader="none" w:pos="460" w:val="left"/>
        </w:tabs>
        <w:numPr>
          <w:ilvl w:val="0"/>
          <w:numId w:val="7"/>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60" w:type="dxa"/>
            <w:vAlign w:val="bottom"/>
            <w:tcBorders>
              <w:top w:val="single" w:sz="8" w:color="auto"/>
            </w:tcBorders>
          </w:tcPr>
          <w:p>
            <w:pPr>
              <w:spacing w:after="0"/>
              <w:rPr>
                <w:sz w:val="18"/>
                <w:szCs w:val="18"/>
                <w:color w:val="auto"/>
              </w:rPr>
            </w:pPr>
          </w:p>
        </w:tc>
        <w:tc>
          <w:tcPr>
            <w:tcW w:w="946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4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960" w:type="dxa"/>
            <w:vAlign w:val="bottom"/>
            <w:vMerge w:val="continue"/>
          </w:tcPr>
          <w:p>
            <w:pPr>
              <w:spacing w:after="0"/>
              <w:rPr>
                <w:sz w:val="9"/>
                <w:szCs w:val="9"/>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vMerge w:val="continue"/>
          </w:tcPr>
          <w:p>
            <w:pPr>
              <w:spacing w:after="0"/>
              <w:rPr>
                <w:sz w:val="10"/>
                <w:szCs w:val="10"/>
                <w:color w:val="auto"/>
              </w:rPr>
            </w:pPr>
          </w:p>
        </w:tc>
        <w:tc>
          <w:tcPr>
            <w:tcW w:w="9460" w:type="dxa"/>
            <w:vAlign w:val="bottom"/>
            <w:vMerge w:val="restart"/>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9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vMerge w:val="continue"/>
          </w:tcPr>
          <w:p>
            <w:pPr>
              <w:spacing w:after="0"/>
              <w:rPr>
                <w:sz w:val="10"/>
                <w:szCs w:val="10"/>
                <w:color w:val="auto"/>
              </w:rPr>
            </w:pPr>
          </w:p>
        </w:tc>
        <w:tc>
          <w:tcPr>
            <w:tcW w:w="9460" w:type="dxa"/>
            <w:vAlign w:val="bottom"/>
            <w:vMerge w:val="restart"/>
          </w:tcPr>
          <w:p>
            <w:pPr>
              <w:ind w:left="440"/>
              <w:spacing w:after="0"/>
              <w:rPr>
                <w:sz w:val="20"/>
                <w:szCs w:val="20"/>
                <w:color w:val="auto"/>
              </w:rPr>
            </w:pPr>
            <w:r>
              <w:rPr>
                <w:rFonts w:ascii="Arial" w:cs="Arial" w:eastAsia="Arial" w:hAnsi="Arial"/>
                <w:sz w:val="18"/>
                <w:szCs w:val="18"/>
                <w:color w:val="auto"/>
              </w:rPr>
              <w:t>600,833*</w:t>
            </w:r>
          </w:p>
        </w:tc>
        <w:tc>
          <w:tcPr>
            <w:tcW w:w="0" w:type="dxa"/>
            <w:vAlign w:val="bottom"/>
          </w:tcPr>
          <w:p>
            <w:pPr>
              <w:spacing w:after="0"/>
              <w:rPr>
                <w:sz w:val="1"/>
                <w:szCs w:val="1"/>
                <w:color w:val="auto"/>
              </w:rPr>
            </w:pPr>
          </w:p>
        </w:tc>
      </w:tr>
      <w:tr>
        <w:trPr>
          <w:trHeight w:val="121"/>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9460" w:type="dxa"/>
            <w:vAlign w:val="bottom"/>
            <w:vMerge w:val="restart"/>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946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94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460" w:type="dxa"/>
            <w:vAlign w:val="bottom"/>
          </w:tcPr>
          <w:p>
            <w:pPr>
              <w:ind w:left="440"/>
              <w:spacing w:after="0"/>
              <w:rPr>
                <w:sz w:val="20"/>
                <w:szCs w:val="20"/>
                <w:color w:val="auto"/>
              </w:rPr>
            </w:pPr>
            <w:r>
              <w:rPr>
                <w:rFonts w:ascii="Arial" w:cs="Arial" w:eastAsia="Arial" w:hAnsi="Arial"/>
                <w:sz w:val="18"/>
                <w:szCs w:val="18"/>
                <w:color w:val="auto"/>
              </w:rPr>
              <w:t>600,833*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600,833*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4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36"/>
          <w:szCs w:val="36"/>
          <w:color w:val="auto"/>
          <w:vertAlign w:val="subscript"/>
        </w:rPr>
      </w:pPr>
      <w:r>
        <w:rPr>
          <w:rFonts w:ascii="Arial" w:cs="Arial" w:eastAsia="Arial" w:hAnsi="Arial"/>
          <w:sz w:val="18"/>
          <w:szCs w:val="18"/>
          <w:color w:val="auto"/>
        </w:rPr>
        <w:t>Name of Issuer</w:t>
      </w:r>
    </w:p>
    <w:p>
      <w:pPr>
        <w:spacing w:after="0" w:line="1"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M I Acquisitions Inc. (the “Issuer”)</w:t>
      </w:r>
    </w:p>
    <w:p>
      <w:pPr>
        <w:spacing w:after="0" w:line="209"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36"/>
          <w:szCs w:val="36"/>
          <w:color w:val="auto"/>
          <w:vertAlign w:val="subscript"/>
        </w:rPr>
      </w:pPr>
    </w:p>
    <w:p>
      <w:pPr>
        <w:ind w:left="660" w:right="7419" w:hanging="328"/>
        <w:spacing w:after="0" w:line="198" w:lineRule="auto"/>
        <w:tabs>
          <w:tab w:leader="none" w:pos="660" w:val="left"/>
        </w:tabs>
        <w:numPr>
          <w:ilvl w:val="0"/>
          <w:numId w:val="9"/>
        </w:numPr>
        <w:rPr>
          <w:rFonts w:ascii="Arial" w:cs="Arial" w:eastAsia="Arial" w:hAnsi="Arial"/>
          <w:sz w:val="34"/>
          <w:szCs w:val="34"/>
          <w:color w:val="auto"/>
          <w:vertAlign w:val="subscript"/>
        </w:rPr>
      </w:pPr>
      <w:r>
        <w:rPr>
          <w:rFonts w:ascii="Arial" w:cs="Arial" w:eastAsia="Arial" w:hAnsi="Arial"/>
          <w:sz w:val="17"/>
          <w:szCs w:val="17"/>
          <w:color w:val="auto"/>
        </w:rPr>
        <w:t>c/o Magna Management LLC 40 Wall Street, 58th Floor New York, NY 10005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ind w:left="660" w:right="6539" w:hanging="328"/>
        <w:spacing w:after="0" w:line="187" w:lineRule="auto"/>
        <w:tabs>
          <w:tab w:leader="none" w:pos="660" w:val="left"/>
        </w:tabs>
        <w:numPr>
          <w:ilvl w:val="0"/>
          <w:numId w:val="10"/>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Boothbay Fund Management, LLC* Ari Glass*</w:t>
      </w:r>
    </w:p>
    <w:p>
      <w:pPr>
        <w:spacing w:after="0" w:line="204"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36"/>
          <w:szCs w:val="36"/>
          <w:color w:val="auto"/>
          <w:vertAlign w:val="subscript"/>
        </w:rPr>
      </w:pPr>
    </w:p>
    <w:p>
      <w:pPr>
        <w:ind w:left="660" w:right="7559" w:hanging="328"/>
        <w:spacing w:after="0" w:line="234"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810 7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Avenue, Suite 615 New York, NY 10019-5818</w:t>
      </w:r>
    </w:p>
    <w:p>
      <w:pPr>
        <w:spacing w:after="0" w:line="20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Citizenship</w:t>
      </w:r>
    </w:p>
    <w:p>
      <w:pPr>
        <w:spacing w:after="0" w:line="23" w:lineRule="exact"/>
        <w:rPr>
          <w:rFonts w:ascii="Arial" w:cs="Arial" w:eastAsia="Arial" w:hAnsi="Arial"/>
          <w:sz w:val="16"/>
          <w:szCs w:val="16"/>
          <w:color w:val="auto"/>
        </w:rPr>
      </w:pPr>
    </w:p>
    <w:p>
      <w:pPr>
        <w:ind w:left="660" w:right="5759" w:hanging="328"/>
        <w:spacing w:after="0" w:line="187" w:lineRule="auto"/>
        <w:tabs>
          <w:tab w:leader="none" w:pos="660" w:val="left"/>
        </w:tabs>
        <w:numPr>
          <w:ilvl w:val="0"/>
          <w:numId w:val="10"/>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Delaware Boothbay Fund Management, LLC – Delaware Ari Glass – United States</w:t>
      </w:r>
    </w:p>
    <w:p>
      <w:pPr>
        <w:spacing w:after="0" w:line="204" w:lineRule="exact"/>
        <w:rPr>
          <w:rFonts w:ascii="Arial" w:cs="Arial" w:eastAsia="Arial" w:hAnsi="Arial"/>
          <w:sz w:val="36"/>
          <w:szCs w:val="36"/>
          <w:color w:val="auto"/>
          <w:vertAlign w:val="subscript"/>
        </w:rPr>
      </w:pPr>
    </w:p>
    <w:p>
      <w:pPr>
        <w:ind w:left="660" w:right="7659" w:hanging="328"/>
        <w:spacing w:after="0" w:line="198" w:lineRule="auto"/>
        <w:tabs>
          <w:tab w:leader="none" w:pos="660" w:val="left"/>
        </w:tabs>
        <w:numPr>
          <w:ilvl w:val="0"/>
          <w:numId w:val="10"/>
        </w:numPr>
        <w:rPr>
          <w:rFonts w:ascii="Arial" w:cs="Arial" w:eastAsia="Arial" w:hAnsi="Arial"/>
          <w:sz w:val="31"/>
          <w:szCs w:val="31"/>
          <w:color w:val="auto"/>
          <w:vertAlign w:val="subscript"/>
        </w:rPr>
      </w:pPr>
      <w:r>
        <w:rPr>
          <w:rFonts w:ascii="Arial" w:cs="Arial" w:eastAsia="Arial" w:hAnsi="Arial"/>
          <w:sz w:val="16"/>
          <w:szCs w:val="16"/>
          <w:color w:val="auto"/>
        </w:rPr>
        <w:t>Title of Class of Securities Common Stock</w:t>
      </w:r>
    </w:p>
    <w:p>
      <w:pPr>
        <w:spacing w:after="0" w:line="202" w:lineRule="exact"/>
        <w:rPr>
          <w:rFonts w:ascii="Arial" w:cs="Arial" w:eastAsia="Arial" w:hAnsi="Arial"/>
          <w:sz w:val="31"/>
          <w:szCs w:val="31"/>
          <w:color w:val="auto"/>
          <w:vertAlign w:val="subscript"/>
        </w:rPr>
      </w:pPr>
    </w:p>
    <w:p>
      <w:pPr>
        <w:ind w:left="660" w:right="8419" w:hanging="328"/>
        <w:spacing w:after="0" w:line="198" w:lineRule="auto"/>
        <w:tabs>
          <w:tab w:leader="none" w:pos="660" w:val="left"/>
        </w:tabs>
        <w:numPr>
          <w:ilvl w:val="0"/>
          <w:numId w:val="10"/>
        </w:numPr>
        <w:rPr>
          <w:rFonts w:ascii="Arial" w:cs="Arial" w:eastAsia="Arial" w:hAnsi="Arial"/>
          <w:sz w:val="31"/>
          <w:szCs w:val="31"/>
          <w:color w:val="auto"/>
          <w:vertAlign w:val="subscript"/>
        </w:rPr>
      </w:pPr>
      <w:r>
        <w:rPr>
          <w:rFonts w:ascii="Arial" w:cs="Arial" w:eastAsia="Arial" w:hAnsi="Arial"/>
          <w:sz w:val="16"/>
          <w:szCs w:val="16"/>
          <w:color w:val="auto"/>
        </w:rPr>
        <w:t>CUSIP Number 55304A104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If this statement is filed pursuant to §§240.13d-1(b) or 240.13d-2(b) or (c), check whether the person filing is a: </w:t>
      </w:r>
      <w:r>
        <w:rPr>
          <w:rFonts w:ascii="Arial" w:cs="Arial" w:eastAsia="Arial" w:hAnsi="Arial"/>
          <w:sz w:val="17"/>
          <w:szCs w:val="17"/>
          <w:color w:val="auto"/>
        </w:rPr>
        <w:t>N/A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660" w:right="5759"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Boothbay Absolute Return Strategies LP – 600,833* Boothbay Fund Management, LLC – 600,833* Ari Glass – 600,833*</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660" w:right="5879"/>
        <w:spacing w:after="0" w:line="255" w:lineRule="auto"/>
        <w:rPr>
          <w:rFonts w:ascii="Arial" w:cs="Arial" w:eastAsia="Arial" w:hAnsi="Arial"/>
          <w:sz w:val="18"/>
          <w:szCs w:val="18"/>
          <w:color w:val="auto"/>
        </w:rPr>
      </w:pPr>
      <w:r>
        <w:rPr>
          <w:rFonts w:ascii="Arial" w:cs="Arial" w:eastAsia="Arial" w:hAnsi="Arial"/>
          <w:sz w:val="18"/>
          <w:szCs w:val="18"/>
          <w:color w:val="auto"/>
        </w:rPr>
        <w:t>Boothbay Absolute Return Strategies LP – 8.51%* Boothbay Fund Management, LLC – 8.51%* Ari Glass – 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5" w:name="page6"/>
    <w:bookmarkEnd w:id="5"/>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Sole power to vote or to direct the vote</w:t>
      </w:r>
    </w:p>
    <w:p>
      <w:pPr>
        <w:spacing w:after="0" w:line="23" w:lineRule="exact"/>
        <w:rPr>
          <w:sz w:val="20"/>
          <w:szCs w:val="20"/>
          <w:color w:val="auto"/>
        </w:rPr>
      </w:pPr>
    </w:p>
    <w:p>
      <w:pPr>
        <w:ind w:left="1000" w:right="7220" w:hanging="330"/>
        <w:spacing w:after="0" w:line="187" w:lineRule="auto"/>
        <w:tabs>
          <w:tab w:leader="none" w:pos="1000" w:val="left"/>
        </w:tabs>
        <w:numPr>
          <w:ilvl w:val="0"/>
          <w:numId w:val="13"/>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0 Boothbay Fund Management, LLC – 0 Ari Glass – 0</w:t>
      </w:r>
    </w:p>
    <w:p>
      <w:pPr>
        <w:spacing w:after="0" w:line="204" w:lineRule="exact"/>
        <w:rPr>
          <w:rFonts w:ascii="Arial" w:cs="Arial" w:eastAsia="Arial" w:hAnsi="Arial"/>
          <w:sz w:val="36"/>
          <w:szCs w:val="36"/>
          <w:color w:val="auto"/>
          <w:vertAlign w:val="subscript"/>
        </w:rPr>
      </w:pPr>
    </w:p>
    <w:p>
      <w:pPr>
        <w:ind w:left="1000"/>
        <w:spacing w:after="0"/>
        <w:rPr>
          <w:rFonts w:ascii="Arial" w:cs="Arial" w:eastAsia="Arial" w:hAnsi="Arial"/>
          <w:sz w:val="36"/>
          <w:szCs w:val="36"/>
          <w:color w:val="auto"/>
          <w:vertAlign w:val="subscript"/>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36"/>
          <w:szCs w:val="36"/>
          <w:color w:val="auto"/>
          <w:vertAlign w:val="subscript"/>
        </w:rPr>
      </w:pPr>
    </w:p>
    <w:p>
      <w:pPr>
        <w:ind w:left="1000" w:right="6640" w:hanging="330"/>
        <w:spacing w:after="0" w:line="187" w:lineRule="auto"/>
        <w:tabs>
          <w:tab w:leader="none" w:pos="1000" w:val="left"/>
        </w:tabs>
        <w:numPr>
          <w:ilvl w:val="0"/>
          <w:numId w:val="13"/>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600,833* Boothbay Fund Management, LLC – 600,833* Ari Glass – 600,833*</w:t>
      </w:r>
    </w:p>
    <w:p>
      <w:pPr>
        <w:spacing w:after="0" w:line="204" w:lineRule="exact"/>
        <w:rPr>
          <w:rFonts w:ascii="Arial" w:cs="Arial" w:eastAsia="Arial" w:hAnsi="Arial"/>
          <w:sz w:val="36"/>
          <w:szCs w:val="36"/>
          <w:color w:val="auto"/>
          <w:vertAlign w:val="subscript"/>
        </w:rPr>
      </w:pPr>
    </w:p>
    <w:p>
      <w:pPr>
        <w:ind w:left="1000"/>
        <w:spacing w:after="0"/>
        <w:rPr>
          <w:rFonts w:ascii="Arial" w:cs="Arial" w:eastAsia="Arial" w:hAnsi="Arial"/>
          <w:sz w:val="36"/>
          <w:szCs w:val="36"/>
          <w:color w:val="auto"/>
          <w:vertAlign w:val="subscript"/>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36"/>
          <w:szCs w:val="36"/>
          <w:color w:val="auto"/>
          <w:vertAlign w:val="subscript"/>
        </w:rPr>
      </w:pPr>
    </w:p>
    <w:p>
      <w:pPr>
        <w:ind w:left="1000" w:right="7220" w:hanging="330"/>
        <w:spacing w:after="0" w:line="187" w:lineRule="auto"/>
        <w:tabs>
          <w:tab w:leader="none" w:pos="1000" w:val="left"/>
        </w:tabs>
        <w:numPr>
          <w:ilvl w:val="0"/>
          <w:numId w:val="13"/>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0 Boothbay Fund Management, LLC – 0 Ari Glass – 0</w:t>
      </w:r>
    </w:p>
    <w:p>
      <w:pPr>
        <w:spacing w:after="0" w:line="204" w:lineRule="exact"/>
        <w:rPr>
          <w:rFonts w:ascii="Arial" w:cs="Arial" w:eastAsia="Arial" w:hAnsi="Arial"/>
          <w:sz w:val="36"/>
          <w:szCs w:val="36"/>
          <w:color w:val="auto"/>
          <w:vertAlign w:val="subscript"/>
        </w:rPr>
      </w:pPr>
    </w:p>
    <w:p>
      <w:pPr>
        <w:ind w:left="1000"/>
        <w:spacing w:after="0"/>
        <w:rPr>
          <w:rFonts w:ascii="Arial" w:cs="Arial" w:eastAsia="Arial" w:hAnsi="Arial"/>
          <w:sz w:val="36"/>
          <w:szCs w:val="36"/>
          <w:color w:val="auto"/>
          <w:vertAlign w:val="subscript"/>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36"/>
          <w:szCs w:val="36"/>
          <w:color w:val="auto"/>
          <w:vertAlign w:val="subscript"/>
        </w:rPr>
      </w:pPr>
    </w:p>
    <w:p>
      <w:pPr>
        <w:ind w:left="1000" w:right="6640" w:hanging="330"/>
        <w:spacing w:after="0" w:line="190" w:lineRule="auto"/>
        <w:tabs>
          <w:tab w:leader="none" w:pos="1000" w:val="left"/>
        </w:tabs>
        <w:numPr>
          <w:ilvl w:val="0"/>
          <w:numId w:val="13"/>
        </w:numPr>
        <w:rPr>
          <w:rFonts w:ascii="Arial" w:cs="Arial" w:eastAsia="Arial" w:hAnsi="Arial"/>
          <w:sz w:val="35"/>
          <w:szCs w:val="35"/>
          <w:color w:val="auto"/>
          <w:vertAlign w:val="subscript"/>
        </w:rPr>
      </w:pPr>
      <w:r>
        <w:rPr>
          <w:rFonts w:ascii="Arial" w:cs="Arial" w:eastAsia="Arial" w:hAnsi="Arial"/>
          <w:sz w:val="18"/>
          <w:szCs w:val="18"/>
          <w:color w:val="auto"/>
        </w:rPr>
        <w:t>Boothbay Absolute Return Strategies LP – 600,833* Boothbay Fund Management, LLC – 600,833* Ari Glass – 600,833*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shares of common stock (the “Shares”), of M I Acquisitions, Inc., a Delaware corporation (the “Issuer”), reported herein are held by Boothbay Absolute Return Strategies LP, a Delaware limited partnership (the "Fund"), which is managed by Boothbay Fund Management, LLC, a Delaware limited liability company (the "Adviser"). The Adviser, in its capacity as the investment manager of the Fund, has the power to vote and the power to direct the disposition of all Shares held by the Fund. Accordingly, for the purposes of Reg. Section 240.13d-3, the Adviser may be deemed to beneficially own an aggregate of 600,833 Shares, or 8.51% of the Shares issued and outstanding as of November 13, 2017. Ari Glass is the Managing Member of the Adviser. The beneficial ownership percentage reported herein is based on 7,058,743 voting Shares issued and outstanding as of November 13, 2017, as disclosed in the Company's Quarterly Report for the quarter ended September 30, 2017, as filed with the Securities and Exchange Commission on November 14, 2017. This report shall not be deemed an admission that the Adviser, the Fund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Absolute Return Strategies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Boothbay Fund Management, LLC, its investment manager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Fund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Ari Glass</w:t>
      </w:r>
    </w:p>
    <w:p>
      <w:pPr>
        <w:spacing w:after="0" w:line="225" w:lineRule="exact"/>
        <w:rPr>
          <w:sz w:val="20"/>
          <w:szCs w:val="20"/>
          <w:color w:val="auto"/>
        </w:rPr>
      </w:pPr>
    </w:p>
    <w:p>
      <w:pPr>
        <w:jc w:val="right"/>
        <w:ind w:righ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jc w:val="right"/>
        <w:ind w:right="4480"/>
        <w:spacing w:after="0"/>
        <w:rPr>
          <w:sz w:val="20"/>
          <w:szCs w:val="20"/>
          <w:color w:val="auto"/>
        </w:rPr>
      </w:pPr>
      <w:r>
        <w:rPr>
          <w:rFonts w:ascii="Arial" w:cs="Arial" w:eastAsia="Arial" w:hAnsi="Arial"/>
          <w:sz w:val="18"/>
          <w:szCs w:val="18"/>
          <w:color w:val="auto"/>
        </w:rPr>
        <w:t>Individually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JOINT FILING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consent and agree to the joint filing of Schedule 13G Amendment No. 2 under the Securities Exchange Act of 1934, as amended, with respect to the Shares of M I Acquisitions Inc., together with any or all amendments thereto, when and if required. The parties hereto further consent and agree to file this Joint Filing Statement pursuant to Rule13d-1(k)(1)(iii) as an exhibit to Schedule 13G, thereby incorporating the same into such Schedule13G.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Joint Filing Statement may be terminated by any of the undersigned upon written notice or such lesser period of notice as the undersigned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Absolute Return Strategies LP</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Boothbay Fund Management, LLC, its investment manager</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Fund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Ari Glass</w:t>
      </w:r>
    </w:p>
    <w:p>
      <w:pPr>
        <w:spacing w:after="0" w:line="225" w:lineRule="exact"/>
        <w:rPr>
          <w:sz w:val="20"/>
          <w:szCs w:val="20"/>
          <w:color w:val="auto"/>
        </w:rPr>
      </w:pPr>
    </w:p>
    <w:p>
      <w:pPr>
        <w:jc w:val="right"/>
        <w:ind w:righ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jc w:val="right"/>
        <w:ind w:right="4480"/>
        <w:spacing w:after="0"/>
        <w:rPr>
          <w:sz w:val="20"/>
          <w:szCs w:val="20"/>
          <w:color w:val="auto"/>
        </w:rPr>
      </w:pPr>
      <w:r>
        <w:rPr>
          <w:rFonts w:ascii="Arial" w:cs="Arial" w:eastAsia="Arial" w:hAnsi="Arial"/>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decimal"/>
      <w:start w:val="10"/>
    </w:lvl>
  </w:abstractNum>
  <w:abstractNum w:abstractNumId="4">
    <w:nsid w:val="5BD062C2"/>
    <w:multiLevelType w:val="hybridMultilevel"/>
    <w:lvl w:ilvl="0">
      <w:lvlJc w:val="left"/>
      <w:lvlText w:val="%1."/>
      <w:numFmt w:val="decimal"/>
      <w:start w:val="1"/>
    </w:lvl>
    <w:lvl w:ilvl="1">
      <w:lvlJc w:val="left"/>
      <w:lvlText w:val="(%2)"/>
      <w:numFmt w:val="lowerLetter"/>
      <w:start w:val="1"/>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1."/>
      <w:numFmt w:val="decimal"/>
      <w:start w:val="1"/>
    </w:lvl>
    <w:lvl w:ilvl="1">
      <w:lvlJc w:val="left"/>
      <w:lvlText w:val="(%2)"/>
      <w:numFmt w:val="lowerLetter"/>
      <w:start w:val="1"/>
    </w:lvl>
  </w:abstractNum>
  <w:abstractNum w:abstractNumId="7">
    <w:nsid w:val="216231B"/>
    <w:multiLevelType w:val="hybridMultilevel"/>
    <w:lvl w:ilvl="0">
      <w:lvlJc w:val="left"/>
      <w:lvlText w:val="%1."/>
      <w:numFmt w:val="decimal"/>
      <w:start w:val="10"/>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2020-01-14T08:12:36Z</dcterms:created>
  <dcterms:modified xsi:type="dcterms:W3CDTF">2020-01-14T08:12:36Z</dcterms:modified>
</cp:coreProperties>
</file>