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August 8, 2024</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2743200</wp:posOffset>
            </wp:positionH>
            <wp:positionV relativeFrom="paragraph">
              <wp:posOffset>3810</wp:posOffset>
            </wp:positionV>
            <wp:extent cx="1691640" cy="782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91640" cy="782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Priority Technology Holdings, Inc.</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16"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4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001-37872</w:t>
            </w: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jc w:val="right"/>
              <w:ind w:right="1440"/>
              <w:spacing w:after="0"/>
              <w:rPr>
                <w:sz w:val="20"/>
                <w:szCs w:val="20"/>
                <w:color w:val="auto"/>
              </w:rPr>
            </w:pPr>
            <w:r>
              <w:rPr>
                <w:rFonts w:ascii="Times New Roman" w:cs="Times New Roman" w:eastAsia="Times New Roman" w:hAnsi="Times New Roman"/>
                <w:sz w:val="12"/>
                <w:szCs w:val="12"/>
                <w:b w:val="1"/>
                <w:bCs w:val="1"/>
                <w:color w:val="auto"/>
              </w:rPr>
              <w:t>47-4257046</w:t>
            </w:r>
          </w:p>
        </w:tc>
        <w:tc>
          <w:tcPr>
            <w:tcW w:w="20" w:type="dxa"/>
            <w:vAlign w:val="bottom"/>
          </w:tcPr>
          <w:p>
            <w:pPr>
              <w:spacing w:after="0"/>
              <w:rPr>
                <w:sz w:val="13"/>
                <w:szCs w:val="13"/>
                <w:color w:val="auto"/>
              </w:rPr>
            </w:pPr>
          </w:p>
        </w:tc>
      </w:tr>
      <w:tr>
        <w:trPr>
          <w:trHeight w:val="144"/>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(State or other jurisdiction of incorporation)</w:t>
            </w:r>
          </w:p>
        </w:tc>
        <w:tc>
          <w:tcPr>
            <w:tcW w:w="320" w:type="dxa"/>
            <w:vAlign w:val="bottom"/>
          </w:tcPr>
          <w:p>
            <w:pPr>
              <w:spacing w:after="0"/>
              <w:rPr>
                <w:sz w:val="12"/>
                <w:szCs w:val="12"/>
                <w:color w:val="auto"/>
              </w:rPr>
            </w:pPr>
          </w:p>
        </w:tc>
        <w:tc>
          <w:tcPr>
            <w:tcW w:w="338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320" w:type="dxa"/>
            <w:vAlign w:val="bottom"/>
          </w:tcPr>
          <w:p>
            <w:pPr>
              <w:spacing w:after="0"/>
              <w:rPr>
                <w:sz w:val="12"/>
                <w:szCs w:val="12"/>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(I.R.S. Employer Identification No.)</w:t>
            </w:r>
          </w:p>
        </w:tc>
        <w:tc>
          <w:tcPr>
            <w:tcW w:w="20" w:type="dxa"/>
            <w:vAlign w:val="bottom"/>
          </w:tcPr>
          <w:p>
            <w:pPr>
              <w:spacing w:after="0"/>
              <w:rPr>
                <w:sz w:val="12"/>
                <w:szCs w:val="12"/>
                <w:color w:val="auto"/>
              </w:rPr>
            </w:pPr>
          </w:p>
        </w:tc>
      </w:tr>
      <w:tr>
        <w:trPr>
          <w:trHeight w:val="433"/>
        </w:trPr>
        <w:tc>
          <w:tcPr>
            <w:tcW w:w="4000" w:type="dxa"/>
            <w:vAlign w:val="bottom"/>
            <w:gridSpan w:val="2"/>
          </w:tcPr>
          <w:p>
            <w:pPr>
              <w:jc w:val="center"/>
              <w:ind w:left="1700"/>
              <w:spacing w:after="0"/>
              <w:rPr>
                <w:sz w:val="20"/>
                <w:szCs w:val="20"/>
                <w:color w:val="auto"/>
              </w:rPr>
            </w:pPr>
            <w:r>
              <w:rPr>
                <w:rFonts w:ascii="Times New Roman" w:cs="Times New Roman" w:eastAsia="Times New Roman" w:hAnsi="Times New Roman"/>
                <w:sz w:val="12"/>
                <w:szCs w:val="12"/>
                <w:b w:val="1"/>
                <w:bCs w:val="1"/>
                <w:color w:val="auto"/>
                <w:w w:val="98"/>
              </w:rPr>
              <w:t>2001 Westside Parkway</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3"/>
        </w:trPr>
        <w:tc>
          <w:tcPr>
            <w:tcW w:w="4000" w:type="dxa"/>
            <w:vAlign w:val="bottom"/>
            <w:gridSpan w:val="2"/>
          </w:tcPr>
          <w:p>
            <w:pPr>
              <w:jc w:val="center"/>
              <w:ind w:left="1700"/>
              <w:spacing w:after="0"/>
              <w:rPr>
                <w:sz w:val="20"/>
                <w:szCs w:val="20"/>
                <w:color w:val="auto"/>
              </w:rPr>
            </w:pPr>
            <w:r>
              <w:rPr>
                <w:rFonts w:ascii="Times New Roman" w:cs="Times New Roman" w:eastAsia="Times New Roman" w:hAnsi="Times New Roman"/>
                <w:sz w:val="12"/>
                <w:szCs w:val="12"/>
                <w:b w:val="1"/>
                <w:bCs w:val="1"/>
                <w:color w:val="auto"/>
              </w:rPr>
              <w:t>Suite 155</w:t>
            </w:r>
          </w:p>
        </w:tc>
        <w:tc>
          <w:tcPr>
            <w:tcW w:w="1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4000" w:type="dxa"/>
            <w:vAlign w:val="bottom"/>
            <w:gridSpan w:val="2"/>
          </w:tcPr>
          <w:p>
            <w:pPr>
              <w:ind w:left="1140"/>
              <w:spacing w:after="0"/>
              <w:rPr>
                <w:sz w:val="20"/>
                <w:szCs w:val="20"/>
                <w:color w:val="auto"/>
              </w:rPr>
            </w:pPr>
            <w:r>
              <w:rPr>
                <w:rFonts w:ascii="Times New Roman" w:cs="Times New Roman" w:eastAsia="Times New Roman" w:hAnsi="Times New Roman"/>
                <w:sz w:val="12"/>
                <w:szCs w:val="12"/>
                <w:b w:val="1"/>
                <w:bCs w:val="1"/>
                <w:color w:val="auto"/>
              </w:rPr>
              <w:t>Alpharetta,</w:t>
            </w:r>
          </w:p>
        </w:tc>
        <w:tc>
          <w:tcPr>
            <w:tcW w:w="3700" w:type="dxa"/>
            <w:vAlign w:val="bottom"/>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Georgia</w:t>
            </w:r>
          </w:p>
        </w:tc>
        <w:tc>
          <w:tcPr>
            <w:tcW w:w="3580" w:type="dxa"/>
            <w:vAlign w:val="bottom"/>
          </w:tcPr>
          <w:p>
            <w:pPr>
              <w:jc w:val="right"/>
              <w:ind w:right="2380"/>
              <w:spacing w:after="0"/>
              <w:rPr>
                <w:sz w:val="20"/>
                <w:szCs w:val="20"/>
                <w:color w:val="auto"/>
              </w:rPr>
            </w:pPr>
            <w:r>
              <w:rPr>
                <w:rFonts w:ascii="Times New Roman" w:cs="Times New Roman" w:eastAsia="Times New Roman" w:hAnsi="Times New Roman"/>
                <w:sz w:val="12"/>
                <w:szCs w:val="12"/>
                <w:b w:val="1"/>
                <w:bCs w:val="1"/>
                <w:color w:val="auto"/>
              </w:rPr>
              <w:t>30004</w:t>
            </w:r>
          </w:p>
        </w:tc>
        <w:tc>
          <w:tcPr>
            <w:tcW w:w="20" w:type="dxa"/>
            <w:vAlign w:val="bottom"/>
          </w:tcPr>
          <w:p>
            <w:pPr>
              <w:spacing w:after="0"/>
              <w:rPr>
                <w:sz w:val="13"/>
                <w:szCs w:val="13"/>
                <w:color w:val="auto"/>
              </w:rPr>
            </w:pPr>
          </w:p>
        </w:tc>
      </w:tr>
      <w:tr>
        <w:trPr>
          <w:trHeight w:val="144"/>
        </w:trPr>
        <w:tc>
          <w:tcPr>
            <w:tcW w:w="4000" w:type="dxa"/>
            <w:vAlign w:val="bottom"/>
            <w:tcBorders>
              <w:top w:val="single" w:sz="8" w:color="auto"/>
            </w:tcBorders>
            <w:gridSpan w:val="2"/>
          </w:tcPr>
          <w:p>
            <w:pPr>
              <w:jc w:val="center"/>
              <w:ind w:left="166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1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580" w:type="dxa"/>
            <w:vAlign w:val="bottom"/>
            <w:tcBorders>
              <w:top w:val="single" w:sz="8" w:color="auto"/>
            </w:tcBorders>
          </w:tcPr>
          <w:p>
            <w:pPr>
              <w:jc w:val="center"/>
              <w:ind w:right="1560"/>
              <w:spacing w:after="0"/>
              <w:rPr>
                <w:sz w:val="20"/>
                <w:szCs w:val="20"/>
                <w:color w:val="auto"/>
              </w:rPr>
            </w:pPr>
            <w:r>
              <w:rPr>
                <w:rFonts w:ascii="Times New Roman" w:cs="Times New Roman" w:eastAsia="Times New Roman" w:hAnsi="Times New Roman"/>
                <w:sz w:val="12"/>
                <w:szCs w:val="12"/>
                <w:color w:val="auto"/>
                <w:w w:val="98"/>
              </w:rPr>
              <w:t>(Zip Code)</w:t>
            </w:r>
          </w:p>
        </w:tc>
        <w:tc>
          <w:tcPr>
            <w:tcW w:w="20" w:type="dxa"/>
            <w:vAlign w:val="bottom"/>
            <w:tcBorders>
              <w:top w:val="single" w:sz="8" w:color="auto"/>
            </w:tcBorders>
          </w:tcPr>
          <w:p>
            <w:pPr>
              <w:spacing w:after="0"/>
              <w:rPr>
                <w:sz w:val="12"/>
                <w:szCs w:val="12"/>
                <w:color w:val="auto"/>
              </w:rPr>
            </w:pPr>
          </w:p>
        </w:tc>
      </w:tr>
    </w:tbl>
    <w:p>
      <w:pPr>
        <w:spacing w:after="0" w:line="181"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(800) 935-5961</w:t>
      </w:r>
    </w:p>
    <w:p>
      <w:pPr>
        <w:spacing w:after="0" w:line="154"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u w:val="single" w:color="auto"/>
          <w:color w:val="auto"/>
        </w:rPr>
        <w:t>see</w:t>
      </w:r>
      <w:r>
        <w:rPr>
          <w:rFonts w:ascii="Times New Roman" w:cs="Times New Roman" w:eastAsia="Times New Roman" w:hAnsi="Times New Roman"/>
          <w:sz w:val="12"/>
          <w:szCs w:val="12"/>
          <w:color w:val="auto"/>
        </w:rPr>
        <w:t xml:space="preserve"> General Instruction A.2. below):</w:t>
      </w:r>
    </w:p>
    <w:p>
      <w:pPr>
        <w:spacing w:after="0" w:line="150" w:lineRule="exact"/>
        <w:rPr>
          <w:sz w:val="24"/>
          <w:szCs w:val="24"/>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312"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5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6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5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34"/>
        </w:trPr>
        <w:tc>
          <w:tcPr>
            <w:tcW w:w="560" w:type="dxa"/>
            <w:vAlign w:val="bottom"/>
          </w:tcPr>
          <w:p>
            <w:pPr>
              <w:spacing w:after="0"/>
              <w:rPr>
                <w:sz w:val="20"/>
                <w:szCs w:val="20"/>
                <w:color w:val="auto"/>
              </w:rPr>
            </w:pPr>
          </w:p>
        </w:tc>
        <w:tc>
          <w:tcPr>
            <w:tcW w:w="36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3060" w:type="dxa"/>
            <w:vAlign w:val="bottom"/>
            <w:gridSpan w:val="3"/>
          </w:tcPr>
          <w:p>
            <w:pPr>
              <w:jc w:val="center"/>
              <w:ind w:right="108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4080" w:type="dxa"/>
            <w:vAlign w:val="bottom"/>
            <w:gridSpan w:val="2"/>
          </w:tcPr>
          <w:p>
            <w:pPr>
              <w:jc w:val="center"/>
              <w:ind w:right="1460"/>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4"/>
        </w:trPr>
        <w:tc>
          <w:tcPr>
            <w:tcW w:w="560" w:type="dxa"/>
            <w:vAlign w:val="bottom"/>
          </w:tcPr>
          <w:p>
            <w:pPr>
              <w:spacing w:after="0"/>
              <w:rPr>
                <w:sz w:val="12"/>
                <w:szCs w:val="12"/>
                <w:color w:val="auto"/>
              </w:rPr>
            </w:pPr>
          </w:p>
        </w:tc>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$0.001 par value</w:t>
            </w:r>
          </w:p>
        </w:tc>
        <w:tc>
          <w:tcPr>
            <w:tcW w:w="200" w:type="dxa"/>
            <w:vAlign w:val="bottom"/>
          </w:tcPr>
          <w:p>
            <w:pPr>
              <w:spacing w:after="0"/>
              <w:rPr>
                <w:sz w:val="12"/>
                <w:szCs w:val="12"/>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PRTH</w:t>
            </w:r>
          </w:p>
        </w:tc>
        <w:tc>
          <w:tcPr>
            <w:tcW w:w="1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520" w:type="dxa"/>
            <w:vAlign w:val="bottom"/>
            <w:tcBorders>
              <w:top w:val="single" w:sz="8" w:color="auto"/>
            </w:tcBorders>
          </w:tcPr>
          <w:p>
            <w:pPr>
              <w:jc w:val="center"/>
              <w:ind w:right="840"/>
              <w:spacing w:after="0"/>
              <w:rPr>
                <w:sz w:val="20"/>
                <w:szCs w:val="20"/>
                <w:color w:val="auto"/>
              </w:rPr>
            </w:pPr>
            <w:r>
              <w:rPr>
                <w:rFonts w:ascii="Times New Roman" w:cs="Times New Roman" w:eastAsia="Times New Roman" w:hAnsi="Times New Roman"/>
                <w:sz w:val="12"/>
                <w:szCs w:val="12"/>
                <w:color w:val="auto"/>
              </w:rPr>
              <w:t>Nasdaq Global Market</w:t>
            </w:r>
          </w:p>
        </w:tc>
        <w:tc>
          <w:tcPr>
            <w:tcW w:w="560" w:type="dxa"/>
            <w:vAlign w:val="bottom"/>
          </w:tcPr>
          <w:p>
            <w:pPr>
              <w:spacing w:after="0"/>
              <w:rPr>
                <w:sz w:val="12"/>
                <w:szCs w:val="12"/>
                <w:color w:val="auto"/>
              </w:rPr>
            </w:pPr>
          </w:p>
        </w:tc>
      </w:tr>
      <w:tr>
        <w:trPr>
          <w:trHeight w:val="808"/>
        </w:trPr>
        <w:tc>
          <w:tcPr>
            <w:tcW w:w="56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10" w:right="299" w:bottom="1440" w:gutter="0" w:footer="0" w:header="0"/>
        </w:sectPr>
      </w:pPr>
    </w:p>
    <w:bookmarkStart w:id="1" w:name="page2"/>
    <w:bookmarkEnd w:id="1"/>
    <w:p>
      <w:pPr>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1" w:lineRule="exact"/>
        <w:rPr>
          <w:sz w:val="20"/>
          <w:szCs w:val="20"/>
          <w:color w:val="auto"/>
        </w:rPr>
      </w:pPr>
    </w:p>
    <w:p>
      <w:pPr>
        <w:ind w:left="120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96" w:lineRule="exact"/>
        <w:rPr>
          <w:sz w:val="20"/>
          <w:szCs w:val="20"/>
          <w:color w:val="auto"/>
        </w:rPr>
      </w:pPr>
    </w:p>
    <w:p>
      <w:pPr>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347980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42" w:right="319" w:bottom="1440" w:gutter="0" w:footer="0" w:header="0"/>
        </w:sectPr>
      </w:pPr>
    </w:p>
    <w:bookmarkStart w:id="2" w:name="page3"/>
    <w:bookmarkEnd w:id="2"/>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2.02.</w:t>
        <w:tab/>
        <w:t>Results of Operations and Financial Condition.</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August 8, 2024, Priority Technology Holdings, Inc. ("Priority") issued a press release announcing its financial results for the quarter ended June 30, 2024. A copy of that press release is attached as Exhibit 99.1 to this Current Report on Form 8-K.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August 8, 2024, Priority will hold an earnings conference call and webcast at 11:00 a.m. (Eastern Time) to discuss the financial results for the quarter ended June 30, 2024. The press release referenced in Item 2.02 contains information about how to access the conference call and webcast. A copy of the slide presentation to be used during the earnings call and webcast is furnished as Exhibit 99.2 to this Current Report on Form 8-K. The slide presentation also will be available on our website, www.prioritycommerce.com under the "Investor Relations" section.</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information in this Current Report on Form 8-K, including Exhibit 99.1,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10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 – The following exhibit is furnished as part of this Current Report on Form 8-K.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100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40"/>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0000FF"/>
              </w:rPr>
              <w:t>99.1</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Press Release of Priority Technology Holdings, Inc. dated August 8, 2024</w:t>
            </w:r>
          </w:p>
        </w:tc>
      </w:tr>
      <w:tr>
        <w:trPr>
          <w:trHeight w:val="153"/>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0000FF"/>
              </w:rPr>
              <w:t>99.2</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Supplemental Slide Presentation</w:t>
            </w:r>
          </w:p>
        </w:tc>
      </w:tr>
      <w:tr>
        <w:trPr>
          <w:trHeight w:val="155"/>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The cover page from this Current Report on Form 8-K, formatted in Inline XBRL</w:t>
            </w: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August 8, 2024</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PRIORITY TECHNOLOGY HOLDINGS, INC.</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u w:val="single" w:color="auto"/>
          <w:color w:val="auto"/>
        </w:rPr>
        <w:t>By: /s/ Timothy O'Leary</w:t>
      </w:r>
    </w:p>
    <w:p>
      <w:pPr>
        <w:spacing w:after="0" w:line="1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Name: Timothy O'Leary</w:t>
      </w:r>
    </w:p>
    <w:p>
      <w:pPr>
        <w:spacing w:after="0" w:line="1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Title: Chief Financial Officer</w:t>
      </w:r>
    </w:p>
    <w:p>
      <w:pPr>
        <w:sectPr>
          <w:pgSz w:w="11900" w:h="16838" w:orient="portrait"/>
          <w:cols w:equalWidth="0" w:num="1">
            <w:col w:w="11300"/>
          </w:cols>
          <w:pgMar w:left="300" w:top="638" w:right="299" w:bottom="1440" w:gutter="0" w:footer="0" w:header="0"/>
        </w:sectPr>
      </w:pPr>
    </w:p>
    <w:bookmarkStart w:id="3" w:name="page4"/>
    <w:bookmarkEnd w:id="3"/>
    <w:p>
      <w:pPr>
        <w:ind w:left="9860"/>
        <w:spacing w:after="0"/>
        <w:rPr>
          <w:sz w:val="20"/>
          <w:szCs w:val="20"/>
          <w:color w:val="auto"/>
        </w:rPr>
      </w:pPr>
      <w:r>
        <w:rPr>
          <w:rFonts w:ascii="Times New Roman" w:cs="Times New Roman" w:eastAsia="Times New Roman" w:hAnsi="Times New Roman"/>
          <w:sz w:val="12"/>
          <w:szCs w:val="1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2995295</wp:posOffset>
            </wp:positionH>
            <wp:positionV relativeFrom="paragraph">
              <wp:posOffset>16510</wp:posOffset>
            </wp:positionV>
            <wp:extent cx="1177290" cy="417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77290" cy="41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Priority Investor Inquiries: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Chris Kettmann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Chris.Kettmann@dgagroup.com</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(773) 497-7575</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Priority Technology Holdings, Inc. Announces Second Quarter Financial Results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 xml:space="preserve">Strong </w:t>
      </w:r>
      <w:r>
        <w:rPr>
          <w:rFonts w:ascii="Times New Roman" w:cs="Times New Roman" w:eastAsia="Times New Roman" w:hAnsi="Times New Roman"/>
          <w:sz w:val="15"/>
          <w:szCs w:val="15"/>
          <w:i w:val="1"/>
          <w:iCs w:val="1"/>
          <w:color w:val="auto"/>
        </w:rPr>
        <w:t>Second Quarter</w:t>
      </w:r>
      <w:r>
        <w:rPr>
          <w:rFonts w:ascii="Times New Roman" w:cs="Times New Roman" w:eastAsia="Times New Roman" w:hAnsi="Times New Roman"/>
          <w:sz w:val="14"/>
          <w:szCs w:val="14"/>
          <w:i w:val="1"/>
          <w:iCs w:val="1"/>
          <w:color w:val="auto"/>
        </w:rPr>
        <w:t xml:space="preserve"> Growth Driven by Performance Across Unified Commerce Platform</w:t>
      </w:r>
    </w:p>
    <w:p>
      <w:pPr>
        <w:spacing w:after="0" w:line="179" w:lineRule="exact"/>
        <w:rPr>
          <w:sz w:val="20"/>
          <w:szCs w:val="20"/>
          <w:color w:val="auto"/>
        </w:rPr>
      </w:pPr>
    </w:p>
    <w:p>
      <w:pPr>
        <w:spacing w:after="0" w:line="338" w:lineRule="auto"/>
        <w:rPr>
          <w:sz w:val="20"/>
          <w:szCs w:val="20"/>
          <w:color w:val="auto"/>
        </w:rPr>
      </w:pPr>
      <w:r>
        <w:rPr>
          <w:rFonts w:ascii="Times New Roman" w:cs="Times New Roman" w:eastAsia="Times New Roman" w:hAnsi="Times New Roman"/>
          <w:sz w:val="13"/>
          <w:szCs w:val="13"/>
          <w:color w:val="auto"/>
        </w:rPr>
        <w:t>ALPHARETTA, GA - August 8, 2024 -- Priority Technology Holdings, Inc. (NASDAQ: PRTH) ("Priority" or the "Company"), the platform for unified commerce that delivers integrated payments and banking services at scale, today announced its second quarter 2024 financial results including strong year-over-year diversified revenue growth.</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Highlights of Consolidated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Second Quarter 2024 Compared with Second Quarter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Financial highlights of the second quarter of 2024 compared with the second quarter of 2023, are as follows</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w:t>
      </w:r>
    </w:p>
    <w:p>
      <w:pPr>
        <w:spacing w:after="0" w:line="129"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of $219.9 million increased 20.6% from $182.3 million</w:t>
      </w:r>
    </w:p>
    <w:p>
      <w:pPr>
        <w:spacing w:after="0" w:line="35"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(a non-GAAP measure</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4"/>
          <w:szCs w:val="14"/>
          <w:color w:val="auto"/>
        </w:rPr>
        <w:t>$81.7 million</w:t>
      </w:r>
      <w:r>
        <w:rPr>
          <w:rFonts w:ascii="Times New Roman" w:cs="Times New Roman" w:eastAsia="Times New Roman" w:hAnsi="Times New Roman"/>
          <w:sz w:val="13"/>
          <w:szCs w:val="13"/>
          <w:color w:val="auto"/>
        </w:rPr>
        <w:t xml:space="preserve"> increased 22.0% from $67.0 million</w:t>
      </w:r>
    </w:p>
    <w:p>
      <w:pPr>
        <w:spacing w:after="0" w:line="20" w:lineRule="exact"/>
        <w:rPr>
          <w:rFonts w:ascii="Times New Roman" w:cs="Times New Roman" w:eastAsia="Times New Roman" w:hAnsi="Times New Roman"/>
          <w:sz w:val="13"/>
          <w:szCs w:val="13"/>
          <w:color w:val="auto"/>
        </w:rPr>
      </w:pPr>
    </w:p>
    <w:p>
      <w:pPr>
        <w:ind w:left="420" w:hanging="212"/>
        <w:spacing w:after="0" w:line="220" w:lineRule="auto"/>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margin (a non-GAAP measure</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 of 37.2% increased 40.0 basis points from 36.8%</w:t>
      </w: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Operating income of $33.2 million increased 73.4% from $19.1 million</w:t>
      </w:r>
    </w:p>
    <w:p>
      <w:pPr>
        <w:spacing w:after="0" w:line="21"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 non-GAAP measure</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4"/>
          <w:szCs w:val="14"/>
          <w:color w:val="auto"/>
        </w:rPr>
        <w:t>$51.6 million</w:t>
      </w:r>
      <w:r>
        <w:rPr>
          <w:rFonts w:ascii="Times New Roman" w:cs="Times New Roman" w:eastAsia="Times New Roman" w:hAnsi="Times New Roman"/>
          <w:sz w:val="13"/>
          <w:szCs w:val="13"/>
          <w:color w:val="auto"/>
        </w:rPr>
        <w:t xml:space="preserve"> increased 25.4% from $41.1 million</w:t>
      </w:r>
    </w:p>
    <w:p>
      <w:pPr>
        <w:spacing w:after="0" w:line="122"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Certain amounts/percentages may not add mathematically due to rounding.</w:t>
      </w:r>
    </w:p>
    <w:p>
      <w:pPr>
        <w:ind w:left="420" w:hanging="212"/>
        <w:spacing w:after="0" w:line="190" w:lineRule="auto"/>
        <w:tabs>
          <w:tab w:leader="none" w:pos="412" w:val="left"/>
        </w:tabs>
        <w:numPr>
          <w:ilvl w:val="0"/>
          <w:numId w:val="3"/>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3"/>
          <w:szCs w:val="13"/>
          <w:i w:val="1"/>
          <w:iCs w:val="1"/>
          <w:color w:val="auto"/>
        </w:rPr>
        <w:t>See "Non-GAAP Financial Measures" and the reconciliations of Adjusted Gross Profit (non-GAAP), Adjusted Gross Profit Margin (non-GAAP), and Adjusted EBITDA, to their most comparable GAAP measures provided below for additional information.</w:t>
      </w:r>
    </w:p>
    <w:p>
      <w:pPr>
        <w:spacing w:after="0" w:line="298"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3"/>
          <w:szCs w:val="13"/>
          <w:color w:val="auto"/>
        </w:rPr>
        <w:t>"We again reported record results in the second quarter by capitalizing on our leading unified commerce platform that delivers elegant product solutions across our segments and customer service that is committed to our partners' success," said Tom Priore, Chairman &amp; CEO of Priority. "Priority’s technology and operations are built for the future and executing on our mission to deliver a thriving ecosystem of financial solutions that accelerate cash flow and optimize working capital for businesses."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651"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b w:val="1"/>
          <w:bCs w:val="1"/>
          <w:u w:val="single" w:color="auto"/>
          <w:color w:val="auto"/>
        </w:rPr>
        <w:t>Full Year 2024 Financial Guidance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Priority's outlook remains strong and our adjusted full year 2024 guidance is as follows:</w:t>
      </w:r>
    </w:p>
    <w:p>
      <w:pPr>
        <w:spacing w:after="0" w:line="175"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forecast to range between $875 million to $883 million, from $875 million to $890 million, a growth rate of 16% to 17%, compared to fiscal 2023 results</w:t>
      </w:r>
    </w:p>
    <w:p>
      <w:pPr>
        <w:spacing w:after="0" w:line="183"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(a non-GAAP measure) forecast to range between $325 million to $330 million, from $325 million and $335 million, a growth rate of 18% to 20% compared to fiscal 2023 results</w:t>
      </w:r>
    </w:p>
    <w:p>
      <w:pPr>
        <w:spacing w:after="0" w:line="156"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Adjusted EBITDA (a non-GAAP measure) forecast to range between $196 million to $200 million, from $193 million to $198 million, a growth rate of 17% to 19% compared to fiscal 2023 results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Conference Call</w:t>
      </w:r>
    </w:p>
    <w:p>
      <w:pPr>
        <w:spacing w:after="0" w:line="186"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3"/>
          <w:szCs w:val="13"/>
          <w:color w:val="070707"/>
        </w:rPr>
        <w:t>Priority's leadership will host a conference call on Thursday, August 8, 2024 at 11:00 a.m. EDT to discuss its second quarter financial results. Participants can access the call by p</w:t>
      </w:r>
      <w:r>
        <w:rPr>
          <w:rFonts w:ascii="Times New Roman" w:cs="Times New Roman" w:eastAsia="Times New Roman" w:hAnsi="Times New Roman"/>
          <w:sz w:val="13"/>
          <w:szCs w:val="13"/>
          <w:color w:val="000000"/>
        </w:rPr>
        <w:t>hone in the U.S. or Canada at (833)</w:t>
      </w:r>
      <w:r>
        <w:rPr>
          <w:rFonts w:ascii="Times New Roman" w:cs="Times New Roman" w:eastAsia="Times New Roman" w:hAnsi="Times New Roman"/>
          <w:sz w:val="13"/>
          <w:szCs w:val="13"/>
          <w:color w:val="070707"/>
        </w:rPr>
        <w:t xml:space="preserve"> </w:t>
      </w:r>
      <w:r>
        <w:rPr>
          <w:rFonts w:ascii="Times New Roman" w:cs="Times New Roman" w:eastAsia="Times New Roman" w:hAnsi="Times New Roman"/>
          <w:sz w:val="13"/>
          <w:szCs w:val="13"/>
          <w:color w:val="000000"/>
        </w:rPr>
        <w:t>636-1319 or internationally at (412) 902-4286.</w:t>
      </w:r>
    </w:p>
    <w:p>
      <w:pPr>
        <w:spacing w:after="0" w:line="98" w:lineRule="exact"/>
        <w:rPr>
          <w:sz w:val="20"/>
          <w:szCs w:val="20"/>
          <w:color w:val="auto"/>
        </w:rPr>
      </w:pPr>
    </w:p>
    <w:p>
      <w:pPr>
        <w:jc w:val="both"/>
        <w:spacing w:after="0" w:line="342" w:lineRule="auto"/>
        <w:rPr>
          <w:sz w:val="20"/>
          <w:szCs w:val="20"/>
          <w:color w:val="auto"/>
        </w:rPr>
      </w:pPr>
      <w:r>
        <w:rPr>
          <w:rFonts w:ascii="Times New Roman" w:cs="Times New Roman" w:eastAsia="Times New Roman" w:hAnsi="Times New Roman"/>
          <w:sz w:val="13"/>
          <w:szCs w:val="13"/>
          <w:color w:val="auto"/>
        </w:rPr>
        <w:t xml:space="preserve">The Internet webcast link and accompanying slide presentation can be accessed at </w:t>
      </w:r>
      <w:r>
        <w:rPr>
          <w:rFonts w:ascii="Times New Roman" w:cs="Times New Roman" w:eastAsia="Times New Roman" w:hAnsi="Times New Roman"/>
          <w:sz w:val="13"/>
          <w:szCs w:val="13"/>
          <w:b w:val="1"/>
          <w:bCs w:val="1"/>
          <w:color w:val="auto"/>
        </w:rPr>
        <w:t>https://edge.media-server.com/mmc/p/ds7wmbnk</w:t>
      </w:r>
      <w:r>
        <w:rPr>
          <w:rFonts w:ascii="Times New Roman" w:cs="Times New Roman" w:eastAsia="Times New Roman" w:hAnsi="Times New Roman"/>
          <w:sz w:val="13"/>
          <w:szCs w:val="13"/>
          <w:color w:val="auto"/>
        </w:rPr>
        <w:t xml:space="preserve"> and will also be posted in the "Investor Relations" section of the Company's website at www.prioritycommerce.com.</w:t>
      </w:r>
    </w:p>
    <w:p>
      <w:pPr>
        <w:spacing w:after="0" w:line="89"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3"/>
          <w:szCs w:val="13"/>
          <w:color w:val="auto"/>
        </w:rPr>
        <w:t xml:space="preserve">An audio replay of the call will be available shortly after the conference call until August 15, 2024 at 2:00 p.m. EDT. To listen to the audio replay, dial (877) 344-7529 or (412) 317-0088 and enter conference ID number </w:t>
      </w:r>
      <w:r>
        <w:rPr>
          <w:rFonts w:ascii="Times New Roman" w:cs="Times New Roman" w:eastAsia="Times New Roman" w:hAnsi="Times New Roman"/>
          <w:sz w:val="13"/>
          <w:szCs w:val="13"/>
          <w:b w:val="1"/>
          <w:bCs w:val="1"/>
          <w:color w:val="222222"/>
        </w:rPr>
        <w:t>2689178</w:t>
      </w:r>
      <w:r>
        <w:rPr>
          <w:rFonts w:ascii="Times New Roman" w:cs="Times New Roman" w:eastAsia="Times New Roman" w:hAnsi="Times New Roman"/>
          <w:sz w:val="13"/>
          <w:szCs w:val="13"/>
          <w:color w:val="auto"/>
        </w:rPr>
        <w:t>. Alternatively, you may access the webcast replay in the "Investor Relations" section of the Company's website at www.prioritycommerce.com.</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0A0A0A"/>
        </w:rPr>
        <w:t>Non-GAAP Financial Measures</w:t>
      </w:r>
    </w:p>
    <w:p>
      <w:pPr>
        <w:spacing w:after="0" w:line="177"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This communication includes certain non-GAAP financial measures that we regularly review to evaluate our business and trends, measure our performance, prepare financial projections, allocate resources, and make strategic decisions. We believe these non-GAAP measures help to illustrate the underlying financial and business trends relating to our results of operations and comparability between current and prior periods. We also use these non-GAAP measures to establish and monitor operational goals. However, these non-GAAP measures are not superior to or a substitute for prominent measurements calculated in accordance with GAAP. Rather, the non-GAAP measures are meant to be a complement to understanding measures prepared in accordance with GAAP.</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654"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b w:val="1"/>
          <w:bCs w:val="1"/>
          <w:i w:val="1"/>
          <w:iCs w:val="1"/>
          <w:color w:val="auto"/>
        </w:rPr>
        <w:t>Adjusted Gross Profit and Adjusted Gross Profit Margin</w:t>
      </w:r>
    </w:p>
    <w:p>
      <w:pPr>
        <w:spacing w:after="0" w:line="179"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3"/>
          <w:szCs w:val="13"/>
          <w:color w:val="auto"/>
        </w:rPr>
        <w:t>The Company's adjusted gross profit metric represents revenues less cost of revenue (excluding depreciation and amortization). Adjusted gross profit margin is adjusted gross profit divided by revenues. We review these non-GAAP measures to evaluate our underlying profit trends. The reconciliation of adjusted gross profit to its most comparable GAAP measure is provided below:</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4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4"/>
          </w:tcPr>
          <w:p>
            <w:pPr>
              <w:jc w:val="right"/>
              <w:ind w:right="954"/>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0" w:type="dxa"/>
            <w:vAlign w:val="bottom"/>
          </w:tcPr>
          <w:p>
            <w:pPr>
              <w:spacing w:after="0"/>
              <w:rPr>
                <w:sz w:val="1"/>
                <w:szCs w:val="1"/>
                <w:color w:val="auto"/>
              </w:rPr>
            </w:pPr>
          </w:p>
        </w:tc>
      </w:tr>
      <w:tr>
        <w:trPr>
          <w:trHeight w:val="162"/>
        </w:trPr>
        <w:tc>
          <w:tcPr>
            <w:tcW w:w="75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4"/>
        </w:trPr>
        <w:tc>
          <w:tcPr>
            <w:tcW w:w="7520" w:type="dxa"/>
            <w:vAlign w:val="bottom"/>
          </w:tcPr>
          <w:p>
            <w:pPr>
              <w:spacing w:after="0"/>
              <w:rPr>
                <w:sz w:val="20"/>
                <w:szCs w:val="20"/>
                <w:color w:val="auto"/>
              </w:rPr>
            </w:pPr>
            <w:r>
              <w:rPr>
                <w:rFonts w:ascii="Times New Roman" w:cs="Times New Roman" w:eastAsia="Times New Roman" w:hAnsi="Times New Roman"/>
                <w:sz w:val="13"/>
                <w:szCs w:val="13"/>
                <w:color w:val="auto"/>
              </w:rPr>
              <w:t>Revenues</w:t>
            </w:r>
          </w:p>
        </w:tc>
        <w:tc>
          <w:tcPr>
            <w:tcW w:w="44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219,867</w:t>
            </w:r>
          </w:p>
        </w:tc>
        <w:tc>
          <w:tcPr>
            <w:tcW w:w="80" w:type="dxa"/>
            <w:vAlign w:val="bottom"/>
          </w:tcPr>
          <w:p>
            <w:pPr>
              <w:spacing w:after="0"/>
              <w:rPr>
                <w:sz w:val="13"/>
                <w:szCs w:val="13"/>
                <w:color w:val="auto"/>
              </w:rPr>
            </w:pPr>
          </w:p>
        </w:tc>
        <w:tc>
          <w:tcPr>
            <w:tcW w:w="4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182,290</w:t>
            </w:r>
          </w:p>
        </w:tc>
        <w:tc>
          <w:tcPr>
            <w:tcW w:w="0" w:type="dxa"/>
            <w:vAlign w:val="bottom"/>
          </w:tcPr>
          <w:p>
            <w:pPr>
              <w:spacing w:after="0"/>
              <w:rPr>
                <w:sz w:val="1"/>
                <w:szCs w:val="1"/>
                <w:color w:val="auto"/>
              </w:rPr>
            </w:pPr>
          </w:p>
        </w:tc>
      </w:tr>
      <w:tr>
        <w:trPr>
          <w:trHeight w:val="174"/>
        </w:trPr>
        <w:tc>
          <w:tcPr>
            <w:tcW w:w="752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 (excluding depreciation and amortization)</w:t>
            </w: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(138,118)</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(115,281)</w:t>
            </w:r>
          </w:p>
        </w:tc>
        <w:tc>
          <w:tcPr>
            <w:tcW w:w="0" w:type="dxa"/>
            <w:vAlign w:val="bottom"/>
          </w:tcPr>
          <w:p>
            <w:pPr>
              <w:spacing w:after="0"/>
              <w:rPr>
                <w:sz w:val="1"/>
                <w:szCs w:val="1"/>
                <w:color w:val="auto"/>
              </w:rPr>
            </w:pPr>
          </w:p>
        </w:tc>
      </w:tr>
      <w:tr>
        <w:trPr>
          <w:trHeight w:val="163"/>
        </w:trPr>
        <w:tc>
          <w:tcPr>
            <w:tcW w:w="7520" w:type="dxa"/>
            <w:vAlign w:val="bottom"/>
          </w:tcPr>
          <w:p>
            <w:pPr>
              <w:spacing w:after="0"/>
              <w:rPr>
                <w:sz w:val="20"/>
                <w:szCs w:val="20"/>
                <w:color w:val="auto"/>
              </w:rPr>
            </w:pPr>
            <w:r>
              <w:rPr>
                <w:rFonts w:ascii="Times New Roman" w:cs="Times New Roman" w:eastAsia="Times New Roman" w:hAnsi="Times New Roman"/>
                <w:sz w:val="13"/>
                <w:szCs w:val="13"/>
                <w:color w:val="auto"/>
              </w:rPr>
              <w:t>Adjusted gross profit</w:t>
            </w:r>
          </w:p>
        </w:tc>
        <w:tc>
          <w:tcPr>
            <w:tcW w:w="4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81,749</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67,009</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Adjusted gross profit margin</w:t>
            </w: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5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37.2 %</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36.8 %</w:t>
            </w:r>
          </w:p>
        </w:tc>
        <w:tc>
          <w:tcPr>
            <w:tcW w:w="0" w:type="dxa"/>
            <w:vAlign w:val="bottom"/>
          </w:tcPr>
          <w:p>
            <w:pPr>
              <w:spacing w:after="0"/>
              <w:rPr>
                <w:sz w:val="1"/>
                <w:szCs w:val="1"/>
                <w:color w:val="auto"/>
              </w:rPr>
            </w:pPr>
          </w:p>
        </w:tc>
      </w:tr>
      <w:tr>
        <w:trPr>
          <w:trHeight w:val="174"/>
        </w:trPr>
        <w:tc>
          <w:tcPr>
            <w:tcW w:w="752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 of revenue generating assets</w:t>
            </w: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(3,941)</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(3,030)</w:t>
            </w:r>
          </w:p>
        </w:tc>
        <w:tc>
          <w:tcPr>
            <w:tcW w:w="0" w:type="dxa"/>
            <w:vAlign w:val="bottom"/>
          </w:tcPr>
          <w:p>
            <w:pPr>
              <w:spacing w:after="0"/>
              <w:rPr>
                <w:sz w:val="1"/>
                <w:szCs w:val="1"/>
                <w:color w:val="auto"/>
              </w:rPr>
            </w:pPr>
          </w:p>
        </w:tc>
      </w:tr>
      <w:tr>
        <w:trPr>
          <w:trHeight w:val="163"/>
        </w:trPr>
        <w:tc>
          <w:tcPr>
            <w:tcW w:w="7520" w:type="dxa"/>
            <w:vAlign w:val="bottom"/>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4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77,808</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63,979</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Gross profit margin</w:t>
            </w: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5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35.4 %</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35.1 %</w:t>
            </w:r>
          </w:p>
        </w:tc>
        <w:tc>
          <w:tcPr>
            <w:tcW w:w="0" w:type="dxa"/>
            <w:vAlign w:val="bottom"/>
          </w:tcPr>
          <w:p>
            <w:pPr>
              <w:spacing w:after="0"/>
              <w:rPr>
                <w:sz w:val="1"/>
                <w:szCs w:val="1"/>
                <w:color w:val="auto"/>
              </w:rPr>
            </w:pPr>
          </w:p>
        </w:tc>
      </w:tr>
    </w:tbl>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EBITDA and Adjusted EBITDA</w:t>
      </w:r>
    </w:p>
    <w:p>
      <w:pPr>
        <w:spacing w:after="0" w:line="18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EBITDA and adjusted EBITDA are performance measures. EBITDA is earnings before interest, income tax, and depreciation and amortization expenses ("EBITDA"). Adjusted EBITDA begins with EBITDA but further excludes certain non-cash costs, such as stock-based compensation and the write-off of the carrying value of investments or other assets, as well as debt extinguishment and modification expenses and other expenses and income items considered non-recurring, such as acquisition integration expenses, certain professional fees, and litigation settlements. We review the non-GAAP adjusted EBITDA measure to evaluate our business and trends, measure our performance, prepare financial projections, allocate resources, and make strategic decisions.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0" w:type="dxa"/>
            <w:vAlign w:val="bottom"/>
          </w:tcPr>
          <w:p>
            <w:pPr>
              <w:spacing w:after="0"/>
              <w:rPr>
                <w:sz w:val="20"/>
                <w:szCs w:val="20"/>
                <w:color w:val="auto"/>
              </w:rPr>
            </w:pPr>
            <w:r>
              <w:rPr>
                <w:rFonts w:ascii="Times New Roman" w:cs="Times New Roman" w:eastAsia="Times New Roman" w:hAnsi="Times New Roman"/>
                <w:sz w:val="13"/>
                <w:szCs w:val="13"/>
                <w:color w:val="auto"/>
              </w:rPr>
              <w:t>The reconciliation of adjusted EBITDA to its most comparable GAAP measure is provided below:</w:t>
            </w:r>
          </w:p>
        </w:tc>
        <w:tc>
          <w:tcPr>
            <w:tcW w:w="2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540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2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jc w:val="right"/>
              <w:ind w:right="894"/>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0" w:type="dxa"/>
            <w:vAlign w:val="bottom"/>
          </w:tcPr>
          <w:p>
            <w:pPr>
              <w:spacing w:after="0"/>
              <w:rPr>
                <w:sz w:val="1"/>
                <w:szCs w:val="1"/>
                <w:color w:val="auto"/>
              </w:rPr>
            </w:pPr>
          </w:p>
        </w:tc>
      </w:tr>
      <w:tr>
        <w:trPr>
          <w:trHeight w:val="163"/>
        </w:trPr>
        <w:tc>
          <w:tcPr>
            <w:tcW w:w="54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4"/>
        </w:trPr>
        <w:tc>
          <w:tcPr>
            <w:tcW w:w="540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2240" w:type="dxa"/>
            <w:vAlign w:val="bottom"/>
          </w:tcPr>
          <w:p>
            <w:pPr>
              <w:spacing w:after="0"/>
              <w:rPr>
                <w:sz w:val="13"/>
                <w:szCs w:val="13"/>
                <w:color w:val="auto"/>
              </w:rPr>
            </w:pPr>
          </w:p>
        </w:tc>
        <w:tc>
          <w:tcPr>
            <w:tcW w:w="4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994</w:t>
            </w:r>
          </w:p>
        </w:tc>
        <w:tc>
          <w:tcPr>
            <w:tcW w:w="80" w:type="dxa"/>
            <w:vAlign w:val="bottom"/>
          </w:tcPr>
          <w:p>
            <w:pPr>
              <w:spacing w:after="0"/>
              <w:rPr>
                <w:sz w:val="13"/>
                <w:szCs w:val="13"/>
                <w:color w:val="auto"/>
              </w:rPr>
            </w:pPr>
          </w:p>
        </w:tc>
        <w:tc>
          <w:tcPr>
            <w:tcW w:w="4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w:t>
            </w:r>
          </w:p>
        </w:tc>
        <w:tc>
          <w:tcPr>
            <w:tcW w:w="0" w:type="dxa"/>
            <w:vAlign w:val="bottom"/>
          </w:tcPr>
          <w:p>
            <w:pPr>
              <w:spacing w:after="0"/>
              <w:rPr>
                <w:sz w:val="1"/>
                <w:szCs w:val="1"/>
                <w:color w:val="auto"/>
              </w:rPr>
            </w:pPr>
          </w:p>
        </w:tc>
      </w:tr>
      <w:tr>
        <w:trPr>
          <w:trHeight w:val="171"/>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2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21,710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17,765</w:t>
            </w:r>
          </w:p>
        </w:tc>
        <w:tc>
          <w:tcPr>
            <w:tcW w:w="0" w:type="dxa"/>
            <w:vAlign w:val="bottom"/>
          </w:tcPr>
          <w:p>
            <w:pPr>
              <w:spacing w:after="0"/>
              <w:rPr>
                <w:sz w:val="1"/>
                <w:szCs w:val="1"/>
                <w:color w:val="auto"/>
              </w:rPr>
            </w:pPr>
          </w:p>
        </w:tc>
      </w:tr>
      <w:tr>
        <w:trPr>
          <w:trHeight w:val="171"/>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 expense</w:t>
            </w:r>
          </w:p>
        </w:tc>
        <w:tc>
          <w:tcPr>
            <w:tcW w:w="2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2,515</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2,355</w:t>
            </w:r>
          </w:p>
        </w:tc>
        <w:tc>
          <w:tcPr>
            <w:tcW w:w="0" w:type="dxa"/>
            <w:vAlign w:val="bottom"/>
          </w:tcPr>
          <w:p>
            <w:pPr>
              <w:spacing w:after="0"/>
              <w:rPr>
                <w:sz w:val="1"/>
                <w:szCs w:val="1"/>
                <w:color w:val="auto"/>
              </w:rPr>
            </w:pPr>
          </w:p>
        </w:tc>
      </w:tr>
      <w:tr>
        <w:trPr>
          <w:trHeight w:val="172"/>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15,244</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17,980</w:t>
            </w:r>
          </w:p>
        </w:tc>
        <w:tc>
          <w:tcPr>
            <w:tcW w:w="0" w:type="dxa"/>
            <w:vAlign w:val="bottom"/>
          </w:tcPr>
          <w:p>
            <w:pPr>
              <w:spacing w:after="0"/>
              <w:rPr>
                <w:sz w:val="1"/>
                <w:szCs w:val="1"/>
                <w:color w:val="auto"/>
              </w:rPr>
            </w:pPr>
          </w:p>
        </w:tc>
      </w:tr>
      <w:tr>
        <w:trPr>
          <w:trHeight w:val="159"/>
        </w:trPr>
        <w:tc>
          <w:tcPr>
            <w:tcW w:w="5400" w:type="dxa"/>
            <w:vAlign w:val="bottom"/>
          </w:tcPr>
          <w:p>
            <w:pPr>
              <w:spacing w:after="0"/>
              <w:rPr>
                <w:sz w:val="20"/>
                <w:szCs w:val="20"/>
                <w:color w:val="auto"/>
              </w:rPr>
            </w:pPr>
            <w:r>
              <w:rPr>
                <w:rFonts w:ascii="Times New Roman" w:cs="Times New Roman" w:eastAsia="Times New Roman" w:hAnsi="Times New Roman"/>
                <w:sz w:val="13"/>
                <w:szCs w:val="13"/>
                <w:color w:val="auto"/>
              </w:rPr>
              <w:t>EBITDA</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40,463</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37,488</w:t>
            </w:r>
          </w:p>
        </w:tc>
        <w:tc>
          <w:tcPr>
            <w:tcW w:w="0" w:type="dxa"/>
            <w:vAlign w:val="bottom"/>
          </w:tcPr>
          <w:p>
            <w:pPr>
              <w:spacing w:after="0"/>
              <w:rPr>
                <w:sz w:val="1"/>
                <w:szCs w:val="1"/>
                <w:color w:val="auto"/>
              </w:rPr>
            </w:pPr>
          </w:p>
        </w:tc>
      </w:tr>
      <w:tr>
        <w:trPr>
          <w:trHeight w:val="171"/>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Debt extinguishment and modification</w:t>
            </w:r>
          </w:p>
        </w:tc>
        <w:tc>
          <w:tcPr>
            <w:tcW w:w="2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8,623</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Selling, general and administrative (non-recurring)</w:t>
            </w:r>
          </w:p>
        </w:tc>
        <w:tc>
          <w:tcPr>
            <w:tcW w:w="2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1,859</w:t>
            </w:r>
          </w:p>
        </w:tc>
        <w:tc>
          <w:tcPr>
            <w:tcW w:w="0" w:type="dxa"/>
            <w:vAlign w:val="bottom"/>
          </w:tcPr>
          <w:p>
            <w:pPr>
              <w:spacing w:after="0"/>
              <w:rPr>
                <w:sz w:val="1"/>
                <w:szCs w:val="1"/>
                <w:color w:val="auto"/>
              </w:rPr>
            </w:pPr>
          </w:p>
        </w:tc>
      </w:tr>
      <w:tr>
        <w:trPr>
          <w:trHeight w:val="174"/>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Non-cash stock-based compensation</w:t>
            </w:r>
          </w:p>
        </w:tc>
        <w:tc>
          <w:tcPr>
            <w:tcW w:w="22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1,829</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1,746</w:t>
            </w:r>
          </w:p>
        </w:tc>
        <w:tc>
          <w:tcPr>
            <w:tcW w:w="0" w:type="dxa"/>
            <w:vAlign w:val="bottom"/>
          </w:tcPr>
          <w:p>
            <w:pPr>
              <w:spacing w:after="0"/>
              <w:rPr>
                <w:sz w:val="1"/>
                <w:szCs w:val="1"/>
                <w:color w:val="auto"/>
              </w:rPr>
            </w:pPr>
          </w:p>
        </w:tc>
      </w:tr>
      <w:tr>
        <w:trPr>
          <w:trHeight w:val="163"/>
        </w:trPr>
        <w:tc>
          <w:tcPr>
            <w:tcW w:w="5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2240" w:type="dxa"/>
            <w:vAlign w:val="bottom"/>
          </w:tcPr>
          <w:p>
            <w:pPr>
              <w:spacing w:after="0"/>
              <w:rPr>
                <w:sz w:val="14"/>
                <w:szCs w:val="14"/>
                <w:color w:val="auto"/>
              </w:rPr>
            </w:pPr>
          </w:p>
        </w:tc>
        <w:tc>
          <w:tcPr>
            <w:tcW w:w="4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51,551</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41,093</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40" w:type="dxa"/>
            <w:vAlign w:val="bottom"/>
            <w:vMerge w:val="restart"/>
          </w:tcPr>
          <w:p>
            <w:pPr>
              <w:jc w:val="right"/>
              <w:ind w:right="1900"/>
              <w:spacing w:after="0"/>
              <w:rPr>
                <w:sz w:val="20"/>
                <w:szCs w:val="20"/>
                <w:color w:val="auto"/>
              </w:rPr>
            </w:pPr>
            <w:r>
              <w:rPr>
                <w:rFonts w:ascii="Times New Roman" w:cs="Times New Roman" w:eastAsia="Times New Roman" w:hAnsi="Times New Roman"/>
                <w:sz w:val="12"/>
                <w:szCs w:val="12"/>
                <w:color w:val="auto"/>
              </w:rPr>
              <w:t>3</w:t>
            </w: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540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58" w:right="29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Further detail of certain of these adjustments, and where these items are recorded in our consolidated statements of operations, is provided below:</w:t>
            </w: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3"/>
        </w:trPr>
        <w:tc>
          <w:tcPr>
            <w:tcW w:w="82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080" w:type="dxa"/>
            <w:vAlign w:val="bottom"/>
            <w:gridSpan w:val="4"/>
          </w:tcPr>
          <w:p>
            <w:pPr>
              <w:jc w:val="right"/>
              <w:ind w:right="814"/>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0" w:type="dxa"/>
            <w:vAlign w:val="bottom"/>
          </w:tcPr>
          <w:p>
            <w:pPr>
              <w:spacing w:after="0"/>
              <w:rPr>
                <w:sz w:val="1"/>
                <w:szCs w:val="1"/>
                <w:color w:val="auto"/>
              </w:rPr>
            </w:pPr>
          </w:p>
        </w:tc>
      </w:tr>
      <w:tr>
        <w:trPr>
          <w:trHeight w:val="163"/>
        </w:trPr>
        <w:tc>
          <w:tcPr>
            <w:tcW w:w="78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Selling, general and administrative expenses (non-recurring):</w:t>
            </w: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45"/>
        </w:trPr>
        <w:tc>
          <w:tcPr>
            <w:tcW w:w="78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Certain legal fees</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1,221</w:t>
            </w:r>
          </w:p>
        </w:tc>
        <w:tc>
          <w:tcPr>
            <w:tcW w:w="0" w:type="dxa"/>
            <w:vAlign w:val="bottom"/>
          </w:tcPr>
          <w:p>
            <w:pPr>
              <w:spacing w:after="0"/>
              <w:rPr>
                <w:sz w:val="1"/>
                <w:szCs w:val="1"/>
                <w:color w:val="auto"/>
              </w:rPr>
            </w:pPr>
          </w:p>
        </w:tc>
      </w:tr>
      <w:tr>
        <w:trPr>
          <w:trHeight w:val="171"/>
        </w:trPr>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Professional, accounting and consulting fees</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w:t>
            </w:r>
          </w:p>
        </w:tc>
        <w:tc>
          <w:tcPr>
            <w:tcW w:w="0" w:type="dxa"/>
            <w:vAlign w:val="bottom"/>
          </w:tcPr>
          <w:p>
            <w:pPr>
              <w:spacing w:after="0"/>
              <w:rPr>
                <w:sz w:val="1"/>
                <w:szCs w:val="1"/>
                <w:color w:val="auto"/>
              </w:rPr>
            </w:pPr>
          </w:p>
        </w:tc>
      </w:tr>
      <w:tr>
        <w:trPr>
          <w:trHeight w:val="174"/>
        </w:trPr>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Other expenses, net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0" w:type="dxa"/>
            <w:vAlign w:val="bottom"/>
          </w:tcPr>
          <w:p>
            <w:pPr>
              <w:spacing w:after="0"/>
              <w:rPr>
                <w:sz w:val="1"/>
                <w:szCs w:val="1"/>
                <w:color w:val="auto"/>
              </w:rPr>
            </w:pPr>
          </w:p>
        </w:tc>
      </w:tr>
      <w:tr>
        <w:trPr>
          <w:trHeight w:val="163"/>
        </w:trPr>
        <w:tc>
          <w:tcPr>
            <w:tcW w:w="78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636</w:t>
            </w:r>
          </w:p>
        </w:tc>
        <w:tc>
          <w:tcPr>
            <w:tcW w:w="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1,859</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3"/>
          <w:szCs w:val="13"/>
          <w:color w:val="auto"/>
        </w:rPr>
        <w:t>Priority does not provide a reconciliation of forward-looking non-GAAP financial measures to their comparable GAAP financial measures because it could not do so without unreasonable effort due to the unavailability of the information needed to calculate reconciling items and due to the variability, complexity and limited visibility of the adjusting items that would be excluded from the non-GAAP financial measures in future periods. When planning, forecasting and analyzing future periods, the Company does so primarily on a non-GAAP basis without preparing a GAAP analysis as that would require estimates for various cash and non-cash reconciling items that would be difficult to predict with reasonable accuracy. For example, stock-based compensation expense would be difficult to estimate because it depends on the Company's future hiring and retention needs, as well as the future fair market value of the Company's common stock, all of which are difficult to predict and subject to constant change. As a result, the Company does not believe that a GAAP reconciliation would provide meaningful supplemental information about the Company's outlook.</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0"/>
          </w:cols>
          <w:pgMar w:left="300" w:top="980" w:right="2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About Priority Technology Holdings, Inc.</w:t>
      </w:r>
    </w:p>
    <w:p>
      <w:pPr>
        <w:spacing w:after="0" w:line="16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3"/>
          <w:szCs w:val="13"/>
          <w:color w:val="auto"/>
        </w:rPr>
        <w:t>Priority is a solution provider in Payments and Banking as a Service operating at scale with over 1 million active customers across its SMB, B2B and Enterprise channels processing $125 billion in annual transaction volume and providing administration for $1 billion in deposits. Priority’s purpose-built technology enables clients to collect, store, lend and send money and provides customers the acceptance and AP payment applications and Passport financial tools that best optimize their cash flow and maximize working capital. Additional information can be found at www.prioritycommerce.com.</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0A0A0A"/>
        </w:rPr>
        <w:t>Forward-Looking Statements</w:t>
      </w:r>
    </w:p>
    <w:p>
      <w:pPr>
        <w:spacing w:after="0" w:line="17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3"/>
          <w:szCs w:val="13"/>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"outlook" or words of similar meaning. These forward-looking statements include, but are not limited to, our 2024 outlook and statements regarding our market and growth opportunities.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Our actual results could differ materially, and potentially adversely, from those discussed or implied herein.</w:t>
      </w:r>
    </w:p>
    <w:p>
      <w:pPr>
        <w:spacing w:after="0" w:line="11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3"/>
          <w:szCs w:val="13"/>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12, 2024. These filings are available online at www.sec.gov or www.prioritycommerce.com.</w:t>
      </w:r>
    </w:p>
    <w:p>
      <w:pPr>
        <w:spacing w:after="0" w:line="10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0"/>
          </w:cols>
          <w:pgMar w:left="300" w:top="636" w:right="29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 Consolidated Statements of Operations and Comprehensive Loss</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i w:val="1"/>
          <w:i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40" w:type="dxa"/>
            <w:vAlign w:val="bottom"/>
          </w:tcPr>
          <w:p>
            <w:pPr>
              <w:spacing w:after="0"/>
              <w:rPr>
                <w:sz w:val="13"/>
                <w:szCs w:val="13"/>
                <w:color w:val="auto"/>
              </w:rPr>
            </w:pPr>
          </w:p>
        </w:tc>
        <w:tc>
          <w:tcPr>
            <w:tcW w:w="264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9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6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142"/>
        </w:trPr>
        <w:tc>
          <w:tcPr>
            <w:tcW w:w="5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98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219,867</w:t>
            </w:r>
          </w:p>
        </w:tc>
        <w:tc>
          <w:tcPr>
            <w:tcW w:w="60" w:type="dxa"/>
            <w:vAlign w:val="bottom"/>
          </w:tcPr>
          <w:p>
            <w:pPr>
              <w:spacing w:after="0"/>
              <w:rPr>
                <w:sz w:val="12"/>
                <w:szCs w:val="12"/>
                <w:color w:val="auto"/>
              </w:rPr>
            </w:pPr>
          </w:p>
        </w:tc>
        <w:tc>
          <w:tcPr>
            <w:tcW w:w="100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182,290</w:t>
            </w:r>
          </w:p>
        </w:tc>
        <w:tc>
          <w:tcPr>
            <w:tcW w:w="100" w:type="dxa"/>
            <w:vAlign w:val="bottom"/>
          </w:tcPr>
          <w:p>
            <w:pPr>
              <w:spacing w:after="0"/>
              <w:rPr>
                <w:sz w:val="12"/>
                <w:szCs w:val="12"/>
                <w:color w:val="auto"/>
              </w:rPr>
            </w:pP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425,586</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367,318</w:t>
            </w:r>
          </w:p>
        </w:tc>
        <w:tc>
          <w:tcPr>
            <w:tcW w:w="0" w:type="dxa"/>
            <w:vAlign w:val="bottom"/>
          </w:tcPr>
          <w:p>
            <w:pPr>
              <w:spacing w:after="0"/>
              <w:rPr>
                <w:sz w:val="1"/>
                <w:szCs w:val="1"/>
                <w:color w:val="auto"/>
              </w:rPr>
            </w:pPr>
          </w:p>
        </w:tc>
      </w:tr>
      <w:tr>
        <w:trPr>
          <w:trHeight w:val="131"/>
        </w:trPr>
        <w:tc>
          <w:tcPr>
            <w:tcW w:w="514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Cost of revenue (excludes depreciation and amortization)</w:t>
            </w:r>
          </w:p>
        </w:tc>
        <w:tc>
          <w:tcPr>
            <w:tcW w:w="980" w:type="dxa"/>
            <w:vAlign w:val="bottom"/>
          </w:tcPr>
          <w:p>
            <w:pPr>
              <w:spacing w:after="0"/>
              <w:rPr>
                <w:sz w:val="13"/>
                <w:szCs w:val="13"/>
                <w:color w:val="auto"/>
              </w:rPr>
            </w:pP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138,118</w:t>
            </w: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115,281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267,416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237,247</w:t>
            </w:r>
          </w:p>
        </w:tc>
        <w:tc>
          <w:tcPr>
            <w:tcW w:w="0" w:type="dxa"/>
            <w:vAlign w:val="bottom"/>
          </w:tcPr>
          <w:p>
            <w:pPr>
              <w:spacing w:after="0"/>
              <w:rPr>
                <w:sz w:val="1"/>
                <w:szCs w:val="1"/>
                <w:color w:val="auto"/>
              </w:rPr>
            </w:pPr>
          </w:p>
        </w:tc>
      </w:tr>
      <w:tr>
        <w:trPr>
          <w:trHeight w:val="153"/>
        </w:trPr>
        <w:tc>
          <w:tcPr>
            <w:tcW w:w="5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Salary and employee benefits</w:t>
            </w:r>
          </w:p>
        </w:tc>
        <w:tc>
          <w:tcPr>
            <w:tcW w:w="980" w:type="dxa"/>
            <w:vAlign w:val="bottom"/>
          </w:tcPr>
          <w:p>
            <w:pPr>
              <w:spacing w:after="0"/>
              <w:rPr>
                <w:sz w:val="13"/>
                <w:szCs w:val="13"/>
                <w:color w:val="auto"/>
              </w:rPr>
            </w:pP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22,119</w:t>
            </w: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19,109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44,269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38,157</w:t>
            </w:r>
          </w:p>
        </w:tc>
        <w:tc>
          <w:tcPr>
            <w:tcW w:w="0" w:type="dxa"/>
            <w:vAlign w:val="bottom"/>
          </w:tcPr>
          <w:p>
            <w:pPr>
              <w:spacing w:after="0"/>
              <w:rPr>
                <w:sz w:val="1"/>
                <w:szCs w:val="1"/>
                <w:color w:val="auto"/>
              </w:rPr>
            </w:pPr>
          </w:p>
        </w:tc>
      </w:tr>
      <w:tr>
        <w:trPr>
          <w:trHeight w:val="153"/>
        </w:trPr>
        <w:tc>
          <w:tcPr>
            <w:tcW w:w="5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980" w:type="dxa"/>
            <w:vAlign w:val="bottom"/>
          </w:tcPr>
          <w:p>
            <w:pPr>
              <w:spacing w:after="0"/>
              <w:rPr>
                <w:sz w:val="13"/>
                <w:szCs w:val="13"/>
                <w:color w:val="auto"/>
              </w:rPr>
            </w:pP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15,244</w:t>
            </w: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17,980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30,497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36,028</w:t>
            </w:r>
          </w:p>
        </w:tc>
        <w:tc>
          <w:tcPr>
            <w:tcW w:w="0" w:type="dxa"/>
            <w:vAlign w:val="bottom"/>
          </w:tcPr>
          <w:p>
            <w:pPr>
              <w:spacing w:after="0"/>
              <w:rPr>
                <w:sz w:val="1"/>
                <w:szCs w:val="1"/>
                <w:color w:val="auto"/>
              </w:rPr>
            </w:pPr>
          </w:p>
        </w:tc>
      </w:tr>
      <w:tr>
        <w:trPr>
          <w:trHeight w:val="155"/>
        </w:trPr>
        <w:tc>
          <w:tcPr>
            <w:tcW w:w="5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11,212</w:t>
            </w:r>
          </w:p>
        </w:tc>
        <w:tc>
          <w:tcPr>
            <w:tcW w:w="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10,787</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22,207</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19,905</w:t>
            </w:r>
          </w:p>
        </w:tc>
        <w:tc>
          <w:tcPr>
            <w:tcW w:w="0" w:type="dxa"/>
            <w:vAlign w:val="bottom"/>
          </w:tcPr>
          <w:p>
            <w:pPr>
              <w:spacing w:after="0"/>
              <w:rPr>
                <w:sz w:val="1"/>
                <w:szCs w:val="1"/>
                <w:color w:val="auto"/>
              </w:rPr>
            </w:pPr>
          </w:p>
        </w:tc>
      </w:tr>
      <w:tr>
        <w:trPr>
          <w:trHeight w:val="142"/>
        </w:trPr>
        <w:tc>
          <w:tcPr>
            <w:tcW w:w="51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Total operating expenses</w:t>
            </w: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186,693</w:t>
            </w:r>
          </w:p>
        </w:tc>
        <w:tc>
          <w:tcPr>
            <w:tcW w:w="6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163,157</w:t>
            </w: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364,389</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331,337</w:t>
            </w:r>
          </w:p>
        </w:tc>
        <w:tc>
          <w:tcPr>
            <w:tcW w:w="0" w:type="dxa"/>
            <w:vAlign w:val="bottom"/>
          </w:tcPr>
          <w:p>
            <w:pPr>
              <w:spacing w:after="0"/>
              <w:rPr>
                <w:sz w:val="1"/>
                <w:szCs w:val="1"/>
                <w:color w:val="auto"/>
              </w:rPr>
            </w:pPr>
          </w:p>
        </w:tc>
      </w:tr>
      <w:tr>
        <w:trPr>
          <w:trHeight w:val="142"/>
        </w:trPr>
        <w:tc>
          <w:tcPr>
            <w:tcW w:w="5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33,174</w:t>
            </w:r>
          </w:p>
        </w:tc>
        <w:tc>
          <w:tcPr>
            <w:tcW w:w="6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19,133</w:t>
            </w: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61,197</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35,981</w:t>
            </w:r>
          </w:p>
        </w:tc>
        <w:tc>
          <w:tcPr>
            <w:tcW w:w="0" w:type="dxa"/>
            <w:vAlign w:val="bottom"/>
          </w:tcPr>
          <w:p>
            <w:pPr>
              <w:spacing w:after="0"/>
              <w:rPr>
                <w:sz w:val="1"/>
                <w:szCs w:val="1"/>
                <w:color w:val="auto"/>
              </w:rPr>
            </w:pPr>
          </w:p>
        </w:tc>
      </w:tr>
      <w:tr>
        <w:trPr>
          <w:trHeight w:val="131"/>
        </w:trPr>
        <w:tc>
          <w:tcPr>
            <w:tcW w:w="514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Other (expense) income</w:t>
            </w: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980" w:type="dxa"/>
            <w:vAlign w:val="bottom"/>
          </w:tcPr>
          <w:p>
            <w:pPr>
              <w:spacing w:after="0"/>
              <w:rPr>
                <w:sz w:val="13"/>
                <w:szCs w:val="13"/>
                <w:color w:val="auto"/>
              </w:rPr>
            </w:pP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(21,710)</w:t>
            </w: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(17,765)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(42,590)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(35,464)</w:t>
            </w:r>
          </w:p>
        </w:tc>
        <w:tc>
          <w:tcPr>
            <w:tcW w:w="0" w:type="dxa"/>
            <w:vAlign w:val="bottom"/>
          </w:tcPr>
          <w:p>
            <w:pPr>
              <w:spacing w:after="0"/>
              <w:rPr>
                <w:sz w:val="1"/>
                <w:szCs w:val="1"/>
                <w:color w:val="auto"/>
              </w:rPr>
            </w:pPr>
          </w:p>
        </w:tc>
      </w:tr>
      <w:tr>
        <w:trPr>
          <w:trHeight w:val="153"/>
        </w:trPr>
        <w:tc>
          <w:tcPr>
            <w:tcW w:w="5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Debt extinguishment and modification costs</w:t>
            </w:r>
          </w:p>
        </w:tc>
        <w:tc>
          <w:tcPr>
            <w:tcW w:w="980" w:type="dxa"/>
            <w:vAlign w:val="bottom"/>
          </w:tcPr>
          <w:p>
            <w:pPr>
              <w:spacing w:after="0"/>
              <w:rPr>
                <w:sz w:val="13"/>
                <w:szCs w:val="13"/>
                <w:color w:val="auto"/>
              </w:rPr>
            </w:pP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(8,623)</w:t>
            </w: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(8,623)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5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income, net</w:t>
            </w: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668</w:t>
            </w:r>
          </w:p>
        </w:tc>
        <w:tc>
          <w:tcPr>
            <w:tcW w:w="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375</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1,300</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587</w:t>
            </w:r>
          </w:p>
        </w:tc>
        <w:tc>
          <w:tcPr>
            <w:tcW w:w="0" w:type="dxa"/>
            <w:vAlign w:val="bottom"/>
          </w:tcPr>
          <w:p>
            <w:pPr>
              <w:spacing w:after="0"/>
              <w:rPr>
                <w:sz w:val="1"/>
                <w:szCs w:val="1"/>
                <w:color w:val="auto"/>
              </w:rPr>
            </w:pPr>
          </w:p>
        </w:tc>
      </w:tr>
      <w:tr>
        <w:trPr>
          <w:trHeight w:val="142"/>
        </w:trPr>
        <w:tc>
          <w:tcPr>
            <w:tcW w:w="51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Total other expense, net</w:t>
            </w: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(29,665)</w:t>
            </w:r>
          </w:p>
        </w:tc>
        <w:tc>
          <w:tcPr>
            <w:tcW w:w="6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(17,390)</w:t>
            </w: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(49,913)</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(34,877)</w:t>
            </w:r>
          </w:p>
        </w:tc>
        <w:tc>
          <w:tcPr>
            <w:tcW w:w="0" w:type="dxa"/>
            <w:vAlign w:val="bottom"/>
          </w:tcPr>
          <w:p>
            <w:pPr>
              <w:spacing w:after="0"/>
              <w:rPr>
                <w:sz w:val="1"/>
                <w:szCs w:val="1"/>
                <w:color w:val="auto"/>
              </w:rPr>
            </w:pPr>
          </w:p>
        </w:tc>
      </w:tr>
      <w:tr>
        <w:trPr>
          <w:trHeight w:val="140"/>
        </w:trPr>
        <w:tc>
          <w:tcPr>
            <w:tcW w:w="5140" w:type="dxa"/>
            <w:vAlign w:val="bottom"/>
          </w:tcPr>
          <w:p>
            <w:pPr>
              <w:spacing w:after="0"/>
              <w:rPr>
                <w:sz w:val="20"/>
                <w:szCs w:val="20"/>
                <w:color w:val="auto"/>
              </w:rPr>
            </w:pPr>
            <w:r>
              <w:rPr>
                <w:rFonts w:ascii="Times New Roman" w:cs="Times New Roman" w:eastAsia="Times New Roman" w:hAnsi="Times New Roman"/>
                <w:sz w:val="12"/>
                <w:szCs w:val="12"/>
                <w:color w:val="auto"/>
              </w:rPr>
              <w:t>Income before income taxes</w:t>
            </w:r>
          </w:p>
        </w:tc>
        <w:tc>
          <w:tcPr>
            <w:tcW w:w="980" w:type="dxa"/>
            <w:vAlign w:val="bottom"/>
          </w:tcPr>
          <w:p>
            <w:pPr>
              <w:spacing w:after="0"/>
              <w:rPr>
                <w:sz w:val="12"/>
                <w:szCs w:val="12"/>
                <w:color w:val="auto"/>
              </w:rPr>
            </w:pP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3,509</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1,743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11,284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1,104</w:t>
            </w:r>
          </w:p>
        </w:tc>
        <w:tc>
          <w:tcPr>
            <w:tcW w:w="0" w:type="dxa"/>
            <w:vAlign w:val="bottom"/>
          </w:tcPr>
          <w:p>
            <w:pPr>
              <w:spacing w:after="0"/>
              <w:rPr>
                <w:sz w:val="1"/>
                <w:szCs w:val="1"/>
                <w:color w:val="auto"/>
              </w:rPr>
            </w:pPr>
          </w:p>
        </w:tc>
      </w:tr>
      <w:tr>
        <w:trPr>
          <w:trHeight w:val="155"/>
        </w:trPr>
        <w:tc>
          <w:tcPr>
            <w:tcW w:w="514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2,515</w:t>
            </w:r>
          </w:p>
        </w:tc>
        <w:tc>
          <w:tcPr>
            <w:tcW w:w="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2,355</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5,097</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2,222</w:t>
            </w:r>
          </w:p>
        </w:tc>
        <w:tc>
          <w:tcPr>
            <w:tcW w:w="0" w:type="dxa"/>
            <w:vAlign w:val="bottom"/>
          </w:tcPr>
          <w:p>
            <w:pPr>
              <w:spacing w:after="0"/>
              <w:rPr>
                <w:sz w:val="1"/>
                <w:szCs w:val="1"/>
                <w:color w:val="auto"/>
              </w:rPr>
            </w:pPr>
          </w:p>
        </w:tc>
      </w:tr>
      <w:tr>
        <w:trPr>
          <w:trHeight w:val="140"/>
        </w:trPr>
        <w:tc>
          <w:tcPr>
            <w:tcW w:w="5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 (loss)</w:t>
            </w:r>
          </w:p>
        </w:tc>
        <w:tc>
          <w:tcPr>
            <w:tcW w:w="980" w:type="dxa"/>
            <w:vAlign w:val="bottom"/>
          </w:tcPr>
          <w:p>
            <w:pPr>
              <w:spacing w:after="0"/>
              <w:rPr>
                <w:sz w:val="12"/>
                <w:szCs w:val="12"/>
                <w:color w:val="auto"/>
              </w:rPr>
            </w:pP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994</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(612)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6,187</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(1,118)</w:t>
            </w:r>
          </w:p>
        </w:tc>
        <w:tc>
          <w:tcPr>
            <w:tcW w:w="0" w:type="dxa"/>
            <w:vAlign w:val="bottom"/>
          </w:tcPr>
          <w:p>
            <w:pPr>
              <w:spacing w:after="0"/>
              <w:rPr>
                <w:sz w:val="1"/>
                <w:szCs w:val="1"/>
                <w:color w:val="auto"/>
              </w:rPr>
            </w:pPr>
          </w:p>
        </w:tc>
      </w:tr>
      <w:tr>
        <w:trPr>
          <w:trHeight w:val="153"/>
        </w:trPr>
        <w:tc>
          <w:tcPr>
            <w:tcW w:w="5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Dividends and accretion attributable to redeemable senior preferred stockholders</w:t>
            </w:r>
          </w:p>
        </w:tc>
        <w:tc>
          <w:tcPr>
            <w:tcW w:w="980" w:type="dxa"/>
            <w:vAlign w:val="bottom"/>
          </w:tcPr>
          <w:p>
            <w:pPr>
              <w:spacing w:after="0"/>
              <w:rPr>
                <w:sz w:val="13"/>
                <w:szCs w:val="13"/>
                <w:color w:val="auto"/>
              </w:rPr>
            </w:pP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(18,565)</w:t>
            </w: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(11,765)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(31,227)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(23,060)</w:t>
            </w:r>
          </w:p>
        </w:tc>
        <w:tc>
          <w:tcPr>
            <w:tcW w:w="0" w:type="dxa"/>
            <w:vAlign w:val="bottom"/>
          </w:tcPr>
          <w:p>
            <w:pPr>
              <w:spacing w:after="0"/>
              <w:rPr>
                <w:sz w:val="1"/>
                <w:szCs w:val="1"/>
                <w:color w:val="auto"/>
              </w:rPr>
            </w:pPr>
          </w:p>
        </w:tc>
      </w:tr>
      <w:tr>
        <w:trPr>
          <w:trHeight w:val="155"/>
        </w:trPr>
        <w:tc>
          <w:tcPr>
            <w:tcW w:w="5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Return on redeemable NCI in consolidated subsidiary</w:t>
            </w:r>
          </w:p>
        </w:tc>
        <w:tc>
          <w:tcPr>
            <w:tcW w:w="980" w:type="dxa"/>
            <w:vAlign w:val="bottom"/>
          </w:tcPr>
          <w:p>
            <w:pPr>
              <w:spacing w:after="0"/>
              <w:rPr>
                <w:sz w:val="13"/>
                <w:szCs w:val="13"/>
                <w:color w:val="auto"/>
              </w:rPr>
            </w:pP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(58)</w:t>
            </w: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(639)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6"/>
        </w:trPr>
        <w:tc>
          <w:tcPr>
            <w:tcW w:w="5140" w:type="dxa"/>
            <w:vAlign w:val="bottom"/>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Net loss attributable to common stockholders</w:t>
            </w:r>
          </w:p>
        </w:tc>
        <w:tc>
          <w:tcPr>
            <w:tcW w:w="9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40"/>
              <w:spacing w:after="0" w:line="136" w:lineRule="exact"/>
              <w:rPr>
                <w:sz w:val="20"/>
                <w:szCs w:val="20"/>
                <w:color w:val="auto"/>
              </w:rPr>
            </w:pPr>
            <w:r>
              <w:rPr>
                <w:rFonts w:ascii="Times New Roman" w:cs="Times New Roman" w:eastAsia="Times New Roman" w:hAnsi="Times New Roman"/>
                <w:sz w:val="12"/>
                <w:szCs w:val="12"/>
                <w:color w:val="auto"/>
              </w:rPr>
              <w:t>(17,629)</w:t>
            </w:r>
          </w:p>
        </w:tc>
        <w:tc>
          <w:tcPr>
            <w:tcW w:w="6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40"/>
              <w:spacing w:after="0" w:line="136" w:lineRule="exact"/>
              <w:rPr>
                <w:sz w:val="20"/>
                <w:szCs w:val="20"/>
                <w:color w:val="auto"/>
              </w:rPr>
            </w:pPr>
            <w:r>
              <w:rPr>
                <w:rFonts w:ascii="Times New Roman" w:cs="Times New Roman" w:eastAsia="Times New Roman" w:hAnsi="Times New Roman"/>
                <w:sz w:val="12"/>
                <w:szCs w:val="12"/>
                <w:color w:val="auto"/>
              </w:rPr>
              <w:t>(12,377)</w:t>
            </w:r>
          </w:p>
        </w:tc>
        <w:tc>
          <w:tcPr>
            <w:tcW w:w="100" w:type="dxa"/>
            <w:vAlign w:val="bottom"/>
          </w:tcPr>
          <w:p>
            <w:pPr>
              <w:spacing w:after="0"/>
              <w:rPr>
                <w:sz w:val="11"/>
                <w:szCs w:val="11"/>
                <w:color w:val="auto"/>
              </w:rPr>
            </w:pPr>
          </w:p>
        </w:tc>
        <w:tc>
          <w:tcPr>
            <w:tcW w:w="320" w:type="dxa"/>
            <w:vAlign w:val="bottom"/>
            <w:tcBorders>
              <w:top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tcPr>
          <w:p>
            <w:pPr>
              <w:jc w:val="right"/>
              <w:ind w:right="40"/>
              <w:spacing w:after="0" w:line="136" w:lineRule="exact"/>
              <w:rPr>
                <w:sz w:val="20"/>
                <w:szCs w:val="20"/>
                <w:color w:val="auto"/>
              </w:rPr>
            </w:pPr>
            <w:r>
              <w:rPr>
                <w:rFonts w:ascii="Times New Roman" w:cs="Times New Roman" w:eastAsia="Times New Roman" w:hAnsi="Times New Roman"/>
                <w:sz w:val="12"/>
                <w:szCs w:val="12"/>
                <w:color w:val="auto"/>
              </w:rPr>
              <w:t>(25,679)</w:t>
            </w:r>
          </w:p>
        </w:tc>
        <w:tc>
          <w:tcPr>
            <w:tcW w:w="80" w:type="dxa"/>
            <w:vAlign w:val="bottom"/>
          </w:tcPr>
          <w:p>
            <w:pPr>
              <w:spacing w:after="0"/>
              <w:rPr>
                <w:sz w:val="11"/>
                <w:szCs w:val="11"/>
                <w:color w:val="auto"/>
              </w:rPr>
            </w:pPr>
          </w:p>
        </w:tc>
        <w:tc>
          <w:tcPr>
            <w:tcW w:w="340" w:type="dxa"/>
            <w:vAlign w:val="bottom"/>
            <w:tcBorders>
              <w:top w:val="single" w:sz="8" w:color="auto"/>
            </w:tcBorders>
          </w:tcPr>
          <w:p>
            <w:pPr>
              <w:jc w:val="right"/>
              <w:ind w:right="200"/>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tcBorders>
          </w:tcPr>
          <w:p>
            <w:pPr>
              <w:jc w:val="right"/>
              <w:ind w:right="40"/>
              <w:spacing w:after="0" w:line="136" w:lineRule="exact"/>
              <w:rPr>
                <w:sz w:val="20"/>
                <w:szCs w:val="20"/>
                <w:color w:val="auto"/>
              </w:rPr>
            </w:pPr>
            <w:r>
              <w:rPr>
                <w:rFonts w:ascii="Times New Roman" w:cs="Times New Roman" w:eastAsia="Times New Roman" w:hAnsi="Times New Roman"/>
                <w:sz w:val="12"/>
                <w:szCs w:val="12"/>
                <w:color w:val="auto"/>
              </w:rPr>
              <w:t>(24,178)</w:t>
            </w:r>
          </w:p>
        </w:tc>
        <w:tc>
          <w:tcPr>
            <w:tcW w:w="0" w:type="dxa"/>
            <w:vAlign w:val="bottom"/>
          </w:tcPr>
          <w:p>
            <w:pPr>
              <w:spacing w:after="0"/>
              <w:rPr>
                <w:sz w:val="1"/>
                <w:szCs w:val="1"/>
                <w:color w:val="auto"/>
              </w:rPr>
            </w:pPr>
          </w:p>
        </w:tc>
      </w:tr>
      <w:tr>
        <w:trPr>
          <w:trHeight w:val="157"/>
        </w:trPr>
        <w:tc>
          <w:tcPr>
            <w:tcW w:w="5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comprehensive loss</w:t>
            </w: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42"/>
        </w:trPr>
        <w:tc>
          <w:tcPr>
            <w:tcW w:w="5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Comprehensive loss</w:t>
            </w:r>
          </w:p>
        </w:tc>
        <w:tc>
          <w:tcPr>
            <w:tcW w:w="98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(17,625)</w:t>
            </w:r>
          </w:p>
        </w:tc>
        <w:tc>
          <w:tcPr>
            <w:tcW w:w="60" w:type="dxa"/>
            <w:vAlign w:val="bottom"/>
          </w:tcPr>
          <w:p>
            <w:pPr>
              <w:spacing w:after="0"/>
              <w:rPr>
                <w:sz w:val="12"/>
                <w:szCs w:val="12"/>
                <w:color w:val="auto"/>
              </w:rPr>
            </w:pPr>
          </w:p>
        </w:tc>
        <w:tc>
          <w:tcPr>
            <w:tcW w:w="100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(12,370)</w:t>
            </w:r>
          </w:p>
        </w:tc>
        <w:tc>
          <w:tcPr>
            <w:tcW w:w="100" w:type="dxa"/>
            <w:vAlign w:val="bottom"/>
          </w:tcPr>
          <w:p>
            <w:pPr>
              <w:spacing w:after="0"/>
              <w:rPr>
                <w:sz w:val="12"/>
                <w:szCs w:val="12"/>
                <w:color w:val="auto"/>
              </w:rPr>
            </w:pP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(25,688)</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(24,147)</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Loss per common share:</w:t>
            </w: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1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 and diluted</w:t>
            </w:r>
          </w:p>
        </w:tc>
        <w:tc>
          <w:tcPr>
            <w:tcW w:w="980" w:type="dxa"/>
            <w:vAlign w:val="bottom"/>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(0.23)</w:t>
            </w:r>
          </w:p>
        </w:tc>
        <w:tc>
          <w:tcPr>
            <w:tcW w:w="60" w:type="dxa"/>
            <w:vAlign w:val="bottom"/>
          </w:tcPr>
          <w:p>
            <w:pPr>
              <w:spacing w:after="0"/>
              <w:rPr>
                <w:sz w:val="13"/>
                <w:szCs w:val="13"/>
                <w:color w:val="auto"/>
              </w:rPr>
            </w:pPr>
          </w:p>
        </w:tc>
        <w:tc>
          <w:tcPr>
            <w:tcW w:w="1000" w:type="dxa"/>
            <w:vAlign w:val="bottom"/>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(0.16)</w:t>
            </w:r>
          </w:p>
        </w:tc>
        <w:tc>
          <w:tcPr>
            <w:tcW w:w="100" w:type="dxa"/>
            <w:vAlign w:val="bottom"/>
          </w:tcPr>
          <w:p>
            <w:pPr>
              <w:spacing w:after="0"/>
              <w:rPr>
                <w:sz w:val="13"/>
                <w:szCs w:val="13"/>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(0.33)</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(0.31)</w:t>
            </w:r>
          </w:p>
        </w:tc>
        <w:tc>
          <w:tcPr>
            <w:tcW w:w="0" w:type="dxa"/>
            <w:vAlign w:val="bottom"/>
          </w:tcPr>
          <w:p>
            <w:pPr>
              <w:spacing w:after="0"/>
              <w:rPr>
                <w:sz w:val="1"/>
                <w:szCs w:val="1"/>
                <w:color w:val="auto"/>
              </w:rPr>
            </w:pPr>
          </w:p>
        </w:tc>
      </w:tr>
      <w:tr>
        <w:trPr>
          <w:trHeight w:val="331"/>
        </w:trPr>
        <w:tc>
          <w:tcPr>
            <w:tcW w:w="5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Weighted-average common shares outstanding:</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 and diluted</w:t>
            </w: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77,736</w:t>
            </w: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78,292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77,878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78,213</w:t>
            </w:r>
          </w:p>
        </w:tc>
        <w:tc>
          <w:tcPr>
            <w:tcW w:w="0" w:type="dxa"/>
            <w:vAlign w:val="bottom"/>
          </w:tcPr>
          <w:p>
            <w:pPr>
              <w:spacing w:after="0"/>
              <w:rPr>
                <w:sz w:val="1"/>
                <w:szCs w:val="1"/>
                <w:color w:val="auto"/>
              </w:rPr>
            </w:pPr>
          </w:p>
        </w:tc>
      </w:tr>
      <w:tr>
        <w:trPr>
          <w:trHeight w:val="882"/>
        </w:trPr>
        <w:tc>
          <w:tcPr>
            <w:tcW w:w="5140" w:type="dxa"/>
            <w:vAlign w:val="bottom"/>
          </w:tcPr>
          <w:p>
            <w:pPr>
              <w:spacing w:after="0"/>
              <w:rPr>
                <w:sz w:val="24"/>
                <w:szCs w:val="24"/>
                <w:color w:val="auto"/>
              </w:rPr>
            </w:pPr>
          </w:p>
        </w:tc>
        <w:tc>
          <w:tcPr>
            <w:tcW w:w="9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6</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85" w:right="29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 Consolidated Balance Sheets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000" w:type="dxa"/>
            <w:vAlign w:val="bottom"/>
          </w:tcPr>
          <w:p>
            <w:pPr>
              <w:spacing w:after="0"/>
              <w:rPr>
                <w:sz w:val="13"/>
                <w:szCs w:val="13"/>
                <w:color w:val="auto"/>
              </w:rPr>
            </w:pPr>
          </w:p>
        </w:tc>
        <w:tc>
          <w:tcPr>
            <w:tcW w:w="14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0" w:type="dxa"/>
            <w:vAlign w:val="bottom"/>
          </w:tcPr>
          <w:p>
            <w:pPr>
              <w:spacing w:after="0"/>
              <w:rPr>
                <w:sz w:val="1"/>
                <w:szCs w:val="1"/>
                <w:color w:val="auto"/>
              </w:rPr>
            </w:pPr>
          </w:p>
        </w:tc>
      </w:tr>
      <w:tr>
        <w:trPr>
          <w:trHeight w:val="131"/>
        </w:trPr>
        <w:tc>
          <w:tcPr>
            <w:tcW w:w="5180" w:type="dxa"/>
            <w:vAlign w:val="bottom"/>
            <w:vMerge w:val="continue"/>
          </w:tcPr>
          <w:p>
            <w:pPr>
              <w:spacing w:after="0"/>
              <w:rPr>
                <w:sz w:val="11"/>
                <w:szCs w:val="11"/>
                <w:color w:val="auto"/>
              </w:rPr>
            </w:pPr>
          </w:p>
        </w:tc>
        <w:tc>
          <w:tcPr>
            <w:tcW w:w="20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20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3440" w:type="dxa"/>
            <w:vAlign w:val="bottom"/>
            <w:gridSpan w:val="2"/>
          </w:tcPr>
          <w:p>
            <w:pPr>
              <w:jc w:val="right"/>
              <w:ind w:right="130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34,626</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39,604</w:t>
            </w: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Restricted cash</w:t>
            </w:r>
          </w:p>
        </w:tc>
        <w:tc>
          <w:tcPr>
            <w:tcW w:w="20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12,625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11,923</w:t>
            </w: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receivable, net of allowances</w:t>
            </w:r>
          </w:p>
        </w:tc>
        <w:tc>
          <w:tcPr>
            <w:tcW w:w="20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65,746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58,551</w:t>
            </w: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20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19,479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13,273</w:t>
            </w: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Current portion of notes receivable, net of allowance</w:t>
            </w:r>
          </w:p>
        </w:tc>
        <w:tc>
          <w:tcPr>
            <w:tcW w:w="20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1,468</w:t>
            </w:r>
          </w:p>
        </w:tc>
        <w:tc>
          <w:tcPr>
            <w:tcW w:w="0" w:type="dxa"/>
            <w:vAlign w:val="bottom"/>
          </w:tcPr>
          <w:p>
            <w:pPr>
              <w:spacing w:after="0"/>
              <w:rPr>
                <w:sz w:val="1"/>
                <w:szCs w:val="1"/>
                <w:color w:val="auto"/>
              </w:rPr>
            </w:pPr>
          </w:p>
        </w:tc>
      </w:tr>
      <w:tr>
        <w:trPr>
          <w:trHeight w:val="155"/>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assets and customer/subscriber account balances</w:t>
            </w:r>
          </w:p>
        </w:tc>
        <w:tc>
          <w:tcPr>
            <w:tcW w:w="200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802,394</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756,475</w:t>
            </w:r>
          </w:p>
        </w:tc>
        <w:tc>
          <w:tcPr>
            <w:tcW w:w="0" w:type="dxa"/>
            <w:vAlign w:val="bottom"/>
          </w:tcPr>
          <w:p>
            <w:pPr>
              <w:spacing w:after="0"/>
              <w:rPr>
                <w:sz w:val="1"/>
                <w:szCs w:val="1"/>
                <w:color w:val="auto"/>
              </w:rPr>
            </w:pPr>
          </w:p>
        </w:tc>
      </w:tr>
      <w:tr>
        <w:trPr>
          <w:trHeight w:val="140"/>
        </w:trPr>
        <w:tc>
          <w:tcPr>
            <w:tcW w:w="518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current assets</w:t>
            </w:r>
          </w:p>
        </w:tc>
        <w:tc>
          <w:tcPr>
            <w:tcW w:w="20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937,058</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881,294</w:t>
            </w:r>
          </w:p>
        </w:tc>
        <w:tc>
          <w:tcPr>
            <w:tcW w:w="0" w:type="dxa"/>
            <w:vAlign w:val="bottom"/>
          </w:tcPr>
          <w:p>
            <w:pPr>
              <w:spacing w:after="0"/>
              <w:rPr>
                <w:sz w:val="1"/>
                <w:szCs w:val="1"/>
                <w:color w:val="auto"/>
              </w:rPr>
            </w:pPr>
          </w:p>
        </w:tc>
      </w:tr>
      <w:tr>
        <w:trPr>
          <w:trHeight w:val="153"/>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Notes receivable, less current portion</w:t>
            </w:r>
          </w:p>
        </w:tc>
        <w:tc>
          <w:tcPr>
            <w:tcW w:w="20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4,998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3,728</w:t>
            </w:r>
          </w:p>
        </w:tc>
        <w:tc>
          <w:tcPr>
            <w:tcW w:w="0" w:type="dxa"/>
            <w:vAlign w:val="bottom"/>
          </w:tcPr>
          <w:p>
            <w:pPr>
              <w:spacing w:after="0"/>
              <w:rPr>
                <w:sz w:val="1"/>
                <w:szCs w:val="1"/>
                <w:color w:val="auto"/>
              </w:rPr>
            </w:pPr>
          </w:p>
        </w:tc>
      </w:tr>
      <w:tr>
        <w:trPr>
          <w:trHeight w:val="153"/>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Property, equipment and software, net</w:t>
            </w:r>
          </w:p>
        </w:tc>
        <w:tc>
          <w:tcPr>
            <w:tcW w:w="20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49,800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44,680</w:t>
            </w:r>
          </w:p>
        </w:tc>
        <w:tc>
          <w:tcPr>
            <w:tcW w:w="0" w:type="dxa"/>
            <w:vAlign w:val="bottom"/>
          </w:tcPr>
          <w:p>
            <w:pPr>
              <w:spacing w:after="0"/>
              <w:rPr>
                <w:sz w:val="1"/>
                <w:szCs w:val="1"/>
                <w:color w:val="auto"/>
              </w:rPr>
            </w:pPr>
          </w:p>
        </w:tc>
      </w:tr>
      <w:tr>
        <w:trPr>
          <w:trHeight w:val="153"/>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20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376,091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376,103</w:t>
            </w:r>
          </w:p>
        </w:tc>
        <w:tc>
          <w:tcPr>
            <w:tcW w:w="0" w:type="dxa"/>
            <w:vAlign w:val="bottom"/>
          </w:tcPr>
          <w:p>
            <w:pPr>
              <w:spacing w:after="0"/>
              <w:rPr>
                <w:sz w:val="1"/>
                <w:szCs w:val="1"/>
                <w:color w:val="auto"/>
              </w:rPr>
            </w:pPr>
          </w:p>
        </w:tc>
      </w:tr>
      <w:tr>
        <w:trPr>
          <w:trHeight w:val="153"/>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20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258,632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273,350</w:t>
            </w:r>
          </w:p>
        </w:tc>
        <w:tc>
          <w:tcPr>
            <w:tcW w:w="0" w:type="dxa"/>
            <w:vAlign w:val="bottom"/>
          </w:tcPr>
          <w:p>
            <w:pPr>
              <w:spacing w:after="0"/>
              <w:rPr>
                <w:sz w:val="1"/>
                <w:szCs w:val="1"/>
                <w:color w:val="auto"/>
              </w:rPr>
            </w:pPr>
          </w:p>
        </w:tc>
      </w:tr>
      <w:tr>
        <w:trPr>
          <w:trHeight w:val="153"/>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 taxes, net</w:t>
            </w:r>
          </w:p>
        </w:tc>
        <w:tc>
          <w:tcPr>
            <w:tcW w:w="20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25,556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22,533</w:t>
            </w:r>
          </w:p>
        </w:tc>
        <w:tc>
          <w:tcPr>
            <w:tcW w:w="0" w:type="dxa"/>
            <w:vAlign w:val="bottom"/>
          </w:tcPr>
          <w:p>
            <w:pPr>
              <w:spacing w:after="0"/>
              <w:rPr>
                <w:sz w:val="1"/>
                <w:szCs w:val="1"/>
                <w:color w:val="auto"/>
              </w:rPr>
            </w:pPr>
          </w:p>
        </w:tc>
      </w:tr>
      <w:tr>
        <w:trPr>
          <w:trHeight w:val="155"/>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200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21,294</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13,649</w:t>
            </w:r>
          </w:p>
        </w:tc>
        <w:tc>
          <w:tcPr>
            <w:tcW w:w="0" w:type="dxa"/>
            <w:vAlign w:val="bottom"/>
          </w:tcPr>
          <w:p>
            <w:pPr>
              <w:spacing w:after="0"/>
              <w:rPr>
                <w:sz w:val="1"/>
                <w:szCs w:val="1"/>
                <w:color w:val="auto"/>
              </w:rPr>
            </w:pPr>
          </w:p>
        </w:tc>
      </w:tr>
      <w:tr>
        <w:trPr>
          <w:trHeight w:val="142"/>
        </w:trPr>
        <w:tc>
          <w:tcPr>
            <w:tcW w:w="518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2000" w:type="dxa"/>
            <w:vAlign w:val="bottom"/>
          </w:tcPr>
          <w:p>
            <w:pPr>
              <w:spacing w:after="0"/>
              <w:rPr>
                <w:sz w:val="12"/>
                <w:szCs w:val="12"/>
                <w:color w:val="auto"/>
              </w:rPr>
            </w:pPr>
          </w:p>
        </w:tc>
        <w:tc>
          <w:tcPr>
            <w:tcW w:w="1440" w:type="dxa"/>
            <w:vAlign w:val="bottom"/>
            <w:tcBorders>
              <w:bottom w:val="single" w:sz="8" w:color="auto"/>
            </w:tcBorders>
          </w:tcPr>
          <w:p>
            <w:pPr>
              <w:jc w:val="right"/>
              <w:ind w:right="13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1,673,429</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1,615,337</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Liabilities, Redeemable Senior Preferred Stock, Redeemable NCI, and Stockholders' Deficit</w:t>
            </w:r>
          </w:p>
        </w:tc>
        <w:tc>
          <w:tcPr>
            <w:tcW w:w="20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180" w:type="dxa"/>
            <w:vAlign w:val="bottom"/>
            <w:vMerge w:val="continue"/>
          </w:tcPr>
          <w:p>
            <w:pPr>
              <w:spacing w:after="0"/>
              <w:rPr>
                <w:sz w:val="9"/>
                <w:szCs w:val="9"/>
                <w:color w:val="auto"/>
              </w:rPr>
            </w:pPr>
          </w:p>
        </w:tc>
        <w:tc>
          <w:tcPr>
            <w:tcW w:w="20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20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3440" w:type="dxa"/>
            <w:vAlign w:val="bottom"/>
            <w:gridSpan w:val="2"/>
          </w:tcPr>
          <w:p>
            <w:pPr>
              <w:jc w:val="right"/>
              <w:ind w:right="130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66,724</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52,643</w:t>
            </w: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Accrued residual commissions</w:t>
            </w:r>
          </w:p>
        </w:tc>
        <w:tc>
          <w:tcPr>
            <w:tcW w:w="20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36,091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33,025</w:t>
            </w: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Customer deposits and advance payments</w:t>
            </w:r>
          </w:p>
        </w:tc>
        <w:tc>
          <w:tcPr>
            <w:tcW w:w="20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3,569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3,934</w:t>
            </w: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Current portion of long-term debt</w:t>
            </w:r>
          </w:p>
        </w:tc>
        <w:tc>
          <w:tcPr>
            <w:tcW w:w="20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8,350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6,712</w:t>
            </w:r>
          </w:p>
        </w:tc>
        <w:tc>
          <w:tcPr>
            <w:tcW w:w="0" w:type="dxa"/>
            <w:vAlign w:val="bottom"/>
          </w:tcPr>
          <w:p>
            <w:pPr>
              <w:spacing w:after="0"/>
              <w:rPr>
                <w:sz w:val="1"/>
                <w:szCs w:val="1"/>
                <w:color w:val="auto"/>
              </w:rPr>
            </w:pPr>
          </w:p>
        </w:tc>
      </w:tr>
      <w:tr>
        <w:trPr>
          <w:trHeight w:val="155"/>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and customer/subscriber account obligations</w:t>
            </w:r>
          </w:p>
        </w:tc>
        <w:tc>
          <w:tcPr>
            <w:tcW w:w="200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798,753</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755,754</w:t>
            </w:r>
          </w:p>
        </w:tc>
        <w:tc>
          <w:tcPr>
            <w:tcW w:w="0" w:type="dxa"/>
            <w:vAlign w:val="bottom"/>
          </w:tcPr>
          <w:p>
            <w:pPr>
              <w:spacing w:after="0"/>
              <w:rPr>
                <w:sz w:val="1"/>
                <w:szCs w:val="1"/>
                <w:color w:val="auto"/>
              </w:rPr>
            </w:pPr>
          </w:p>
        </w:tc>
      </w:tr>
      <w:tr>
        <w:trPr>
          <w:trHeight w:val="140"/>
        </w:trPr>
        <w:tc>
          <w:tcPr>
            <w:tcW w:w="518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0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913,487</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852,068</w:t>
            </w:r>
          </w:p>
        </w:tc>
        <w:tc>
          <w:tcPr>
            <w:tcW w:w="0" w:type="dxa"/>
            <w:vAlign w:val="bottom"/>
          </w:tcPr>
          <w:p>
            <w:pPr>
              <w:spacing w:after="0"/>
              <w:rPr>
                <w:sz w:val="1"/>
                <w:szCs w:val="1"/>
                <w:color w:val="auto"/>
              </w:rPr>
            </w:pPr>
          </w:p>
        </w:tc>
      </w:tr>
      <w:tr>
        <w:trPr>
          <w:trHeight w:val="153"/>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 net of current portion, discounts and debt issuance costs</w:t>
            </w:r>
          </w:p>
        </w:tc>
        <w:tc>
          <w:tcPr>
            <w:tcW w:w="20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809,045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631,965</w:t>
            </w:r>
          </w:p>
        </w:tc>
        <w:tc>
          <w:tcPr>
            <w:tcW w:w="0" w:type="dxa"/>
            <w:vAlign w:val="bottom"/>
          </w:tcPr>
          <w:p>
            <w:pPr>
              <w:spacing w:after="0"/>
              <w:rPr>
                <w:sz w:val="1"/>
                <w:szCs w:val="1"/>
                <w:color w:val="auto"/>
              </w:rPr>
            </w:pPr>
          </w:p>
        </w:tc>
      </w:tr>
      <w:tr>
        <w:trPr>
          <w:trHeight w:val="155"/>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200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15,488</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18,763</w:t>
            </w:r>
          </w:p>
        </w:tc>
        <w:tc>
          <w:tcPr>
            <w:tcW w:w="0" w:type="dxa"/>
            <w:vAlign w:val="bottom"/>
          </w:tcPr>
          <w:p>
            <w:pPr>
              <w:spacing w:after="0"/>
              <w:rPr>
                <w:sz w:val="1"/>
                <w:szCs w:val="1"/>
                <w:color w:val="auto"/>
              </w:rPr>
            </w:pPr>
          </w:p>
        </w:tc>
      </w:tr>
      <w:tr>
        <w:trPr>
          <w:trHeight w:val="142"/>
        </w:trPr>
        <w:tc>
          <w:tcPr>
            <w:tcW w:w="518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200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1,738,020</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1,502,796</w:t>
            </w:r>
          </w:p>
        </w:tc>
        <w:tc>
          <w:tcPr>
            <w:tcW w:w="0" w:type="dxa"/>
            <w:vAlign w:val="bottom"/>
          </w:tcPr>
          <w:p>
            <w:pPr>
              <w:spacing w:after="0"/>
              <w:rPr>
                <w:sz w:val="1"/>
                <w:szCs w:val="1"/>
                <w:color w:val="auto"/>
              </w:rPr>
            </w:pPr>
          </w:p>
        </w:tc>
      </w:tr>
      <w:tr>
        <w:trPr>
          <w:trHeight w:val="140"/>
        </w:trPr>
        <w:tc>
          <w:tcPr>
            <w:tcW w:w="51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Redeemable senior preferred stock, net of discounts and issuance costs</w:t>
            </w:r>
          </w:p>
        </w:tc>
        <w:tc>
          <w:tcPr>
            <w:tcW w:w="20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105,684</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258,605</w:t>
            </w:r>
          </w:p>
        </w:tc>
        <w:tc>
          <w:tcPr>
            <w:tcW w:w="0" w:type="dxa"/>
            <w:vAlign w:val="bottom"/>
          </w:tcPr>
          <w:p>
            <w:pPr>
              <w:spacing w:after="0"/>
              <w:rPr>
                <w:sz w:val="1"/>
                <w:szCs w:val="1"/>
                <w:color w:val="auto"/>
              </w:rPr>
            </w:pPr>
          </w:p>
        </w:tc>
      </w:tr>
      <w:tr>
        <w:trPr>
          <w:trHeight w:val="153"/>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Stockholders' deficit:</w:t>
            </w:r>
          </w:p>
        </w:tc>
        <w:tc>
          <w:tcPr>
            <w:tcW w:w="20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Preferred stock</w:t>
            </w:r>
          </w:p>
        </w:tc>
        <w:tc>
          <w:tcPr>
            <w:tcW w:w="20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Common stock</w:t>
            </w:r>
          </w:p>
        </w:tc>
        <w:tc>
          <w:tcPr>
            <w:tcW w:w="20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Treasury stock, at cost</w:t>
            </w:r>
          </w:p>
        </w:tc>
        <w:tc>
          <w:tcPr>
            <w:tcW w:w="20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(18,673)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(12,815)</w:t>
            </w: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0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20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0" w:type="dxa"/>
            <w:vAlign w:val="bottom"/>
          </w:tcPr>
          <w:p>
            <w:pPr>
              <w:spacing w:after="0"/>
              <w:rPr>
                <w:sz w:val="1"/>
                <w:szCs w:val="1"/>
                <w:color w:val="auto"/>
              </w:rPr>
            </w:pPr>
          </w:p>
        </w:tc>
      </w:tr>
      <w:tr>
        <w:trPr>
          <w:trHeight w:val="155"/>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Accumulated deficit</w:t>
            </w:r>
          </w:p>
        </w:tc>
        <w:tc>
          <w:tcPr>
            <w:tcW w:w="200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(153,472)</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(134,951)</w:t>
            </w:r>
          </w:p>
        </w:tc>
        <w:tc>
          <w:tcPr>
            <w:tcW w:w="0" w:type="dxa"/>
            <w:vAlign w:val="bottom"/>
          </w:tcPr>
          <w:p>
            <w:pPr>
              <w:spacing w:after="0"/>
              <w:rPr>
                <w:sz w:val="1"/>
                <w:szCs w:val="1"/>
                <w:color w:val="auto"/>
              </w:rPr>
            </w:pPr>
          </w:p>
        </w:tc>
      </w:tr>
      <w:tr>
        <w:trPr>
          <w:trHeight w:val="140"/>
        </w:trPr>
        <w:tc>
          <w:tcPr>
            <w:tcW w:w="518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Total stockholders' deficit attributable to stockholders of PRTH</w:t>
            </w:r>
          </w:p>
        </w:tc>
        <w:tc>
          <w:tcPr>
            <w:tcW w:w="20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(172,107)</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(147,718)</w:t>
            </w:r>
          </w:p>
        </w:tc>
        <w:tc>
          <w:tcPr>
            <w:tcW w:w="0" w:type="dxa"/>
            <w:vAlign w:val="bottom"/>
          </w:tcPr>
          <w:p>
            <w:pPr>
              <w:spacing w:after="0"/>
              <w:rPr>
                <w:sz w:val="1"/>
                <w:szCs w:val="1"/>
                <w:color w:val="auto"/>
              </w:rPr>
            </w:pPr>
          </w:p>
        </w:tc>
      </w:tr>
      <w:tr>
        <w:trPr>
          <w:trHeight w:val="155"/>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Non-controlling interest</w:t>
            </w:r>
          </w:p>
        </w:tc>
        <w:tc>
          <w:tcPr>
            <w:tcW w:w="200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1,832</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1,654</w:t>
            </w:r>
          </w:p>
        </w:tc>
        <w:tc>
          <w:tcPr>
            <w:tcW w:w="0" w:type="dxa"/>
            <w:vAlign w:val="bottom"/>
          </w:tcPr>
          <w:p>
            <w:pPr>
              <w:spacing w:after="0"/>
              <w:rPr>
                <w:sz w:val="1"/>
                <w:szCs w:val="1"/>
                <w:color w:val="auto"/>
              </w:rPr>
            </w:pPr>
          </w:p>
        </w:tc>
      </w:tr>
      <w:tr>
        <w:trPr>
          <w:trHeight w:val="142"/>
        </w:trPr>
        <w:tc>
          <w:tcPr>
            <w:tcW w:w="51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200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(170,275)</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(146,064)</w:t>
            </w:r>
          </w:p>
        </w:tc>
        <w:tc>
          <w:tcPr>
            <w:tcW w:w="0" w:type="dxa"/>
            <w:vAlign w:val="bottom"/>
          </w:tcPr>
          <w:p>
            <w:pPr>
              <w:spacing w:after="0"/>
              <w:rPr>
                <w:sz w:val="1"/>
                <w:szCs w:val="1"/>
                <w:color w:val="auto"/>
              </w:rPr>
            </w:pPr>
          </w:p>
        </w:tc>
      </w:tr>
      <w:tr>
        <w:trPr>
          <w:trHeight w:val="142"/>
        </w:trPr>
        <w:tc>
          <w:tcPr>
            <w:tcW w:w="51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liabilities, redeemable senior preferred stock, redeemable NCI and stockholders' deficit</w:t>
            </w:r>
          </w:p>
        </w:tc>
        <w:tc>
          <w:tcPr>
            <w:tcW w:w="2000" w:type="dxa"/>
            <w:vAlign w:val="bottom"/>
          </w:tcPr>
          <w:p>
            <w:pPr>
              <w:spacing w:after="0"/>
              <w:rPr>
                <w:sz w:val="12"/>
                <w:szCs w:val="12"/>
                <w:color w:val="auto"/>
              </w:rPr>
            </w:pPr>
          </w:p>
        </w:tc>
        <w:tc>
          <w:tcPr>
            <w:tcW w:w="1440" w:type="dxa"/>
            <w:vAlign w:val="bottom"/>
            <w:tcBorders>
              <w:bottom w:val="single" w:sz="8" w:color="auto"/>
            </w:tcBorders>
          </w:tcPr>
          <w:p>
            <w:pPr>
              <w:jc w:val="right"/>
              <w:ind w:right="13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1,673,429</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1,615,337</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00" w:type="dxa"/>
            <w:vAlign w:val="bottom"/>
            <w:vMerge w:val="restart"/>
          </w:tcPr>
          <w:p>
            <w:pPr>
              <w:jc w:val="right"/>
              <w:ind w:right="1440"/>
              <w:spacing w:after="0"/>
              <w:rPr>
                <w:sz w:val="20"/>
                <w:szCs w:val="20"/>
                <w:color w:val="auto"/>
              </w:rPr>
            </w:pPr>
            <w:r>
              <w:rPr>
                <w:rFonts w:ascii="Times New Roman" w:cs="Times New Roman" w:eastAsia="Times New Roman" w:hAnsi="Times New Roman"/>
                <w:sz w:val="12"/>
                <w:szCs w:val="12"/>
                <w:color w:val="auto"/>
              </w:rPr>
              <w:t>7</w:t>
            </w:r>
          </w:p>
        </w:tc>
        <w:tc>
          <w:tcPr>
            <w:tcW w:w="1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18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85"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r>
        <w:rPr>
          <w:rFonts w:ascii="Times New Roman" w:cs="Times New Roman" w:eastAsia="Times New Roman" w:hAnsi="Times New Roman"/>
          <w:sz w:val="13"/>
          <w:szCs w:val="13"/>
          <w:color w:val="auto"/>
        </w:rPr>
        <w: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 Consolidated Statements of Cash Flows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2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Six Months Ended June 30,</w:t>
            </w: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2840" w:type="dxa"/>
            <w:vAlign w:val="bottom"/>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6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w w:val="91"/>
              </w:rPr>
              <w:t>2023</w:t>
            </w:r>
          </w:p>
        </w:tc>
        <w:tc>
          <w:tcPr>
            <w:tcW w:w="0" w:type="dxa"/>
            <w:vAlign w:val="bottom"/>
          </w:tcPr>
          <w:p>
            <w:pPr>
              <w:spacing w:after="0"/>
              <w:rPr>
                <w:sz w:val="1"/>
                <w:szCs w:val="1"/>
                <w:color w:val="auto"/>
              </w:rPr>
            </w:pPr>
          </w:p>
        </w:tc>
      </w:tr>
      <w:tr>
        <w:trPr>
          <w:trHeight w:val="131"/>
        </w:trPr>
        <w:tc>
          <w:tcPr>
            <w:tcW w:w="5200" w:type="dxa"/>
            <w:vAlign w:val="bottom"/>
            <w:vMerge w:val="continue"/>
          </w:tcPr>
          <w:p>
            <w:pPr>
              <w:spacing w:after="0"/>
              <w:rPr>
                <w:sz w:val="11"/>
                <w:szCs w:val="11"/>
                <w:color w:val="auto"/>
              </w:rPr>
            </w:pPr>
          </w:p>
        </w:tc>
        <w:tc>
          <w:tcPr>
            <w:tcW w:w="2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income (loss)</w:t>
            </w:r>
          </w:p>
        </w:tc>
        <w:tc>
          <w:tcPr>
            <w:tcW w:w="3760" w:type="dxa"/>
            <w:vAlign w:val="bottom"/>
            <w:gridSpan w:val="2"/>
          </w:tcPr>
          <w:p>
            <w:pPr>
              <w:jc w:val="right"/>
              <w:ind w:right="78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6,187</w:t>
            </w:r>
          </w:p>
        </w:tc>
        <w:tc>
          <w:tcPr>
            <w:tcW w:w="60" w:type="dxa"/>
            <w:vAlign w:val="bottom"/>
          </w:tcPr>
          <w:p>
            <w:pPr>
              <w:spacing w:after="0"/>
              <w:rPr>
                <w:sz w:val="13"/>
                <w:szCs w:val="13"/>
                <w:color w:val="auto"/>
              </w:rPr>
            </w:pPr>
          </w:p>
        </w:tc>
        <w:tc>
          <w:tcPr>
            <w:tcW w:w="680" w:type="dxa"/>
            <w:vAlign w:val="bottom"/>
          </w:tcPr>
          <w:p>
            <w:pPr>
              <w:jc w:val="right"/>
              <w:ind w:right="54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(1,118)</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Adjustments to reconcile net loss to net cash provided by operating activities:</w:t>
            </w:r>
          </w:p>
        </w:tc>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 of assets</w:t>
            </w:r>
          </w:p>
        </w:tc>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30,497</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36,028</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Stock-based, ESPP and incentive units compensation</w:t>
            </w:r>
          </w:p>
        </w:tc>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3,462</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3,682</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Amortization of debt issuance costs and discounts</w:t>
            </w:r>
          </w:p>
        </w:tc>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1,824</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1,826</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Debt extinguishment and modification costs</w:t>
            </w:r>
          </w:p>
        </w:tc>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8,623</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Deferred income tax</w:t>
            </w:r>
          </w:p>
        </w:tc>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(3,023)</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(9,619)</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Change in contingent consideration</w:t>
            </w:r>
          </w:p>
        </w:tc>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2,213</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w:t>
            </w:r>
          </w:p>
        </w:tc>
        <w:tc>
          <w:tcPr>
            <w:tcW w:w="0" w:type="dxa"/>
            <w:vAlign w:val="bottom"/>
          </w:tcPr>
          <w:p>
            <w:pPr>
              <w:spacing w:after="0"/>
              <w:rPr>
                <w:sz w:val="1"/>
                <w:szCs w:val="1"/>
                <w:color w:val="auto"/>
              </w:rPr>
            </w:pPr>
          </w:p>
        </w:tc>
      </w:tr>
      <w:tr>
        <w:trPr>
          <w:trHeight w:val="153"/>
        </w:trPr>
        <w:tc>
          <w:tcPr>
            <w:tcW w:w="5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Other non-cash items, net</w:t>
            </w:r>
          </w:p>
        </w:tc>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(929)</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(461)</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Change in operating assets and liabilities:</w:t>
            </w:r>
          </w:p>
        </w:tc>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receivable</w:t>
            </w:r>
          </w:p>
        </w:tc>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(7,145)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18,066</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(1,148)</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(3,560)</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Income taxes (receivable) payable</w:t>
            </w:r>
          </w:p>
        </w:tc>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(5,037)</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498</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Notes receivable</w:t>
            </w:r>
          </w:p>
        </w:tc>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(584)</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(389)</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payable and other accrued liabilities</w:t>
            </w:r>
          </w:p>
        </w:tc>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13,291</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1,306</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Customer deposits and advance payments</w:t>
            </w:r>
          </w:p>
        </w:tc>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635</w:t>
            </w:r>
          </w:p>
        </w:tc>
        <w:tc>
          <w:tcPr>
            <w:tcW w:w="0" w:type="dxa"/>
            <w:vAlign w:val="bottom"/>
          </w:tcPr>
          <w:p>
            <w:pPr>
              <w:spacing w:after="0"/>
              <w:rPr>
                <w:sz w:val="1"/>
                <w:szCs w:val="1"/>
                <w:color w:val="auto"/>
              </w:rPr>
            </w:pPr>
          </w:p>
        </w:tc>
      </w:tr>
      <w:tr>
        <w:trPr>
          <w:trHeight w:val="155"/>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 assets and liabilities, net</w:t>
            </w:r>
          </w:p>
        </w:tc>
        <w:tc>
          <w:tcPr>
            <w:tcW w:w="28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(5,859)</w:t>
            </w:r>
          </w:p>
        </w:tc>
        <w:tc>
          <w:tcPr>
            <w:tcW w:w="6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(383)</w:t>
            </w:r>
          </w:p>
        </w:tc>
        <w:tc>
          <w:tcPr>
            <w:tcW w:w="0" w:type="dxa"/>
            <w:vAlign w:val="bottom"/>
          </w:tcPr>
          <w:p>
            <w:pPr>
              <w:spacing w:after="0"/>
              <w:rPr>
                <w:sz w:val="1"/>
                <w:szCs w:val="1"/>
                <w:color w:val="auto"/>
              </w:rPr>
            </w:pPr>
          </w:p>
        </w:tc>
      </w:tr>
      <w:tr>
        <w:trPr>
          <w:trHeight w:val="142"/>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Net cash provided by operating activities</w:t>
            </w:r>
          </w:p>
        </w:tc>
        <w:tc>
          <w:tcPr>
            <w:tcW w:w="284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42,007</w:t>
            </w:r>
          </w:p>
        </w:tc>
        <w:tc>
          <w:tcPr>
            <w:tcW w:w="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46,857</w:t>
            </w:r>
          </w:p>
        </w:tc>
        <w:tc>
          <w:tcPr>
            <w:tcW w:w="0" w:type="dxa"/>
            <w:vAlign w:val="bottom"/>
          </w:tcPr>
          <w:p>
            <w:pPr>
              <w:spacing w:after="0"/>
              <w:rPr>
                <w:sz w:val="1"/>
                <w:szCs w:val="1"/>
                <w:color w:val="auto"/>
              </w:rPr>
            </w:pPr>
          </w:p>
        </w:tc>
      </w:tr>
      <w:tr>
        <w:trPr>
          <w:trHeight w:val="131"/>
        </w:trPr>
        <w:tc>
          <w:tcPr>
            <w:tcW w:w="520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2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Additions to property, equipment and software</w:t>
            </w:r>
          </w:p>
        </w:tc>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(11,718)</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(9,869)</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Notes receivable, net</w:t>
            </w:r>
          </w:p>
        </w:tc>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(1,406)</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(498)</w:t>
            </w:r>
          </w:p>
        </w:tc>
        <w:tc>
          <w:tcPr>
            <w:tcW w:w="0" w:type="dxa"/>
            <w:vAlign w:val="bottom"/>
          </w:tcPr>
          <w:p>
            <w:pPr>
              <w:spacing w:after="0"/>
              <w:rPr>
                <w:sz w:val="1"/>
                <w:szCs w:val="1"/>
                <w:color w:val="auto"/>
              </w:rPr>
            </w:pPr>
          </w:p>
        </w:tc>
      </w:tr>
      <w:tr>
        <w:trPr>
          <w:trHeight w:val="155"/>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Acquisitions of assets and other investing activities</w:t>
            </w:r>
          </w:p>
        </w:tc>
        <w:tc>
          <w:tcPr>
            <w:tcW w:w="28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(7,474)</w:t>
            </w:r>
          </w:p>
        </w:tc>
        <w:tc>
          <w:tcPr>
            <w:tcW w:w="6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(2,715)</w:t>
            </w:r>
          </w:p>
        </w:tc>
        <w:tc>
          <w:tcPr>
            <w:tcW w:w="0" w:type="dxa"/>
            <w:vAlign w:val="bottom"/>
          </w:tcPr>
          <w:p>
            <w:pPr>
              <w:spacing w:after="0"/>
              <w:rPr>
                <w:sz w:val="1"/>
                <w:szCs w:val="1"/>
                <w:color w:val="auto"/>
              </w:rPr>
            </w:pPr>
          </w:p>
        </w:tc>
      </w:tr>
      <w:tr>
        <w:trPr>
          <w:trHeight w:val="142"/>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284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(20,598)</w:t>
            </w:r>
          </w:p>
        </w:tc>
        <w:tc>
          <w:tcPr>
            <w:tcW w:w="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(13,082)</w:t>
            </w:r>
          </w:p>
        </w:tc>
        <w:tc>
          <w:tcPr>
            <w:tcW w:w="0" w:type="dxa"/>
            <w:vAlign w:val="bottom"/>
          </w:tcPr>
          <w:p>
            <w:pPr>
              <w:spacing w:after="0"/>
              <w:rPr>
                <w:sz w:val="1"/>
                <w:szCs w:val="1"/>
                <w:color w:val="auto"/>
              </w:rPr>
            </w:pPr>
          </w:p>
        </w:tc>
      </w:tr>
      <w:tr>
        <w:trPr>
          <w:trHeight w:val="131"/>
        </w:trPr>
        <w:tc>
          <w:tcPr>
            <w:tcW w:w="5200" w:type="dxa"/>
            <w:vAlign w:val="bottom"/>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2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Proceeds from issuance of long-term debt, net of issue discount</w:t>
            </w:r>
          </w:p>
        </w:tc>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830,200</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Debt issuance and modification costs paid</w:t>
            </w:r>
          </w:p>
        </w:tc>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(7,555)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Repayments of long-term debt</w:t>
            </w:r>
          </w:p>
        </w:tc>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(654,372)</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(3,525)</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Borrowings under revolving credit facility</w:t>
            </w:r>
          </w:p>
        </w:tc>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Repayments of borrowings under revolving credit facility</w:t>
            </w:r>
          </w:p>
        </w:tc>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(12,000)</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Redemption of PHOT redeemable NCI</w:t>
            </w:r>
          </w:p>
        </w:tc>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(2,130)</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Repurchases of shares withheld for taxes</w:t>
            </w:r>
          </w:p>
        </w:tc>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(604)</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(1,018)</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Redemption of senior preferred stock</w:t>
            </w:r>
          </w:p>
        </w:tc>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(136,936)</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Redemption of accumulated unpaid dividend on redeemable senior preferred stock</w:t>
            </w:r>
          </w:p>
        </w:tc>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(30,819)</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Dividends paid to redeemable senior preferred stockholders</w:t>
            </w:r>
          </w:p>
        </w:tc>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(16,393)</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(17,908)</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and customer/subscriber accounts obligations, net</w:t>
            </w:r>
          </w:p>
        </w:tc>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40,914</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175,548</w:t>
            </w:r>
          </w:p>
        </w:tc>
        <w:tc>
          <w:tcPr>
            <w:tcW w:w="0" w:type="dxa"/>
            <w:vAlign w:val="bottom"/>
          </w:tcPr>
          <w:p>
            <w:pPr>
              <w:spacing w:after="0"/>
              <w:rPr>
                <w:sz w:val="1"/>
                <w:szCs w:val="1"/>
                <w:color w:val="auto"/>
              </w:rPr>
            </w:pPr>
          </w:p>
        </w:tc>
      </w:tr>
      <w:tr>
        <w:trPr>
          <w:trHeight w:val="155"/>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Payment of contingent consideration related to business combination</w:t>
            </w:r>
          </w:p>
        </w:tc>
        <w:tc>
          <w:tcPr>
            <w:tcW w:w="28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(4,156)</w:t>
            </w:r>
          </w:p>
        </w:tc>
        <w:tc>
          <w:tcPr>
            <w:tcW w:w="6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(1,959)</w:t>
            </w:r>
          </w:p>
        </w:tc>
        <w:tc>
          <w:tcPr>
            <w:tcW w:w="0" w:type="dxa"/>
            <w:vAlign w:val="bottom"/>
          </w:tcPr>
          <w:p>
            <w:pPr>
              <w:spacing w:after="0"/>
              <w:rPr>
                <w:sz w:val="1"/>
                <w:szCs w:val="1"/>
                <w:color w:val="auto"/>
              </w:rPr>
            </w:pPr>
          </w:p>
        </w:tc>
      </w:tr>
      <w:tr>
        <w:trPr>
          <w:trHeight w:val="136"/>
        </w:trPr>
        <w:tc>
          <w:tcPr>
            <w:tcW w:w="5200" w:type="dxa"/>
            <w:vAlign w:val="bottom"/>
          </w:tcPr>
          <w:p>
            <w:pPr>
              <w:ind w:left="80"/>
              <w:spacing w:after="0" w:line="136" w:lineRule="exact"/>
              <w:rPr>
                <w:sz w:val="20"/>
                <w:szCs w:val="20"/>
                <w:color w:val="auto"/>
              </w:rPr>
            </w:pPr>
            <w:r>
              <w:rPr>
                <w:rFonts w:ascii="Times New Roman" w:cs="Times New Roman" w:eastAsia="Times New Roman" w:hAnsi="Times New Roman"/>
                <w:sz w:val="12"/>
                <w:szCs w:val="12"/>
                <w:b w:val="1"/>
                <w:bCs w:val="1"/>
                <w:color w:val="auto"/>
              </w:rPr>
              <w:t>Net cash provided by financing activities</w:t>
            </w:r>
          </w:p>
        </w:tc>
        <w:tc>
          <w:tcPr>
            <w:tcW w:w="2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18,149</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144,138</w:t>
            </w:r>
          </w:p>
        </w:tc>
        <w:tc>
          <w:tcPr>
            <w:tcW w:w="0" w:type="dxa"/>
            <w:vAlign w:val="bottom"/>
          </w:tcPr>
          <w:p>
            <w:pPr>
              <w:spacing w:after="0"/>
              <w:rPr>
                <w:sz w:val="1"/>
                <w:szCs w:val="1"/>
                <w:color w:val="auto"/>
              </w:rPr>
            </w:pPr>
          </w:p>
        </w:tc>
      </w:tr>
      <w:tr>
        <w:trPr>
          <w:trHeight w:val="157"/>
        </w:trPr>
        <w:tc>
          <w:tcPr>
            <w:tcW w:w="52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Net change in cash and cash equivalents and restricted cash:</w:t>
            </w:r>
          </w:p>
        </w:tc>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increase in cash and cash equivalents, and restricted cash</w:t>
            </w:r>
          </w:p>
        </w:tc>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39,558</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177,913</w:t>
            </w:r>
          </w:p>
        </w:tc>
        <w:tc>
          <w:tcPr>
            <w:tcW w:w="0" w:type="dxa"/>
            <w:vAlign w:val="bottom"/>
          </w:tcPr>
          <w:p>
            <w:pPr>
              <w:spacing w:after="0"/>
              <w:rPr>
                <w:sz w:val="1"/>
                <w:szCs w:val="1"/>
                <w:color w:val="auto"/>
              </w:rPr>
            </w:pPr>
          </w:p>
        </w:tc>
      </w:tr>
      <w:tr>
        <w:trPr>
          <w:trHeight w:val="155"/>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 and restricted cash at beginning of period</w:t>
            </w:r>
          </w:p>
        </w:tc>
        <w:tc>
          <w:tcPr>
            <w:tcW w:w="28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796,223</w:t>
            </w:r>
          </w:p>
        </w:tc>
        <w:tc>
          <w:tcPr>
            <w:tcW w:w="6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560,610</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and restricted cash at end of period</w:t>
            </w:r>
          </w:p>
        </w:tc>
        <w:tc>
          <w:tcPr>
            <w:tcW w:w="2840" w:type="dxa"/>
            <w:vAlign w:val="bottom"/>
          </w:tcPr>
          <w:p>
            <w:pPr>
              <w:spacing w:after="0"/>
              <w:rPr>
                <w:sz w:val="12"/>
                <w:szCs w:val="12"/>
                <w:color w:val="auto"/>
              </w:rPr>
            </w:pPr>
          </w:p>
        </w:tc>
        <w:tc>
          <w:tcPr>
            <w:tcW w:w="92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835,781</w:t>
            </w:r>
          </w:p>
        </w:tc>
        <w:tc>
          <w:tcPr>
            <w:tcW w:w="60" w:type="dxa"/>
            <w:vAlign w:val="bottom"/>
          </w:tcPr>
          <w:p>
            <w:pPr>
              <w:spacing w:after="0"/>
              <w:rPr>
                <w:sz w:val="12"/>
                <w:szCs w:val="12"/>
                <w:color w:val="auto"/>
              </w:rPr>
            </w:pPr>
          </w:p>
        </w:tc>
        <w:tc>
          <w:tcPr>
            <w:tcW w:w="6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738,523</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 of cash and cash equivalents, and restricted cash:</w:t>
            </w:r>
          </w:p>
        </w:tc>
        <w:tc>
          <w:tcPr>
            <w:tcW w:w="2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vMerge w:val="continue"/>
          </w:tcPr>
          <w:p>
            <w:pPr>
              <w:spacing w:after="0"/>
              <w:rPr>
                <w:sz w:val="18"/>
                <w:szCs w:val="18"/>
                <w:color w:val="auto"/>
              </w:rPr>
            </w:pPr>
          </w:p>
        </w:tc>
        <w:tc>
          <w:tcPr>
            <w:tcW w:w="2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3760" w:type="dxa"/>
            <w:vAlign w:val="bottom"/>
            <w:gridSpan w:val="2"/>
          </w:tcPr>
          <w:p>
            <w:pPr>
              <w:jc w:val="right"/>
              <w:ind w:right="78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34,626</w:t>
            </w:r>
          </w:p>
        </w:tc>
        <w:tc>
          <w:tcPr>
            <w:tcW w:w="60" w:type="dxa"/>
            <w:vAlign w:val="bottom"/>
          </w:tcPr>
          <w:p>
            <w:pPr>
              <w:spacing w:after="0"/>
              <w:rPr>
                <w:sz w:val="13"/>
                <w:szCs w:val="13"/>
                <w:color w:val="auto"/>
              </w:rPr>
            </w:pPr>
          </w:p>
        </w:tc>
        <w:tc>
          <w:tcPr>
            <w:tcW w:w="680" w:type="dxa"/>
            <w:vAlign w:val="bottom"/>
          </w:tcPr>
          <w:p>
            <w:pPr>
              <w:jc w:val="right"/>
              <w:ind w:right="54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17,567</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Restricted cash</w:t>
            </w:r>
          </w:p>
        </w:tc>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12,625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12,357</w:t>
            </w:r>
          </w:p>
        </w:tc>
        <w:tc>
          <w:tcPr>
            <w:tcW w:w="0" w:type="dxa"/>
            <w:vAlign w:val="bottom"/>
          </w:tcPr>
          <w:p>
            <w:pPr>
              <w:spacing w:after="0"/>
              <w:rPr>
                <w:sz w:val="1"/>
                <w:szCs w:val="1"/>
                <w:color w:val="auto"/>
              </w:rPr>
            </w:pPr>
          </w:p>
        </w:tc>
      </w:tr>
      <w:tr>
        <w:trPr>
          <w:trHeight w:val="155"/>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 included in settlement assets and customer/subscriber account balances</w:t>
            </w:r>
          </w:p>
        </w:tc>
        <w:tc>
          <w:tcPr>
            <w:tcW w:w="28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788,530</w:t>
            </w:r>
          </w:p>
        </w:tc>
        <w:tc>
          <w:tcPr>
            <w:tcW w:w="6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708,599</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cash and cash equivalents, and restricted cash</w:t>
            </w:r>
          </w:p>
        </w:tc>
        <w:tc>
          <w:tcPr>
            <w:tcW w:w="2840" w:type="dxa"/>
            <w:vAlign w:val="bottom"/>
          </w:tcPr>
          <w:p>
            <w:pPr>
              <w:spacing w:after="0"/>
              <w:rPr>
                <w:sz w:val="12"/>
                <w:szCs w:val="12"/>
                <w:color w:val="auto"/>
              </w:rPr>
            </w:pPr>
          </w:p>
        </w:tc>
        <w:tc>
          <w:tcPr>
            <w:tcW w:w="92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835,781</w:t>
            </w:r>
          </w:p>
        </w:tc>
        <w:tc>
          <w:tcPr>
            <w:tcW w:w="60" w:type="dxa"/>
            <w:vAlign w:val="bottom"/>
          </w:tcPr>
          <w:p>
            <w:pPr>
              <w:spacing w:after="0"/>
              <w:rPr>
                <w:sz w:val="12"/>
                <w:szCs w:val="12"/>
                <w:color w:val="auto"/>
              </w:rPr>
            </w:pPr>
          </w:p>
        </w:tc>
        <w:tc>
          <w:tcPr>
            <w:tcW w:w="6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738,523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840" w:type="dxa"/>
            <w:vAlign w:val="bottom"/>
            <w:vMerge w:val="restart"/>
          </w:tcPr>
          <w:p>
            <w:pPr>
              <w:jc w:val="right"/>
              <w:ind w:right="2300"/>
              <w:spacing w:after="0"/>
              <w:rPr>
                <w:sz w:val="20"/>
                <w:szCs w:val="20"/>
                <w:color w:val="auto"/>
              </w:rPr>
            </w:pPr>
            <w:r>
              <w:rPr>
                <w:rFonts w:ascii="Times New Roman" w:cs="Times New Roman" w:eastAsia="Times New Roman" w:hAnsi="Times New Roman"/>
                <w:sz w:val="12"/>
                <w:szCs w:val="12"/>
                <w:color w:val="auto"/>
              </w:rPr>
              <w:t>8</w:t>
            </w: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20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2" w:right="319" w:bottom="1440" w:gutter="0" w:footer="0" w:header="0"/>
        </w:sectPr>
      </w:pPr>
    </w:p>
    <w:bookmarkStart w:id="11" w:name="page12"/>
    <w:bookmarkEnd w:id="11"/>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r>
        <w:rPr>
          <w:rFonts w:ascii="Times New Roman" w:cs="Times New Roman" w:eastAsia="Times New Roman" w:hAnsi="Times New Roman"/>
          <w:sz w:val="13"/>
          <w:szCs w:val="13"/>
          <w:color w:val="auto"/>
        </w:rPr>
        <w:t>.</w:t>
      </w:r>
    </w:p>
    <w:p>
      <w:pPr>
        <w:spacing w:after="0" w:line="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Unaudited Reportable Segments' Results</w:t>
      </w:r>
    </w:p>
    <w:p>
      <w:pPr>
        <w:spacing w:after="0" w:line="3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960" w:type="dxa"/>
            <w:vAlign w:val="bottom"/>
          </w:tcPr>
          <w:p>
            <w:pPr>
              <w:spacing w:after="0"/>
              <w:rPr>
                <w:sz w:val="13"/>
                <w:szCs w:val="13"/>
                <w:color w:val="auto"/>
              </w:rPr>
            </w:pPr>
          </w:p>
        </w:tc>
        <w:tc>
          <w:tcPr>
            <w:tcW w:w="24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r>
      <w:tr>
        <w:trPr>
          <w:trHeight w:val="142"/>
        </w:trPr>
        <w:tc>
          <w:tcPr>
            <w:tcW w:w="4960" w:type="dxa"/>
            <w:vAlign w:val="bottom"/>
          </w:tcPr>
          <w:p>
            <w:pPr>
              <w:spacing w:after="0"/>
              <w:rPr>
                <w:sz w:val="12"/>
                <w:szCs w:val="12"/>
                <w:color w:val="auto"/>
              </w:rPr>
            </w:pPr>
          </w:p>
        </w:tc>
        <w:tc>
          <w:tcPr>
            <w:tcW w:w="9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40"/>
        </w:trPr>
        <w:tc>
          <w:tcPr>
            <w:tcW w:w="4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53"/>
        </w:trPr>
        <w:tc>
          <w:tcPr>
            <w:tcW w:w="49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Revenues</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155,101</w:t>
            </w:r>
          </w:p>
        </w:tc>
        <w:tc>
          <w:tcPr>
            <w:tcW w:w="8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147,948</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299,105</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302,881</w:t>
            </w:r>
          </w:p>
        </w:tc>
      </w:tr>
      <w:tr>
        <w:trPr>
          <w:trHeight w:val="155"/>
        </w:trPr>
        <w:tc>
          <w:tcPr>
            <w:tcW w:w="49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Adjusted EBITDA</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28,597</w:t>
            </w:r>
          </w:p>
        </w:tc>
        <w:tc>
          <w:tcPr>
            <w:tcW w:w="8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28,434</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53,620</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56,836</w:t>
            </w:r>
          </w:p>
        </w:tc>
      </w:tr>
      <w:tr>
        <w:trPr>
          <w:trHeight w:val="295"/>
        </w:trPr>
        <w:tc>
          <w:tcPr>
            <w:tcW w:w="49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3"/>
        </w:trPr>
        <w:tc>
          <w:tcPr>
            <w:tcW w:w="49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bankcard processing dollar value</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15,791,635</w:t>
            </w:r>
          </w:p>
        </w:tc>
        <w:tc>
          <w:tcPr>
            <w:tcW w:w="8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15,111,781</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30,579,730</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30,332,495</w:t>
            </w:r>
          </w:p>
        </w:tc>
      </w:tr>
      <w:tr>
        <w:trPr>
          <w:trHeight w:val="155"/>
        </w:trPr>
        <w:tc>
          <w:tcPr>
            <w:tcW w:w="49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bankcard transaction count</w:t>
            </w:r>
          </w:p>
        </w:tc>
        <w:tc>
          <w:tcPr>
            <w:tcW w:w="9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193,841</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180,343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369,069</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343,749</w:t>
            </w:r>
          </w:p>
        </w:tc>
      </w:tr>
      <w:tr>
        <w:trPr>
          <w:trHeight w:val="331"/>
        </w:trPr>
        <w:tc>
          <w:tcPr>
            <w:tcW w:w="4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3"/>
        </w:trPr>
        <w:tc>
          <w:tcPr>
            <w:tcW w:w="49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Revenues</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21,881</w:t>
            </w:r>
          </w:p>
        </w:tc>
        <w:tc>
          <w:tcPr>
            <w:tcW w:w="8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2,974</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43,225</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5,760</w:t>
            </w:r>
          </w:p>
        </w:tc>
      </w:tr>
      <w:tr>
        <w:trPr>
          <w:trHeight w:val="155"/>
        </w:trPr>
        <w:tc>
          <w:tcPr>
            <w:tcW w:w="49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1,530</w:t>
            </w:r>
          </w:p>
        </w:tc>
        <w:tc>
          <w:tcPr>
            <w:tcW w:w="8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608</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3,276</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518</w:t>
            </w:r>
          </w:p>
        </w:tc>
      </w:tr>
      <w:tr>
        <w:trPr>
          <w:trHeight w:val="295"/>
        </w:trPr>
        <w:tc>
          <w:tcPr>
            <w:tcW w:w="49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3"/>
        </w:trPr>
        <w:tc>
          <w:tcPr>
            <w:tcW w:w="49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B2B issuing dollar volume</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249,454</w:t>
            </w:r>
          </w:p>
        </w:tc>
        <w:tc>
          <w:tcPr>
            <w:tcW w:w="8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216,358</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477,266</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414,904</w:t>
            </w:r>
          </w:p>
        </w:tc>
      </w:tr>
      <w:tr>
        <w:trPr>
          <w:trHeight w:val="155"/>
        </w:trPr>
        <w:tc>
          <w:tcPr>
            <w:tcW w:w="49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B2B issuing transaction count</w:t>
            </w:r>
          </w:p>
        </w:tc>
        <w:tc>
          <w:tcPr>
            <w:tcW w:w="9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482</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562</w:t>
            </w:r>
          </w:p>
        </w:tc>
      </w:tr>
      <w:tr>
        <w:trPr>
          <w:trHeight w:val="331"/>
        </w:trPr>
        <w:tc>
          <w:tcPr>
            <w:tcW w:w="4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3"/>
        </w:trPr>
        <w:tc>
          <w:tcPr>
            <w:tcW w:w="49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Revenues</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43,670</w:t>
            </w:r>
          </w:p>
        </w:tc>
        <w:tc>
          <w:tcPr>
            <w:tcW w:w="8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31,438</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84,660</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58,744</w:t>
            </w:r>
          </w:p>
        </w:tc>
      </w:tr>
      <w:tr>
        <w:trPr>
          <w:trHeight w:val="155"/>
        </w:trPr>
        <w:tc>
          <w:tcPr>
            <w:tcW w:w="49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37,244</w:t>
            </w:r>
          </w:p>
        </w:tc>
        <w:tc>
          <w:tcPr>
            <w:tcW w:w="8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25,728</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71,971</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48,096</w:t>
            </w:r>
          </w:p>
        </w:tc>
      </w:tr>
      <w:tr>
        <w:trPr>
          <w:trHeight w:val="322"/>
        </w:trPr>
        <w:tc>
          <w:tcPr>
            <w:tcW w:w="49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3"/>
        </w:trPr>
        <w:tc>
          <w:tcPr>
            <w:tcW w:w="49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Average billed clients</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782,466</w:t>
            </w:r>
          </w:p>
        </w:tc>
        <w:tc>
          <w:tcPr>
            <w:tcW w:w="8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520,028</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753,531</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492,622</w:t>
            </w:r>
          </w:p>
        </w:tc>
      </w:tr>
      <w:tr>
        <w:trPr>
          <w:trHeight w:val="155"/>
        </w:trPr>
        <w:tc>
          <w:tcPr>
            <w:tcW w:w="49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Average monthly new enrollments</w:t>
            </w:r>
          </w:p>
        </w:tc>
        <w:tc>
          <w:tcPr>
            <w:tcW w:w="9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55,089</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53,374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53,563</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49,661</w:t>
            </w:r>
          </w:p>
        </w:tc>
      </w:tr>
      <w:tr>
        <w:trPr>
          <w:trHeight w:val="882"/>
        </w:trPr>
        <w:tc>
          <w:tcPr>
            <w:tcW w:w="496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9</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140"/>
          </w:cols>
          <w:pgMar w:left="300" w:top="122" w:right="4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r>
        <w:rPr>
          <w:rFonts w:ascii="Times New Roman" w:cs="Times New Roman" w:eastAsia="Times New Roman" w:hAnsi="Times New Roman"/>
          <w:sz w:val="13"/>
          <w:szCs w:val="13"/>
          <w:color w:val="auto"/>
        </w:rPr>
        <w: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 Reportable Segments' Results</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June 30, 2024</w:t>
            </w:r>
          </w:p>
        </w:tc>
        <w:tc>
          <w:tcPr>
            <w:tcW w:w="9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42"/>
        </w:trPr>
        <w:tc>
          <w:tcPr>
            <w:tcW w:w="48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0" w:type="dxa"/>
            <w:vAlign w:val="bottom"/>
          </w:tcPr>
          <w:p>
            <w:pPr>
              <w:spacing w:after="0"/>
              <w:rPr>
                <w:sz w:val="12"/>
                <w:szCs w:val="12"/>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140" w:type="dxa"/>
            <w:vAlign w:val="bottom"/>
          </w:tcPr>
          <w:p>
            <w:pPr>
              <w:spacing w:after="0"/>
              <w:rPr>
                <w:sz w:val="12"/>
                <w:szCs w:val="12"/>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320" w:type="dxa"/>
            <w:vAlign w:val="bottom"/>
          </w:tcPr>
          <w:p>
            <w:pPr>
              <w:spacing w:after="0"/>
              <w:rPr>
                <w:sz w:val="12"/>
                <w:szCs w:val="12"/>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40" w:type="dxa"/>
            <w:vAlign w:val="bottom"/>
          </w:tcPr>
          <w:p>
            <w:pPr>
              <w:spacing w:after="0"/>
              <w:rPr>
                <w:sz w:val="12"/>
                <w:szCs w:val="12"/>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Total Consolidated</w:t>
            </w:r>
          </w:p>
        </w:tc>
      </w:tr>
      <w:tr>
        <w:trPr>
          <w:trHeight w:val="131"/>
        </w:trPr>
        <w:tc>
          <w:tcPr>
            <w:tcW w:w="484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28,597</w:t>
            </w:r>
          </w:p>
        </w:tc>
        <w:tc>
          <w:tcPr>
            <w:tcW w:w="80" w:type="dxa"/>
            <w:vAlign w:val="bottom"/>
          </w:tcPr>
          <w:p>
            <w:pPr>
              <w:spacing w:after="0"/>
              <w:rPr>
                <w:sz w:val="13"/>
                <w:szCs w:val="13"/>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1,530</w:t>
            </w:r>
          </w:p>
        </w:tc>
        <w:tc>
          <w:tcPr>
            <w:tcW w:w="60" w:type="dxa"/>
            <w:vAlign w:val="bottom"/>
          </w:tcPr>
          <w:p>
            <w:pPr>
              <w:spacing w:after="0"/>
              <w:rPr>
                <w:sz w:val="13"/>
                <w:szCs w:val="13"/>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37,244</w:t>
            </w:r>
          </w:p>
        </w:tc>
        <w:tc>
          <w:tcPr>
            <w:tcW w:w="6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(15,820)</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51,551</w:t>
            </w: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(1,241)</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(20,469)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(21,710)</w:t>
            </w: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(8,541)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(1,261)</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(4,087)</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(15,244)</w:t>
            </w: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(8,623)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(8,623)</w:t>
            </w: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(636)</w:t>
            </w:r>
          </w:p>
        </w:tc>
      </w:tr>
      <w:tr>
        <w:trPr>
          <w:trHeight w:val="155"/>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(1,684)</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(1,829)</w:t>
            </w:r>
          </w:p>
        </w:tc>
      </w:tr>
      <w:tr>
        <w:trPr>
          <w:trHeight w:val="158"/>
        </w:trPr>
        <w:tc>
          <w:tcPr>
            <w:tcW w:w="4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20,052</w:t>
            </w: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(1,081)</w:t>
            </w:r>
          </w:p>
        </w:tc>
        <w:tc>
          <w:tcPr>
            <w:tcW w:w="60" w:type="dxa"/>
            <w:vAlign w:val="bottom"/>
          </w:tcPr>
          <w:p>
            <w:pPr>
              <w:spacing w:after="0"/>
              <w:rPr>
                <w:sz w:val="13"/>
                <w:szCs w:val="13"/>
                <w:color w:val="auto"/>
              </w:rPr>
            </w:pPr>
          </w:p>
        </w:tc>
        <w:tc>
          <w:tcPr>
            <w:tcW w:w="4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33,125</w:t>
            </w:r>
          </w:p>
        </w:tc>
        <w:tc>
          <w:tcPr>
            <w:tcW w:w="60" w:type="dxa"/>
            <w:vAlign w:val="bottom"/>
          </w:tcPr>
          <w:p>
            <w:pPr>
              <w:spacing w:after="0"/>
              <w:rPr>
                <w:sz w:val="13"/>
                <w:szCs w:val="13"/>
                <w:color w:val="auto"/>
              </w:rPr>
            </w:pP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(48,587)</w:t>
            </w:r>
          </w:p>
        </w:tc>
        <w:tc>
          <w:tcPr>
            <w:tcW w:w="6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3,509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Six Months Ended June 30, 2024</w:t>
            </w:r>
          </w:p>
        </w:tc>
        <w:tc>
          <w:tcPr>
            <w:tcW w:w="9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42"/>
        </w:trPr>
        <w:tc>
          <w:tcPr>
            <w:tcW w:w="48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0" w:type="dxa"/>
            <w:vAlign w:val="bottom"/>
          </w:tcPr>
          <w:p>
            <w:pPr>
              <w:spacing w:after="0"/>
              <w:rPr>
                <w:sz w:val="12"/>
                <w:szCs w:val="12"/>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140" w:type="dxa"/>
            <w:vAlign w:val="bottom"/>
          </w:tcPr>
          <w:p>
            <w:pPr>
              <w:spacing w:after="0"/>
              <w:rPr>
                <w:sz w:val="12"/>
                <w:szCs w:val="12"/>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300" w:type="dxa"/>
            <w:vAlign w:val="bottom"/>
          </w:tcPr>
          <w:p>
            <w:pPr>
              <w:spacing w:after="0"/>
              <w:rPr>
                <w:sz w:val="12"/>
                <w:szCs w:val="12"/>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40" w:type="dxa"/>
            <w:vAlign w:val="bottom"/>
          </w:tcPr>
          <w:p>
            <w:pPr>
              <w:spacing w:after="0"/>
              <w:rPr>
                <w:sz w:val="12"/>
                <w:szCs w:val="12"/>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Total Consolidated</w:t>
            </w:r>
          </w:p>
        </w:tc>
      </w:tr>
      <w:tr>
        <w:trPr>
          <w:trHeight w:val="131"/>
        </w:trPr>
        <w:tc>
          <w:tcPr>
            <w:tcW w:w="484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53,620</w:t>
            </w:r>
          </w:p>
        </w:tc>
        <w:tc>
          <w:tcPr>
            <w:tcW w:w="80" w:type="dxa"/>
            <w:vAlign w:val="bottom"/>
          </w:tcPr>
          <w:p>
            <w:pPr>
              <w:spacing w:after="0"/>
              <w:rPr>
                <w:sz w:val="13"/>
                <w:szCs w:val="13"/>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3,276</w:t>
            </w:r>
          </w:p>
        </w:tc>
        <w:tc>
          <w:tcPr>
            <w:tcW w:w="60" w:type="dxa"/>
            <w:vAlign w:val="bottom"/>
          </w:tcPr>
          <w:p>
            <w:pPr>
              <w:spacing w:after="0"/>
              <w:rPr>
                <w:sz w:val="13"/>
                <w:szCs w:val="13"/>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71,971</w:t>
            </w:r>
          </w:p>
        </w:tc>
        <w:tc>
          <w:tcPr>
            <w:tcW w:w="6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(30,976)</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97,891</w:t>
            </w: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(2,214)</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(40,376)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(42,590)</w:t>
            </w: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(17,127)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(2,731)</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(8,126)</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(30,497)</w:t>
            </w: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(8,623)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(8,623)</w:t>
            </w: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(1,435)</w:t>
            </w:r>
          </w:p>
        </w:tc>
      </w:tr>
      <w:tr>
        <w:trPr>
          <w:trHeight w:val="155"/>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(227)</w:t>
            </w:r>
          </w:p>
        </w:tc>
        <w:tc>
          <w:tcPr>
            <w:tcW w:w="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(3,162)</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(3,462)</w:t>
            </w:r>
          </w:p>
        </w:tc>
      </w:tr>
      <w:tr>
        <w:trPr>
          <w:trHeight w:val="142"/>
        </w:trPr>
        <w:tc>
          <w:tcPr>
            <w:tcW w:w="4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36,485</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(1,896)</w:t>
            </w:r>
          </w:p>
        </w:tc>
        <w:tc>
          <w:tcPr>
            <w:tcW w:w="60" w:type="dxa"/>
            <w:vAlign w:val="bottom"/>
          </w:tcPr>
          <w:p>
            <w:pPr>
              <w:spacing w:after="0"/>
              <w:rPr>
                <w:sz w:val="12"/>
                <w:szCs w:val="12"/>
                <w:color w:val="auto"/>
              </w:rPr>
            </w:pPr>
          </w:p>
        </w:tc>
        <w:tc>
          <w:tcPr>
            <w:tcW w:w="4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63,780</w:t>
            </w:r>
          </w:p>
        </w:tc>
        <w:tc>
          <w:tcPr>
            <w:tcW w:w="6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(87,085)</w:t>
            </w: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11,284</w:t>
            </w:r>
          </w:p>
        </w:tc>
      </w:tr>
      <w:tr>
        <w:trPr>
          <w:trHeight w:val="20"/>
        </w:trPr>
        <w:tc>
          <w:tcPr>
            <w:tcW w:w="4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280"/>
          </w:cols>
          <w:pgMar w:left="300" w:top="122"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r>
        <w:rPr>
          <w:rFonts w:ascii="Times New Roman" w:cs="Times New Roman" w:eastAsia="Times New Roman" w:hAnsi="Times New Roman"/>
          <w:sz w:val="13"/>
          <w:szCs w:val="13"/>
          <w:color w:val="auto"/>
        </w:rPr>
        <w: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 Reportable Segments' Results</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June 30, 2023</w:t>
            </w:r>
          </w:p>
        </w:tc>
        <w:tc>
          <w:tcPr>
            <w:tcW w:w="9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42"/>
        </w:trPr>
        <w:tc>
          <w:tcPr>
            <w:tcW w:w="48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0" w:type="dxa"/>
            <w:vAlign w:val="bottom"/>
          </w:tcPr>
          <w:p>
            <w:pPr>
              <w:spacing w:after="0"/>
              <w:rPr>
                <w:sz w:val="12"/>
                <w:szCs w:val="12"/>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140" w:type="dxa"/>
            <w:vAlign w:val="bottom"/>
          </w:tcPr>
          <w:p>
            <w:pPr>
              <w:spacing w:after="0"/>
              <w:rPr>
                <w:sz w:val="12"/>
                <w:szCs w:val="12"/>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320" w:type="dxa"/>
            <w:vAlign w:val="bottom"/>
          </w:tcPr>
          <w:p>
            <w:pPr>
              <w:spacing w:after="0"/>
              <w:rPr>
                <w:sz w:val="12"/>
                <w:szCs w:val="12"/>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40" w:type="dxa"/>
            <w:vAlign w:val="bottom"/>
          </w:tcPr>
          <w:p>
            <w:pPr>
              <w:spacing w:after="0"/>
              <w:rPr>
                <w:sz w:val="12"/>
                <w:szCs w:val="12"/>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Total Consolidated</w:t>
            </w:r>
          </w:p>
        </w:tc>
      </w:tr>
      <w:tr>
        <w:trPr>
          <w:trHeight w:val="131"/>
        </w:trPr>
        <w:tc>
          <w:tcPr>
            <w:tcW w:w="484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28,434</w:t>
            </w:r>
          </w:p>
        </w:tc>
        <w:tc>
          <w:tcPr>
            <w:tcW w:w="80" w:type="dxa"/>
            <w:vAlign w:val="bottom"/>
          </w:tcPr>
          <w:p>
            <w:pPr>
              <w:spacing w:after="0"/>
              <w:rPr>
                <w:sz w:val="13"/>
                <w:szCs w:val="13"/>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608</w:t>
            </w:r>
          </w:p>
        </w:tc>
        <w:tc>
          <w:tcPr>
            <w:tcW w:w="60" w:type="dxa"/>
            <w:vAlign w:val="bottom"/>
          </w:tcPr>
          <w:p>
            <w:pPr>
              <w:spacing w:after="0"/>
              <w:rPr>
                <w:sz w:val="13"/>
                <w:szCs w:val="13"/>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25,728</w:t>
            </w:r>
          </w:p>
        </w:tc>
        <w:tc>
          <w:tcPr>
            <w:tcW w:w="6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(13,677)</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41,093</w:t>
            </w: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(17,648)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(17,765)</w:t>
            </w: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(9,151)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(6,319)</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(17,980)</w:t>
            </w: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(1,859)</w:t>
            </w:r>
          </w:p>
        </w:tc>
      </w:tr>
      <w:tr>
        <w:trPr>
          <w:trHeight w:val="155"/>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(1,562)</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(1,746)</w:t>
            </w:r>
          </w:p>
        </w:tc>
      </w:tr>
      <w:tr>
        <w:trPr>
          <w:trHeight w:val="142"/>
        </w:trPr>
        <w:tc>
          <w:tcPr>
            <w:tcW w:w="4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19,171</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584</w:t>
            </w:r>
          </w:p>
        </w:tc>
        <w:tc>
          <w:tcPr>
            <w:tcW w:w="60" w:type="dxa"/>
            <w:vAlign w:val="bottom"/>
          </w:tcPr>
          <w:p>
            <w:pPr>
              <w:spacing w:after="0"/>
              <w:rPr>
                <w:sz w:val="12"/>
                <w:szCs w:val="12"/>
                <w:color w:val="auto"/>
              </w:rPr>
            </w:pPr>
          </w:p>
        </w:tc>
        <w:tc>
          <w:tcPr>
            <w:tcW w:w="4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19,227</w:t>
            </w:r>
          </w:p>
        </w:tc>
        <w:tc>
          <w:tcPr>
            <w:tcW w:w="60" w:type="dxa"/>
            <w:vAlign w:val="bottom"/>
          </w:tcPr>
          <w:p>
            <w:pPr>
              <w:spacing w:after="0"/>
              <w:rPr>
                <w:sz w:val="12"/>
                <w:szCs w:val="12"/>
                <w:color w:val="auto"/>
              </w:rPr>
            </w:pP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(37,239)</w:t>
            </w: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1,743</w:t>
            </w:r>
          </w:p>
        </w:tc>
      </w:tr>
      <w:tr>
        <w:trPr>
          <w:trHeight w:val="20"/>
        </w:trPr>
        <w:tc>
          <w:tcPr>
            <w:tcW w:w="4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Six Months Ended June 30, 2023</w:t>
            </w:r>
          </w:p>
        </w:tc>
        <w:tc>
          <w:tcPr>
            <w:tcW w:w="9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42"/>
        </w:trPr>
        <w:tc>
          <w:tcPr>
            <w:tcW w:w="48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0" w:type="dxa"/>
            <w:vAlign w:val="bottom"/>
          </w:tcPr>
          <w:p>
            <w:pPr>
              <w:spacing w:after="0"/>
              <w:rPr>
                <w:sz w:val="12"/>
                <w:szCs w:val="12"/>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140" w:type="dxa"/>
            <w:vAlign w:val="bottom"/>
          </w:tcPr>
          <w:p>
            <w:pPr>
              <w:spacing w:after="0"/>
              <w:rPr>
                <w:sz w:val="12"/>
                <w:szCs w:val="12"/>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300" w:type="dxa"/>
            <w:vAlign w:val="bottom"/>
          </w:tcPr>
          <w:p>
            <w:pPr>
              <w:spacing w:after="0"/>
              <w:rPr>
                <w:sz w:val="12"/>
                <w:szCs w:val="12"/>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40" w:type="dxa"/>
            <w:vAlign w:val="bottom"/>
          </w:tcPr>
          <w:p>
            <w:pPr>
              <w:spacing w:after="0"/>
              <w:rPr>
                <w:sz w:val="12"/>
                <w:szCs w:val="12"/>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Total Consolidated</w:t>
            </w:r>
          </w:p>
        </w:tc>
      </w:tr>
      <w:tr>
        <w:trPr>
          <w:trHeight w:val="131"/>
        </w:trPr>
        <w:tc>
          <w:tcPr>
            <w:tcW w:w="484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56,836</w:t>
            </w:r>
          </w:p>
        </w:tc>
        <w:tc>
          <w:tcPr>
            <w:tcW w:w="80" w:type="dxa"/>
            <w:vAlign w:val="bottom"/>
          </w:tcPr>
          <w:p>
            <w:pPr>
              <w:spacing w:after="0"/>
              <w:rPr>
                <w:sz w:val="13"/>
                <w:szCs w:val="13"/>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518</w:t>
            </w:r>
          </w:p>
        </w:tc>
        <w:tc>
          <w:tcPr>
            <w:tcW w:w="60" w:type="dxa"/>
            <w:vAlign w:val="bottom"/>
          </w:tcPr>
          <w:p>
            <w:pPr>
              <w:spacing w:after="0"/>
              <w:rPr>
                <w:sz w:val="13"/>
                <w:szCs w:val="13"/>
                <w:color w:val="auto"/>
              </w:rPr>
            </w:pPr>
          </w:p>
        </w:tc>
        <w:tc>
          <w:tcPr>
            <w:tcW w:w="44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48,096</w:t>
            </w:r>
          </w:p>
        </w:tc>
        <w:tc>
          <w:tcPr>
            <w:tcW w:w="6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(26,717)</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78,733</w:t>
            </w: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(35,234)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(35,464)</w:t>
            </w: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(18,417)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(12,624)</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(36,028)</w:t>
            </w: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(2,296)</w:t>
            </w: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(3,682)</w:t>
            </w:r>
          </w:p>
        </w:tc>
      </w:tr>
      <w:tr>
        <w:trPr>
          <w:trHeight w:val="155"/>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Other non-recurring loss, net</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w:t>
            </w:r>
          </w:p>
        </w:tc>
      </w:tr>
      <w:tr>
        <w:trPr>
          <w:trHeight w:val="142"/>
        </w:trPr>
        <w:tc>
          <w:tcPr>
            <w:tcW w:w="4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38,125</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280</w:t>
            </w:r>
          </w:p>
        </w:tc>
        <w:tc>
          <w:tcPr>
            <w:tcW w:w="6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35,113</w:t>
            </w:r>
          </w:p>
        </w:tc>
        <w:tc>
          <w:tcPr>
            <w:tcW w:w="6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(72,414)</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1,104</w:t>
            </w:r>
          </w:p>
        </w:tc>
      </w:tr>
      <w:tr>
        <w:trPr>
          <w:trHeight w:val="20"/>
        </w:trPr>
        <w:tc>
          <w:tcPr>
            <w:tcW w:w="4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280"/>
          </w:cols>
          <w:pgMar w:left="300" w:top="122"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r>
        <w:rPr>
          <w:rFonts w:ascii="Times New Roman" w:cs="Times New Roman" w:eastAsia="Times New Roman" w:hAnsi="Times New Roman"/>
          <w:sz w:val="13"/>
          <w:szCs w:val="13"/>
          <w:color w:val="auto"/>
        </w:rPr>
        <w: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 Reportable Segments'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Appendix 1 – Reconciliation of adjusted EBITDA (non-GAAP measure to the nearest GAAP measure) for select periods: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80" w:type="dxa"/>
            <w:vAlign w:val="bottom"/>
            <w:tcBorders>
              <w:bottom w:val="single" w:sz="8" w:color="auto"/>
            </w:tcBorders>
            <w:gridSpan w:val="8"/>
          </w:tcPr>
          <w:p>
            <w:pPr>
              <w:ind w:left="840"/>
              <w:spacing w:after="0"/>
              <w:rPr>
                <w:sz w:val="20"/>
                <w:szCs w:val="20"/>
                <w:color w:val="auto"/>
              </w:rPr>
            </w:pPr>
            <w:r>
              <w:rPr>
                <w:rFonts w:ascii="Times New Roman" w:cs="Times New Roman" w:eastAsia="Times New Roman" w:hAnsi="Times New Roman"/>
                <w:sz w:val="12"/>
                <w:szCs w:val="12"/>
                <w:b w:val="1"/>
                <w:bCs w:val="1"/>
                <w:color w:val="auto"/>
              </w:rPr>
              <w:t>Three Months Ended March 31, 2024</w:t>
            </w: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42"/>
        </w:trPr>
        <w:tc>
          <w:tcPr>
            <w:tcW w:w="48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0" w:type="dxa"/>
            <w:vAlign w:val="bottom"/>
          </w:tcPr>
          <w:p>
            <w:pPr>
              <w:spacing w:after="0"/>
              <w:rPr>
                <w:sz w:val="12"/>
                <w:szCs w:val="12"/>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140" w:type="dxa"/>
            <w:vAlign w:val="bottom"/>
          </w:tcPr>
          <w:p>
            <w:pPr>
              <w:spacing w:after="0"/>
              <w:rPr>
                <w:sz w:val="12"/>
                <w:szCs w:val="12"/>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220" w:type="dxa"/>
            <w:vAlign w:val="bottom"/>
          </w:tcPr>
          <w:p>
            <w:pPr>
              <w:spacing w:after="0"/>
              <w:rPr>
                <w:sz w:val="12"/>
                <w:szCs w:val="12"/>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40" w:type="dxa"/>
            <w:vAlign w:val="bottom"/>
          </w:tcPr>
          <w:p>
            <w:pPr>
              <w:spacing w:after="0"/>
              <w:rPr>
                <w:sz w:val="12"/>
                <w:szCs w:val="12"/>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Total Consolidated</w:t>
            </w:r>
          </w:p>
        </w:tc>
      </w:tr>
      <w:tr>
        <w:trPr>
          <w:trHeight w:val="131"/>
        </w:trPr>
        <w:tc>
          <w:tcPr>
            <w:tcW w:w="484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25,023</w:t>
            </w:r>
          </w:p>
        </w:tc>
        <w:tc>
          <w:tcPr>
            <w:tcW w:w="80" w:type="dxa"/>
            <w:vAlign w:val="bottom"/>
          </w:tcPr>
          <w:p>
            <w:pPr>
              <w:spacing w:after="0"/>
              <w:rPr>
                <w:sz w:val="13"/>
                <w:szCs w:val="13"/>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1,747</w:t>
            </w:r>
          </w:p>
        </w:tc>
        <w:tc>
          <w:tcPr>
            <w:tcW w:w="60" w:type="dxa"/>
            <w:vAlign w:val="bottom"/>
          </w:tcPr>
          <w:p>
            <w:pPr>
              <w:spacing w:after="0"/>
              <w:rPr>
                <w:sz w:val="13"/>
                <w:szCs w:val="13"/>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34,727</w:t>
            </w:r>
          </w:p>
        </w:tc>
        <w:tc>
          <w:tcPr>
            <w:tcW w:w="6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(15,157)</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46,340</w:t>
            </w: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(973)</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(19,906)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(20,880)</w:t>
            </w: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(8,586)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(1,470)</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(4,039)</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(15,253)</w:t>
            </w: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(798)</w:t>
            </w:r>
          </w:p>
        </w:tc>
      </w:tr>
      <w:tr>
        <w:trPr>
          <w:trHeight w:val="155"/>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(1,479)</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(1,634)</w:t>
            </w:r>
          </w:p>
        </w:tc>
      </w:tr>
      <w:tr>
        <w:trPr>
          <w:trHeight w:val="142"/>
        </w:trPr>
        <w:tc>
          <w:tcPr>
            <w:tcW w:w="4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16,432</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(814)</w:t>
            </w:r>
          </w:p>
        </w:tc>
        <w:tc>
          <w:tcPr>
            <w:tcW w:w="60" w:type="dxa"/>
            <w:vAlign w:val="bottom"/>
          </w:tcPr>
          <w:p>
            <w:pPr>
              <w:spacing w:after="0"/>
              <w:rPr>
                <w:sz w:val="12"/>
                <w:szCs w:val="12"/>
                <w:color w:val="auto"/>
              </w:rPr>
            </w:pPr>
          </w:p>
        </w:tc>
        <w:tc>
          <w:tcPr>
            <w:tcW w:w="4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30,655</w:t>
            </w:r>
          </w:p>
        </w:tc>
        <w:tc>
          <w:tcPr>
            <w:tcW w:w="6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(38,498)</w:t>
            </w: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7,775</w:t>
            </w:r>
          </w:p>
        </w:tc>
      </w:tr>
      <w:tr>
        <w:trPr>
          <w:trHeight w:val="20"/>
        </w:trPr>
        <w:tc>
          <w:tcPr>
            <w:tcW w:w="4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80" w:type="dxa"/>
            <w:vAlign w:val="bottom"/>
            <w:tcBorders>
              <w:bottom w:val="single" w:sz="8" w:color="auto"/>
            </w:tcBorders>
            <w:gridSpan w:val="8"/>
          </w:tcPr>
          <w:p>
            <w:pPr>
              <w:ind w:left="840"/>
              <w:spacing w:after="0"/>
              <w:rPr>
                <w:sz w:val="20"/>
                <w:szCs w:val="20"/>
                <w:color w:val="auto"/>
              </w:rPr>
            </w:pPr>
            <w:r>
              <w:rPr>
                <w:rFonts w:ascii="Times New Roman" w:cs="Times New Roman" w:eastAsia="Times New Roman" w:hAnsi="Times New Roman"/>
                <w:sz w:val="12"/>
                <w:szCs w:val="12"/>
                <w:b w:val="1"/>
                <w:bCs w:val="1"/>
                <w:color w:val="auto"/>
              </w:rPr>
              <w:t>Three Months Ended March 31, 2023</w:t>
            </w: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42"/>
        </w:trPr>
        <w:tc>
          <w:tcPr>
            <w:tcW w:w="48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0" w:type="dxa"/>
            <w:vAlign w:val="bottom"/>
          </w:tcPr>
          <w:p>
            <w:pPr>
              <w:spacing w:after="0"/>
              <w:rPr>
                <w:sz w:val="12"/>
                <w:szCs w:val="12"/>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140" w:type="dxa"/>
            <w:vAlign w:val="bottom"/>
          </w:tcPr>
          <w:p>
            <w:pPr>
              <w:spacing w:after="0"/>
              <w:rPr>
                <w:sz w:val="12"/>
                <w:szCs w:val="12"/>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220" w:type="dxa"/>
            <w:vAlign w:val="bottom"/>
          </w:tcPr>
          <w:p>
            <w:pPr>
              <w:spacing w:after="0"/>
              <w:rPr>
                <w:sz w:val="12"/>
                <w:szCs w:val="12"/>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40" w:type="dxa"/>
            <w:vAlign w:val="bottom"/>
          </w:tcPr>
          <w:p>
            <w:pPr>
              <w:spacing w:after="0"/>
              <w:rPr>
                <w:sz w:val="12"/>
                <w:szCs w:val="12"/>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Total Consolidated</w:t>
            </w:r>
          </w:p>
        </w:tc>
      </w:tr>
      <w:tr>
        <w:trPr>
          <w:trHeight w:val="131"/>
        </w:trPr>
        <w:tc>
          <w:tcPr>
            <w:tcW w:w="484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28,402</w:t>
            </w:r>
          </w:p>
        </w:tc>
        <w:tc>
          <w:tcPr>
            <w:tcW w:w="80" w:type="dxa"/>
            <w:vAlign w:val="bottom"/>
          </w:tcPr>
          <w:p>
            <w:pPr>
              <w:spacing w:after="0"/>
              <w:rPr>
                <w:sz w:val="13"/>
                <w:szCs w:val="13"/>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60" w:type="dxa"/>
            <w:vAlign w:val="bottom"/>
          </w:tcPr>
          <w:p>
            <w:pPr>
              <w:spacing w:after="0"/>
              <w:rPr>
                <w:sz w:val="13"/>
                <w:szCs w:val="13"/>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22,368</w:t>
            </w:r>
          </w:p>
        </w:tc>
        <w:tc>
          <w:tcPr>
            <w:tcW w:w="6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(13,040)</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37,640</w:t>
            </w: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120" w:type="dxa"/>
            <w:vAlign w:val="bottom"/>
            <w:gridSpan w:val="2"/>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(17,586)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(17,699)</w:t>
            </w: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(9,267)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(6,305)</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(2,456)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(18,048)</w:t>
            </w: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120" w:type="dxa"/>
            <w:vAlign w:val="bottom"/>
            <w:gridSpan w:val="2"/>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(437)</w:t>
            </w: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(1,936)</w:t>
            </w:r>
          </w:p>
        </w:tc>
      </w:tr>
      <w:tr>
        <w:trPr>
          <w:trHeight w:val="155"/>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Other non-recurring loss, net</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120" w:type="dxa"/>
            <w:vAlign w:val="bottom"/>
            <w:gridSpan w:val="2"/>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w:t>
            </w:r>
          </w:p>
        </w:tc>
      </w:tr>
      <w:tr>
        <w:trPr>
          <w:trHeight w:val="142"/>
        </w:trPr>
        <w:tc>
          <w:tcPr>
            <w:tcW w:w="4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18,953</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(303)</w:t>
            </w:r>
          </w:p>
        </w:tc>
        <w:tc>
          <w:tcPr>
            <w:tcW w:w="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15,886</w:t>
            </w:r>
          </w:p>
        </w:tc>
        <w:tc>
          <w:tcPr>
            <w:tcW w:w="6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(35,175)</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(639)</w:t>
            </w:r>
          </w:p>
        </w:tc>
      </w:tr>
      <w:tr>
        <w:trPr>
          <w:trHeight w:val="20"/>
        </w:trPr>
        <w:tc>
          <w:tcPr>
            <w:tcW w:w="4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78"/>
        </w:trPr>
        <w:tc>
          <w:tcPr>
            <w:tcW w:w="4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80"/>
          </w:cols>
          <w:pgMar w:left="300" w:top="122"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r>
        <w:rPr>
          <w:rFonts w:ascii="Times New Roman" w:cs="Times New Roman" w:eastAsia="Times New Roman" w:hAnsi="Times New Roman"/>
          <w:sz w:val="13"/>
          <w:szCs w:val="13"/>
          <w:color w:val="auto"/>
        </w:rPr>
        <w: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 Reportable Segments' Results</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80" w:type="dxa"/>
            <w:vAlign w:val="bottom"/>
            <w:tcBorders>
              <w:bottom w:val="single" w:sz="8" w:color="auto"/>
            </w:tcBorders>
            <w:gridSpan w:val="8"/>
          </w:tcPr>
          <w:p>
            <w:pPr>
              <w:ind w:left="74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2023</w:t>
            </w: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42"/>
        </w:trPr>
        <w:tc>
          <w:tcPr>
            <w:tcW w:w="48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0" w:type="dxa"/>
            <w:vAlign w:val="bottom"/>
          </w:tcPr>
          <w:p>
            <w:pPr>
              <w:spacing w:after="0"/>
              <w:rPr>
                <w:sz w:val="12"/>
                <w:szCs w:val="12"/>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140" w:type="dxa"/>
            <w:vAlign w:val="bottom"/>
          </w:tcPr>
          <w:p>
            <w:pPr>
              <w:spacing w:after="0"/>
              <w:rPr>
                <w:sz w:val="12"/>
                <w:szCs w:val="12"/>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220" w:type="dxa"/>
            <w:vAlign w:val="bottom"/>
          </w:tcPr>
          <w:p>
            <w:pPr>
              <w:spacing w:after="0"/>
              <w:rPr>
                <w:sz w:val="12"/>
                <w:szCs w:val="12"/>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40" w:type="dxa"/>
            <w:vAlign w:val="bottom"/>
          </w:tcPr>
          <w:p>
            <w:pPr>
              <w:spacing w:after="0"/>
              <w:rPr>
                <w:sz w:val="12"/>
                <w:szCs w:val="12"/>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Total Consolidated</w:t>
            </w:r>
          </w:p>
        </w:tc>
      </w:tr>
      <w:tr>
        <w:trPr>
          <w:trHeight w:val="131"/>
        </w:trPr>
        <w:tc>
          <w:tcPr>
            <w:tcW w:w="484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27,613</w:t>
            </w:r>
          </w:p>
        </w:tc>
        <w:tc>
          <w:tcPr>
            <w:tcW w:w="80" w:type="dxa"/>
            <w:vAlign w:val="bottom"/>
          </w:tcPr>
          <w:p>
            <w:pPr>
              <w:spacing w:after="0"/>
              <w:rPr>
                <w:sz w:val="13"/>
                <w:szCs w:val="13"/>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1,359</w:t>
            </w:r>
          </w:p>
        </w:tc>
        <w:tc>
          <w:tcPr>
            <w:tcW w:w="60" w:type="dxa"/>
            <w:vAlign w:val="bottom"/>
          </w:tcPr>
          <w:p>
            <w:pPr>
              <w:spacing w:after="0"/>
              <w:rPr>
                <w:sz w:val="13"/>
                <w:szCs w:val="13"/>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29,757</w:t>
            </w:r>
          </w:p>
        </w:tc>
        <w:tc>
          <w:tcPr>
            <w:tcW w:w="6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(13,767)</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44,962</w:t>
            </w: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(498)</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(19,437)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(19,997)</w:t>
            </w: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(9,136)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(719)</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(5,947)</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(17,275)</w:t>
            </w: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(2,114)</w:t>
            </w: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(1,501)</w:t>
            </w:r>
          </w:p>
        </w:tc>
      </w:tr>
      <w:tr>
        <w:trPr>
          <w:trHeight w:val="155"/>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Other non-recurring gain, net</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w:t>
            </w:r>
          </w:p>
        </w:tc>
      </w:tr>
      <w:tr>
        <w:trPr>
          <w:trHeight w:val="142"/>
        </w:trPr>
        <w:tc>
          <w:tcPr>
            <w:tcW w:w="4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18,363</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106</w:t>
            </w:r>
          </w:p>
        </w:tc>
        <w:tc>
          <w:tcPr>
            <w:tcW w:w="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23,682</w:t>
            </w:r>
          </w:p>
        </w:tc>
        <w:tc>
          <w:tcPr>
            <w:tcW w:w="6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(37,910)</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4,241</w:t>
            </w:r>
          </w:p>
        </w:tc>
      </w:tr>
      <w:tr>
        <w:trPr>
          <w:trHeight w:val="20"/>
        </w:trPr>
        <w:tc>
          <w:tcPr>
            <w:tcW w:w="4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80" w:type="dxa"/>
            <w:vAlign w:val="bottom"/>
            <w:tcBorders>
              <w:bottom w:val="single" w:sz="8" w:color="auto"/>
            </w:tcBorders>
            <w:gridSpan w:val="8"/>
          </w:tcPr>
          <w:p>
            <w:pPr>
              <w:ind w:left="760"/>
              <w:spacing w:after="0"/>
              <w:rPr>
                <w:sz w:val="20"/>
                <w:szCs w:val="20"/>
                <w:color w:val="auto"/>
              </w:rPr>
            </w:pPr>
            <w:r>
              <w:rPr>
                <w:rFonts w:ascii="Times New Roman" w:cs="Times New Roman" w:eastAsia="Times New Roman" w:hAnsi="Times New Roman"/>
                <w:sz w:val="12"/>
                <w:szCs w:val="12"/>
                <w:b w:val="1"/>
                <w:bCs w:val="1"/>
                <w:color w:val="auto"/>
              </w:rPr>
              <w:t>Three Months Ended December 31, 2023</w:t>
            </w: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42"/>
        </w:trPr>
        <w:tc>
          <w:tcPr>
            <w:tcW w:w="48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0" w:type="dxa"/>
            <w:vAlign w:val="bottom"/>
          </w:tcPr>
          <w:p>
            <w:pPr>
              <w:spacing w:after="0"/>
              <w:rPr>
                <w:sz w:val="12"/>
                <w:szCs w:val="12"/>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140" w:type="dxa"/>
            <w:vAlign w:val="bottom"/>
          </w:tcPr>
          <w:p>
            <w:pPr>
              <w:spacing w:after="0"/>
              <w:rPr>
                <w:sz w:val="12"/>
                <w:szCs w:val="12"/>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220" w:type="dxa"/>
            <w:vAlign w:val="bottom"/>
          </w:tcPr>
          <w:p>
            <w:pPr>
              <w:spacing w:after="0"/>
              <w:rPr>
                <w:sz w:val="12"/>
                <w:szCs w:val="12"/>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40" w:type="dxa"/>
            <w:vAlign w:val="bottom"/>
          </w:tcPr>
          <w:p>
            <w:pPr>
              <w:spacing w:after="0"/>
              <w:rPr>
                <w:sz w:val="12"/>
                <w:szCs w:val="12"/>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Total Consolidated</w:t>
            </w:r>
          </w:p>
        </w:tc>
      </w:tr>
      <w:tr>
        <w:trPr>
          <w:trHeight w:val="131"/>
        </w:trPr>
        <w:tc>
          <w:tcPr>
            <w:tcW w:w="484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25,036</w:t>
            </w:r>
          </w:p>
        </w:tc>
        <w:tc>
          <w:tcPr>
            <w:tcW w:w="80" w:type="dxa"/>
            <w:vAlign w:val="bottom"/>
          </w:tcPr>
          <w:p>
            <w:pPr>
              <w:spacing w:after="0"/>
              <w:rPr>
                <w:sz w:val="13"/>
                <w:szCs w:val="13"/>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w:t>
            </w:r>
          </w:p>
        </w:tc>
        <w:tc>
          <w:tcPr>
            <w:tcW w:w="60" w:type="dxa"/>
            <w:vAlign w:val="bottom"/>
          </w:tcPr>
          <w:p>
            <w:pPr>
              <w:spacing w:after="0"/>
              <w:rPr>
                <w:sz w:val="13"/>
                <w:szCs w:val="13"/>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33,040</w:t>
            </w:r>
          </w:p>
        </w:tc>
        <w:tc>
          <w:tcPr>
            <w:tcW w:w="6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(13,811)</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44,637</w:t>
            </w: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(803)</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(19,780)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(20,647)</w:t>
            </w: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(9,162)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(1,075)</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(3,856)</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(15,092)</w:t>
            </w: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(5,256)</w:t>
            </w: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(1,585)</w:t>
            </w:r>
          </w:p>
        </w:tc>
      </w:tr>
      <w:tr>
        <w:trPr>
          <w:trHeight w:val="155"/>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Other non-recurring loss, net</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w:t>
            </w:r>
          </w:p>
        </w:tc>
      </w:tr>
      <w:tr>
        <w:trPr>
          <w:trHeight w:val="142"/>
        </w:trPr>
        <w:tc>
          <w:tcPr>
            <w:tcW w:w="4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15,743</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(1,818)</w:t>
            </w:r>
          </w:p>
        </w:tc>
        <w:tc>
          <w:tcPr>
            <w:tcW w:w="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29,054</w:t>
            </w:r>
          </w:p>
        </w:tc>
        <w:tc>
          <w:tcPr>
            <w:tcW w:w="6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(41,172)</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1,807</w:t>
            </w:r>
          </w:p>
        </w:tc>
      </w:tr>
      <w:tr>
        <w:trPr>
          <w:trHeight w:val="20"/>
        </w:trPr>
        <w:tc>
          <w:tcPr>
            <w:tcW w:w="4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1280"/>
          </w:cols>
          <w:pgMar w:left="300" w:top="122" w:right="319" w:bottom="1440"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2024-08-08T06:46:05Z</dcterms:created>
  <dcterms:modified xsi:type="dcterms:W3CDTF">2024-08-08T06:46:05Z</dcterms:modified>
</cp:coreProperties>
</file>