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February 27, 2025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w:t>
      </w:r>
    </w:p>
    <w:p>
      <w:pPr>
        <w:pStyle w:val="TextBody"/>
        <w:bidi w:val="0"/>
        <w:spacing w:before="0" w:after="0"/>
        <w:jc w:val="center"/>
        <w:rPr/>
      </w:pPr>
      <w:r>
        <w:rPr/>
        <w:drawing>
          <wp:inline distT="0" distB="0" distL="0" distR="0">
            <wp:extent cx="2819400" cy="1304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19400" cy="13049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Priority Technology Holdings,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9786" w:type="dxa"/>
        <w:jc w:val="left"/>
        <w:tblInd w:w="0" w:type="dxa"/>
        <w:tblLayout w:type="fixed"/>
        <w:tblCellMar>
          <w:top w:w="28" w:type="dxa"/>
          <w:left w:w="28" w:type="dxa"/>
          <w:bottom w:w="28" w:type="dxa"/>
          <w:right w:w="28" w:type="dxa"/>
        </w:tblCellMar>
      </w:tblPr>
      <w:tblGrid>
        <w:gridCol w:w="1345"/>
        <w:gridCol w:w="1181"/>
        <w:gridCol w:w="1193"/>
        <w:gridCol w:w="109"/>
        <w:gridCol w:w="109"/>
        <w:gridCol w:w="109"/>
        <w:gridCol w:w="777"/>
        <w:gridCol w:w="777"/>
        <w:gridCol w:w="785"/>
        <w:gridCol w:w="109"/>
        <w:gridCol w:w="109"/>
        <w:gridCol w:w="109"/>
        <w:gridCol w:w="897"/>
        <w:gridCol w:w="897"/>
        <w:gridCol w:w="1280"/>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001-37872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47-4257046</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 </w:t>
            </w:r>
          </w:p>
        </w:tc>
      </w:tr>
    </w:tbl>
    <w:p>
      <w:pPr>
        <w:pStyle w:val="TextBody"/>
        <w:bidi w:val="0"/>
        <w:spacing w:lineRule="auto" w:line="288" w:before="0" w:after="0"/>
        <w:jc w:val="left"/>
        <w:rPr>
          <w:color w:val="000000"/>
        </w:rPr>
      </w:pPr>
      <w:r>
        <w:rPr>
          <w:color w:val="000000"/>
        </w:rPr>
        <w:t> </w:t>
      </w:r>
    </w:p>
    <w:tbl>
      <w:tblPr>
        <w:tblW w:w="4810" w:type="dxa"/>
        <w:jc w:val="left"/>
        <w:tblInd w:w="0" w:type="dxa"/>
        <w:tblLayout w:type="fixed"/>
        <w:tblCellMar>
          <w:top w:w="28" w:type="dxa"/>
          <w:left w:w="28" w:type="dxa"/>
          <w:bottom w:w="28" w:type="dxa"/>
          <w:right w:w="28" w:type="dxa"/>
        </w:tblCellMar>
      </w:tblPr>
      <w:tblGrid>
        <w:gridCol w:w="631"/>
        <w:gridCol w:w="553"/>
        <w:gridCol w:w="553"/>
        <w:gridCol w:w="553"/>
        <w:gridCol w:w="553"/>
        <w:gridCol w:w="561"/>
        <w:gridCol w:w="109"/>
        <w:gridCol w:w="109"/>
        <w:gridCol w:w="109"/>
        <w:gridCol w:w="316"/>
        <w:gridCol w:w="316"/>
        <w:gridCol w:w="447"/>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2001 Westside Parkway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Alpharetta,</w:t>
            </w:r>
          </w:p>
        </w:tc>
        <w:tc>
          <w:tcPr>
            <w:tcW w:w="16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30004</w:t>
            </w:r>
          </w:p>
        </w:tc>
      </w:tr>
      <w:tr>
        <w:trPr/>
        <w:tc>
          <w:tcPr>
            <w:tcW w:w="34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(800) 935-5961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color w:val="000000"/>
          <w:sz w:val="20"/>
          <w:u w:val="single"/>
        </w:rPr>
        <w:t>see</w:t>
      </w:r>
      <w:r>
        <w:rPr>
          <w:color w:val="000000"/>
        </w:rPr>
        <w:t xml:space="preserve"> </w:t>
      </w:r>
      <w:r>
        <w:rPr>
          <w:rFonts w:ascii="Times New Roman;sans-serif" w:hAnsi="Times New Roman;sans-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82" w:type="dxa"/>
        <w:jc w:val="center"/>
        <w:tblInd w:w="0" w:type="dxa"/>
        <w:tblLayout w:type="fixed"/>
        <w:tblCellMar>
          <w:top w:w="28" w:type="dxa"/>
          <w:left w:w="28" w:type="dxa"/>
          <w:bottom w:w="28" w:type="dxa"/>
          <w:right w:w="28" w:type="dxa"/>
        </w:tblCellMar>
      </w:tblPr>
      <w:tblGrid>
        <w:gridCol w:w="1013"/>
        <w:gridCol w:w="890"/>
        <w:gridCol w:w="901"/>
        <w:gridCol w:w="109"/>
        <w:gridCol w:w="109"/>
        <w:gridCol w:w="109"/>
        <w:gridCol w:w="499"/>
        <w:gridCol w:w="499"/>
        <w:gridCol w:w="501"/>
        <w:gridCol w:w="109"/>
        <w:gridCol w:w="109"/>
        <w:gridCol w:w="109"/>
        <w:gridCol w:w="1118"/>
        <w:gridCol w:w="1118"/>
        <w:gridCol w:w="1589"/>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26, 2025, John V. Priore provided to the Board of Directors (the “Board”) notification of his resignation from the Board of Priority Technology Holdings, Inc. (the “Company”), effective April 1, 2025. Mr. Priore’s resignation as director from the Board did not result from any disagreement with the Company on any matter relating to the Company’s operations, policies or practices.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appointed Clayton Main as a director of the Company to fill the vacancy created by Mr. Priore’s resignation to be effective April 1, 2025. Mr. Main is an experienced executive and has over 20 years in leveraged financing and structured equity investments. Mr. Main will serve on the audit, compensation, and nominating and corporate governance committees of the Board.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Main will receive compensation for services as a non-employee director of the Company consistent with the compensation generally provided to other non-employee directors of the Company. This compensation includes $60,000 in cash and a grant of Restricted Stock Units with a grant date fair value of approximately $100,000 on April 2, 2025. The compensation of the Company’s non-employee directors is determined by the Board and disclosed in the Company’s 2024 proxy statement, which was filed with the Securities and Exchange Commission on April 9, 2024. There are no arrangements or understandings between Mr. Main and any other persons pursuant to which they were selected as a director of the Company. There are no family relationships between Mr. Main and any other director or executive officer of the Company and they have no direct or indirect material interest in any transaction required to be disclosed pursuant to Item 404(a) of Regulations S-K.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Item 7.01.</w:t>
      </w:r>
      <w:r>
        <w:rPr>
          <w:color w:val="000000"/>
        </w:rPr>
        <w:t xml:space="preserve"> </w:t>
      </w:r>
      <w:r>
        <w:rPr>
          <w:rFonts w:ascii="Times New Roman;sans-serif" w:hAnsi="Times New Roman;sans-serif"/>
          <w:b/>
          <w:color w:val="000000"/>
          <w:sz w:val="20"/>
        </w:rPr>
        <w:t>Regulation FD Disclosure.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a press release on February 27, 2025, announcing the director resignation described in Item 5.02 above. The press release making this announcement is attached hereto as Exhibit 99.1 and is incorporated herein by reference.</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 Exhibits – The following exhibit is furnished as part of this Current Report on Form 8-K.</w:t>
      </w:r>
    </w:p>
    <w:tbl>
      <w:tblPr>
        <w:tblW w:w="4783" w:type="dxa"/>
        <w:jc w:val="left"/>
        <w:tblInd w:w="0" w:type="dxa"/>
        <w:tblLayout w:type="fixed"/>
        <w:tblCellMar>
          <w:top w:w="28" w:type="dxa"/>
          <w:left w:w="28" w:type="dxa"/>
          <w:bottom w:w="28" w:type="dxa"/>
          <w:right w:w="28" w:type="dxa"/>
        </w:tblCellMar>
      </w:tblPr>
      <w:tblGrid>
        <w:gridCol w:w="538"/>
        <w:gridCol w:w="472"/>
        <w:gridCol w:w="474"/>
        <w:gridCol w:w="964"/>
        <w:gridCol w:w="964"/>
        <w:gridCol w:w="137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prth-pressreleaseannouncin.htm">
              <w:r>
                <w:rPr>
                  <w:rStyle w:val="InternetLink"/>
                  <w:rFonts w:ascii="Times New Roman;sans-serif" w:hAnsi="Times New Roman;sans-serif"/>
                  <w:b w:val="false"/>
                  <w:color w:val="0000FF"/>
                  <w:sz w:val="20"/>
                </w:rPr>
                <w:t>99.1</w:t>
              </w:r>
            </w:hyperlink>
          </w:p>
        </w:tc>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prth-pressreleaseannouncin.htm">
              <w:r>
                <w:rPr>
                  <w:rStyle w:val="InternetLink"/>
                  <w:rFonts w:ascii="Times New Roman;sans-serif" w:hAnsi="Times New Roman;sans-serif"/>
                  <w:b w:val="false"/>
                  <w:color w:val="0000FF"/>
                  <w:sz w:val="20"/>
                </w:rPr>
                <w:t>Press Release dated February 27, 2025.</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5457" w:type="dxa"/>
        <w:jc w:val="left"/>
        <w:tblInd w:w="0" w:type="dxa"/>
        <w:tblLayout w:type="fixed"/>
        <w:tblCellMar>
          <w:top w:w="28" w:type="dxa"/>
          <w:left w:w="28" w:type="dxa"/>
          <w:bottom w:w="28" w:type="dxa"/>
          <w:right w:w="28" w:type="dxa"/>
        </w:tblCellMar>
      </w:tblPr>
      <w:tblGrid>
        <w:gridCol w:w="580"/>
        <w:gridCol w:w="511"/>
        <w:gridCol w:w="513"/>
        <w:gridCol w:w="599"/>
        <w:gridCol w:w="599"/>
        <w:gridCol w:w="599"/>
        <w:gridCol w:w="599"/>
        <w:gridCol w:w="599"/>
        <w:gridCol w:w="858"/>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PRIORITY TECHNOLOGY HOLDINGS, INC.</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Timothy O'Leary</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 Timothy O'Leary</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86" w:before="0" w:after="0"/>
        <w:jc w:val="right"/>
        <w:rPr>
          <w:color w:val="000000"/>
        </w:rPr>
      </w:pPr>
      <w:r>
        <w:rPr>
          <w:color w:val="000000"/>
        </w:rPr>
        <w:t>                        </w:t>
      </w:r>
      <w:r>
        <w:rPr>
          <w:rFonts w:ascii="Times New Roman;sans-serif" w:hAnsi="Times New Roman;sans-serif"/>
          <w:b w:val="false"/>
          <w:color w:val="000000"/>
          <w:sz w:val="20"/>
        </w:rPr>
        <w:t xml:space="preserve">Exhibit 99.1                         </w:t>
      </w:r>
    </w:p>
    <w:p>
      <w:pPr>
        <w:pStyle w:val="TextBody"/>
        <w:bidi w:val="0"/>
        <w:spacing w:lineRule="auto" w:line="386" w:before="0" w:after="0"/>
        <w:jc w:val="center"/>
        <w:rPr/>
      </w:pPr>
      <w:r>
        <w:rPr/>
        <w:drawing>
          <wp:inline distT="0" distB="0" distL="0" distR="0">
            <wp:extent cx="1962150" cy="6953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962150" cy="69532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6"/>
        </w:rPr>
      </w:pPr>
      <w:r>
        <w:rPr>
          <w:rFonts w:ascii="Times New Roman;sans-serif" w:hAnsi="Times New Roman;sans-serif"/>
          <w:b/>
          <w:color w:val="000000"/>
          <w:sz w:val="26"/>
        </w:rPr>
        <w:t>Priority Technology Holdings, Inc. Announces Planned Retirement of Co-Founder John V. Priore and Appointment of Clayton Main to Board of Directors</w:t>
      </w:r>
    </w:p>
    <w:p>
      <w:pPr>
        <w:pStyle w:val="TextBody"/>
        <w:bidi w:val="0"/>
        <w:spacing w:lineRule="auto" w:line="288" w:before="0" w:after="0"/>
        <w:jc w:val="both"/>
        <w:rPr/>
      </w:pPr>
      <w:r>
        <w:rPr>
          <w:rFonts w:ascii="Times New Roman;sans-serif" w:hAnsi="Times New Roman;sans-serif"/>
          <w:b w:val="false"/>
          <w:color w:val="000000"/>
          <w:sz w:val="22"/>
        </w:rPr>
        <w:t xml:space="preserve">ALPHARETTA, GA – February 27, 2025 -- Priority Technology Holdings, Inc. (NASDAQ: PRTH) ("Priority" or the "Company"), the payments and banking solution that streamlines collecting, storing, lending and sending money to unlock revenue opportunities, </w:t>
      </w:r>
      <w:r>
        <w:rPr>
          <w:rFonts w:ascii="Times New Roman;sans-serif" w:hAnsi="Times New Roman;sans-serif"/>
          <w:b w:val="false"/>
          <w:color w:val="000000"/>
          <w:sz w:val="22"/>
          <w:shd w:fill="FEFEFE" w:val="clear"/>
        </w:rPr>
        <w:t>today announced the planned retirement of co-founder John V. Priore from the board of directors effective April 1, 2025. Clayton Main has been appointed to the board of directors effective April 1, 2025</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John Priore was one of the original founders of Priority in 2005. “It has been an honor to be a part of the evolution of Priority from its days as a young startup to the fast growing public company,” he said. “While I look forward to my future, I am very excited to watch all that Priority can continue to accomplish.”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2"/>
        </w:rPr>
        <w:t xml:space="preserve">Building Priority with John has been an unbelievable journey. While he’s stepping away from his board duties, I have no doubt that John will continue to be a great advocate for Priority” said Tom Priore, Chairman and CEO.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Clayton Main is an experienced executive with more than 20 years of experience in leveraged financing and structured equity investments. He most recently served as a partner and Investment Committee member at Bregal Sagemount. Main began his career at Goldman, Sachs &amp; Co. where he was a founding member of the Goldman Sachs Specialty Lending Group. He graduated Magna Cum Laude from Southern Methodist University. Main will serve on the board’s audit, compensation and nominating and corporate governance committees.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2"/>
        </w:rPr>
        <w:t>As one of its initial lenders,” Main said, “I have followed Priority closely and admired its strategy and execution and am thrilled to become part of such a dynamic team. I’m looking forward to bringing my experience and relationships to help Priority achieve its mission.”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2"/>
        </w:rPr>
        <w:t xml:space="preserve">Clayton’s experience in leveraged financing and structured equity investing comes at a great time for Priority as we continue to optimize our capital structure and pursue growth opportunities into new enterprise payment verticals,” Tom Priore said. “We are excited to have Clayton join our team and are eager for him to apply his talents and deep relationships in vertical SaaS markets to help accelerate adoption of our unified commerce vision.”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About Priority</w:t>
      </w:r>
    </w:p>
    <w:p>
      <w:pPr>
        <w:pStyle w:val="TextBody"/>
        <w:bidi w:val="0"/>
        <w:spacing w:lineRule="auto" w:line="288" w:before="0" w:after="0"/>
        <w:jc w:val="both"/>
        <w:rPr/>
      </w:pPr>
      <w:r>
        <w:rPr>
          <w:rFonts w:ascii="Times New Roman;sans-serif" w:hAnsi="Times New Roman;sans-serif"/>
          <w:b w:val="false"/>
          <w:color w:val="000000"/>
          <w:sz w:val="22"/>
        </w:rPr>
        <w:t xml:space="preserve">Priority is the payments and banking solution that enables businesses to collect, store, lend and send funds through a unified commerce engine. Our platform combines payables, merchant services, and banking and treasury solutions so leaders can streamline financial operations efficiently — and our innovative industry experts help businesses navigate and build momentum on the path to growth. With the Priority Commerce Engine, leaders can accelerate cash flow, optimize working capital, reduce unnecessary costs, and unlock new revenue opportunities. For more information, visit </w:t>
      </w:r>
      <w:r>
        <w:rPr>
          <w:rFonts w:ascii="Times New Roman;sans-serif" w:hAnsi="Times New Roman;sans-serif"/>
          <w:b w:val="false"/>
          <w:color w:val="0000FF"/>
          <w:sz w:val="22"/>
          <w:u w:val="single"/>
        </w:rPr>
        <w:t>prioritycommerce.com</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Investor inquiries: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Chris Kettmann</w:t>
      </w:r>
    </w:p>
    <w:p>
      <w:pPr>
        <w:pStyle w:val="TextBody"/>
        <w:bidi w:val="0"/>
        <w:spacing w:lineRule="auto" w:line="288" w:before="0" w:after="0"/>
        <w:jc w:val="left"/>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chris.kettmann@dentonsglobaladvisors.com</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(773) 497-7575</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Media inquiries: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Alison Jones</w:t>
      </w:r>
    </w:p>
    <w:p>
      <w:pPr>
        <w:pStyle w:val="TextBody"/>
        <w:bidi w:val="0"/>
        <w:spacing w:lineRule="auto" w:line="288"/>
        <w:jc w:val="left"/>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alison.jones@prth.com</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1199</Words>
  <Characters>6661</Characters>
  <CharactersWithSpaces>7951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