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730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73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099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Kumar Rajiv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09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12,500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46,812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8,333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55,145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12,500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67,645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8,333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8,333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-2446655</wp:posOffset>
            </wp:positionV>
            <wp:extent cx="29210" cy="2451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1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5, 2022, the Reporting Person was granted 50,000 restricted stock units. 50,000 vest subject to the Reporting Person's continued service as an employee of the Issuer as follows: 12,500 on January 5, 2023; 12,500 on January 5, 2024;12,500 on January 5, 2025; and 12,500 on January 5, 2026.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5, 2022, the Reporting Person was granted 25,000 restricted stock units. 25,000 vest subject to the Reporting Person's continued service as an employee of the Issuer as follows: 8,334 on January 5, 2024; 8,333 on January 5, 2025; and 8,333 on January 5, 2026.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5, 2024, the Reporting Person was granted 50,000 restricted stock units. 50,000 vest subject to the Reporting Person's continued service as an employee of the Issuer as follows: 12,500 on January 5, 2025; 12,500 on January 5, 2026; 12,500 on January 5, 2027; and 12,500 on January 5, 2028.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Rajiv Kumar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01/07/2026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09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9823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2026-01-07T14:41:21Z</dcterms:created>
  <dcterms:modified xsi:type="dcterms:W3CDTF">2026-01-07T14:41:21Z</dcterms:modified>
</cp:coreProperties>
</file>