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80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8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BRADLEY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20,513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264,133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20,513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20,513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21, 2025, the Reporting Person was granted 61,539 restricted stock units which vest as follows: [20,513 on February 18, 2026, 20,513 on February 18, 2027, and 20,513 on February 18, 2028] subject to the Reporting Person's continued employment with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02/20/2026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597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2026-02-20T15:53:36Z</dcterms:created>
  <dcterms:modified xsi:type="dcterms:W3CDTF">2026-02-20T15:53:36Z</dcterms:modified>
</cp:coreProperties>
</file>