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0279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27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Favilla Christina M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 w:line="27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PRIORITY TECHNOLOGY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Priority Technology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PRTH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4"/>
        <w:spacing w:after="0"/>
        <w:tabs>
          <w:tab w:leader="none" w:pos="51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540"/>
            <w:col w:w="3620" w:space="20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ind w:left="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 GA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4,613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69,529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4,613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13,837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25, 2022, the Reporting Person was granted 18,450 restricted stock units which vest 25% on April 1, 2022, 25% on July 1, 2022, 25% on October 1, 2022, and 25% on January 1, 2023 subject to the Reporting Person's continued service as a director of the Issuer.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Christina M Favilla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9690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Bradley J. Miller,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-635</wp:posOffset>
            </wp:positionV>
            <wp:extent cx="13246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3041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04/05/2022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-635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04/05/2022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-635</wp:posOffset>
            </wp:positionV>
            <wp:extent cx="48895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1711487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2022-04-05T15:54:17Z</dcterms:created>
  <dcterms:modified xsi:type="dcterms:W3CDTF">2022-04-05T15:54:17Z</dcterms:modified>
</cp:coreProperties>
</file>