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0001747632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Priority Technology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001-37872</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2001 Westside Parkway, Suite 155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Alpharetta</w:t>
      </w:r>
    </w:p>
    <w:p>
      <w:pPr>
        <w:spacing w:after="0" w:line="230" w:lineRule="auto"/>
        <w:rPr>
          <w:sz w:val="20"/>
          <w:szCs w:val="20"/>
          <w:color w:val="auto"/>
        </w:rPr>
      </w:pPr>
      <w:r>
        <w:rPr>
          <w:rFonts w:ascii="Arial" w:cs="Arial" w:eastAsia="Arial" w:hAnsi="Arial"/>
          <w:sz w:val="22"/>
          <w:szCs w:val="22"/>
          <w:color w:val="auto"/>
        </w:rPr>
        <w:t>GEORGIA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30004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800-935-5961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Sean Kiewiet</w:t>
      </w:r>
    </w:p>
    <w:p>
      <w:pPr>
        <w:spacing w:after="0" w:line="44" w:lineRule="exact"/>
        <w:rPr>
          <w:sz w:val="24"/>
          <w:szCs w:val="24"/>
          <w:color w:val="auto"/>
        </w:rPr>
      </w:pPr>
    </w:p>
    <w:p>
      <w:pPr>
        <w:sectPr>
          <w:pgSz w:w="11900" w:h="16838" w:orient="portrait"/>
          <w:cols w:equalWidth="0" w:num="2">
            <w:col w:w="6420" w:space="720"/>
            <w:col w:w="41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22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1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2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100" w:type="dxa"/>
            <w:vAlign w:val="bottom"/>
          </w:tcPr>
          <w:p>
            <w:pPr>
              <w:jc w:val="center"/>
              <w:ind w:right="3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22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100" w:type="dxa"/>
            <w:vAlign w:val="bottom"/>
          </w:tcPr>
          <w:p>
            <w:pPr>
              <w:spacing w:after="0"/>
              <w:rPr>
                <w:sz w:val="24"/>
                <w:szCs w:val="24"/>
                <w:color w:val="auto"/>
              </w:rPr>
            </w:pPr>
          </w:p>
        </w:tc>
        <w:tc>
          <w:tcPr>
            <w:tcW w:w="1220" w:type="dxa"/>
            <w:vAlign w:val="bottom"/>
          </w:tcPr>
          <w:p>
            <w:pPr>
              <w:jc w:val="center"/>
              <w:ind w:left="12"/>
              <w:spacing w:after="0"/>
              <w:rPr>
                <w:sz w:val="20"/>
                <w:szCs w:val="20"/>
                <w:color w:val="auto"/>
              </w:rPr>
            </w:pPr>
            <w:r>
              <w:rPr>
                <w:rFonts w:ascii="Arial" w:cs="Arial" w:eastAsia="Arial" w:hAnsi="Arial"/>
                <w:sz w:val="22"/>
                <w:szCs w:val="22"/>
                <w:b w:val="1"/>
                <w:bCs w:val="1"/>
                <w:color w:val="auto"/>
                <w:w w:val="85"/>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8" w:lineRule="exact"/>
        <w:rPr>
          <w:sz w:val="24"/>
          <w:szCs w:val="24"/>
          <w:color w:val="auto"/>
        </w:rPr>
      </w:pPr>
    </w:p>
    <w:p>
      <w:pPr>
        <w:ind w:right="480"/>
        <w:spacing w:after="0" w:line="181" w:lineRule="auto"/>
        <w:rPr>
          <w:sz w:val="20"/>
          <w:szCs w:val="20"/>
          <w:color w:val="auto"/>
        </w:rPr>
      </w:pPr>
      <w:r>
        <w:rPr>
          <w:rFonts w:ascii="Arial" w:cs="Arial" w:eastAsia="Arial" w:hAnsi="Arial"/>
          <w:sz w:val="19"/>
          <w:szCs w:val="19"/>
          <w:color w:val="auto"/>
        </w:rPr>
        <w:t xml:space="preserve">390 Madison Avenue </w:t>
      </w:r>
      <w:r>
        <w:rPr>
          <w:rFonts w:ascii="Arial" w:cs="Arial" w:eastAsia="Arial" w:hAnsi="Arial"/>
          <w:sz w:val="37"/>
          <w:szCs w:val="37"/>
          <w:color w:val="auto"/>
          <w:vertAlign w:val="subscript"/>
        </w:rPr>
        <w:t>200000</w:t>
      </w:r>
      <w:r>
        <w:rPr>
          <w:rFonts w:ascii="Arial" w:cs="Arial" w:eastAsia="Arial" w:hAnsi="Arial"/>
          <w:sz w:val="19"/>
          <w:szCs w:val="19"/>
          <w:color w:val="auto"/>
        </w:rPr>
        <w:t xml:space="preserve"> 6th Floor</w:t>
      </w:r>
    </w:p>
    <w:p>
      <w:pPr>
        <w:spacing w:after="0"/>
        <w:rPr>
          <w:sz w:val="20"/>
          <w:szCs w:val="20"/>
          <w:color w:val="auto"/>
        </w:rPr>
      </w:pPr>
      <w:r>
        <w:rPr>
          <w:rFonts w:ascii="Arial" w:cs="Arial" w:eastAsia="Arial" w:hAnsi="Arial"/>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20" w:type="dxa"/>
            <w:vAlign w:val="bottom"/>
          </w:tcPr>
          <w:p>
            <w:pPr>
              <w:spacing w:after="0"/>
              <w:rPr>
                <w:sz w:val="20"/>
                <w:szCs w:val="20"/>
                <w:color w:val="auto"/>
              </w:rPr>
            </w:pPr>
            <w:r>
              <w:rPr>
                <w:rFonts w:ascii="Arial" w:cs="Arial" w:eastAsia="Arial" w:hAnsi="Arial"/>
                <w:sz w:val="22"/>
                <w:szCs w:val="22"/>
                <w:color w:val="auto"/>
              </w:rPr>
              <w:t>710000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76496121</w:t>
            </w:r>
          </w:p>
        </w:tc>
        <w:tc>
          <w:tcPr>
            <w:tcW w:w="1280" w:type="dxa"/>
            <w:vAlign w:val="bottom"/>
          </w:tcPr>
          <w:p>
            <w:pPr>
              <w:ind w:left="40"/>
              <w:spacing w:after="0"/>
              <w:rPr>
                <w:sz w:val="20"/>
                <w:szCs w:val="20"/>
                <w:color w:val="auto"/>
              </w:rPr>
            </w:pPr>
            <w:r>
              <w:rPr>
                <w:rFonts w:ascii="Arial" w:cs="Arial" w:eastAsia="Arial" w:hAnsi="Arial"/>
                <w:sz w:val="22"/>
                <w:szCs w:val="22"/>
                <w:color w:val="auto"/>
              </w:rPr>
              <w:t>05/17/2023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1" w:lineRule="exact"/>
        <w:rPr>
          <w:sz w:val="24"/>
          <w:szCs w:val="24"/>
          <w:color w:val="auto"/>
        </w:rPr>
      </w:pPr>
    </w:p>
    <w:p>
      <w:pPr>
        <w:sectPr>
          <w:pgSz w:w="11900" w:h="16838" w:orient="portrait"/>
          <w:cols w:equalWidth="0" w:num="3">
            <w:col w:w="2220" w:space="300"/>
            <w:col w:w="3480" w:space="80"/>
            <w:col w:w="51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jc w:val="center"/>
        <w:ind w:left="4580"/>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ind w:left="4580"/>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jc w:val="center"/>
        <w:ind w:right="4980"/>
        <w:spacing w:after="0"/>
        <w:rPr>
          <w:sz w:val="20"/>
          <w:szCs w:val="20"/>
          <w:color w:val="auto"/>
        </w:rPr>
      </w:pPr>
      <w:r>
        <w:rPr>
          <w:rFonts w:ascii="Arial" w:cs="Arial" w:eastAsia="Arial" w:hAnsi="Arial"/>
          <w:sz w:val="22"/>
          <w:szCs w:val="22"/>
          <w:b w:val="1"/>
          <w:bCs w:val="1"/>
          <w:color w:val="auto"/>
        </w:rPr>
        <w:t>a</w:t>
      </w:r>
    </w:p>
    <w:p>
      <w:pPr>
        <w:spacing w:after="0" w:line="15" w:lineRule="exact"/>
        <w:rPr>
          <w:sz w:val="20"/>
          <w:szCs w:val="20"/>
          <w:color w:val="auto"/>
        </w:rPr>
      </w:pPr>
    </w:p>
    <w:p>
      <w:pPr>
        <w:jc w:val="center"/>
        <w:ind w:right="4980"/>
        <w:spacing w:after="0"/>
        <w:rPr>
          <w:sz w:val="20"/>
          <w:szCs w:val="20"/>
          <w:color w:val="auto"/>
        </w:rPr>
      </w:pPr>
      <w:r>
        <w:rPr>
          <w:rFonts w:ascii="Arial" w:cs="Arial" w:eastAsia="Arial" w:hAnsi="Arial"/>
          <w:sz w:val="19"/>
          <w:szCs w:val="19"/>
          <w:b w:val="1"/>
          <w:bCs w:val="1"/>
          <w:color w:val="auto"/>
        </w:rPr>
        <w:t>Gift?</w:t>
      </w:r>
    </w:p>
    <w:p>
      <w:pPr>
        <w:spacing w:after="0" w:line="61" w:lineRule="exact"/>
        <w:rPr>
          <w:sz w:val="20"/>
          <w:szCs w:val="20"/>
          <w:color w:val="auto"/>
        </w:rPr>
      </w:pPr>
    </w:p>
    <w:p>
      <w:pPr>
        <w:sectPr>
          <w:pgSz w:w="11900" w:h="16838" w:orient="portrait"/>
          <w:cols w:equalWidth="0" w:num="2">
            <w:col w:w="5440" w:space="340"/>
            <w:col w:w="546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22"/>
          <w:szCs w:val="22"/>
          <w:color w:val="auto"/>
        </w:rPr>
        <w:t>Founder shares</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exchanged for post</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merger shares</w:t>
      </w:r>
    </w:p>
    <w:p>
      <w:pPr>
        <w:spacing w:after="0"/>
        <w:rPr>
          <w:sz w:val="20"/>
          <w:szCs w:val="20"/>
          <w:color w:val="auto"/>
        </w:rPr>
      </w:pPr>
      <w:r>
        <w:rPr>
          <w:rFonts w:ascii="Arial" w:cs="Arial" w:eastAsia="Arial" w:hAnsi="Arial"/>
          <w:sz w:val="21"/>
          <w:szCs w:val="21"/>
          <w:color w:val="auto"/>
        </w:rPr>
        <w:t>07/31/2018 from the Priority</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Holdings LLC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200000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07/31/2018 N/A</w:t>
      </w:r>
    </w:p>
    <w:p>
      <w:pPr>
        <w:spacing w:after="0" w:line="298" w:lineRule="exact"/>
        <w:rPr>
          <w:sz w:val="20"/>
          <w:szCs w:val="20"/>
          <w:color w:val="auto"/>
        </w:rPr>
      </w:pPr>
    </w:p>
    <w:p>
      <w:pPr>
        <w:sectPr>
          <w:pgSz w:w="11900" w:h="16838" w:orient="portrait"/>
          <w:cols w:equalWidth="0" w:num="5">
            <w:col w:w="860" w:space="680"/>
            <w:col w:w="2680" w:space="60"/>
            <w:col w:w="2220" w:space="720"/>
            <w:col w:w="660" w:space="660"/>
            <w:col w:w="2700"/>
          </w:cols>
          <w:pgMar w:left="320" w:top="111" w:right="339" w:bottom="1440" w:gutter="0" w:footer="0" w:header="0"/>
          <w:type w:val="continuous"/>
        </w:sectPr>
      </w:pPr>
    </w:p>
    <w:p>
      <w:pPr>
        <w:ind w:left="2580" w:right="7220" w:hanging="6"/>
        <w:spacing w:after="0" w:line="293" w:lineRule="auto"/>
        <w:tabs>
          <w:tab w:leader="none" w:pos="2826" w:val="left"/>
        </w:tabs>
        <w:numPr>
          <w:ilvl w:val="1"/>
          <w:numId w:val="1"/>
        </w:numPr>
        <w:rPr>
          <w:rFonts w:ascii="Arial" w:cs="Arial" w:eastAsia="Arial" w:hAnsi="Arial"/>
          <w:sz w:val="19"/>
          <w:szCs w:val="19"/>
          <w:color w:val="auto"/>
        </w:rPr>
      </w:pPr>
      <w:r>
        <w:rPr>
          <w:rFonts w:ascii="Arial" w:cs="Arial" w:eastAsia="Arial" w:hAnsi="Arial"/>
          <w:sz w:val="19"/>
          <w:szCs w:val="19"/>
          <w:color w:val="auto"/>
        </w:rPr>
        <w:t>I Acqusitions, Inc.</w:t>
      </w:r>
    </w:p>
    <w:p>
      <w:pPr>
        <w:spacing w:after="0" w:line="198" w:lineRule="exact"/>
        <w:rPr>
          <w:rFonts w:ascii="Arial" w:cs="Arial" w:eastAsia="Arial" w:hAnsi="Arial"/>
          <w:sz w:val="19"/>
          <w:szCs w:val="19"/>
          <w:color w:val="auto"/>
        </w:rPr>
      </w:pPr>
    </w:p>
    <w:p>
      <w:pPr>
        <w:jc w:val="both"/>
        <w:spacing w:after="0" w:line="239" w:lineRule="auto"/>
        <w:rPr>
          <w:rFonts w:ascii="Arial" w:cs="Arial" w:eastAsia="Arial" w:hAnsi="Arial"/>
          <w:sz w:val="19"/>
          <w:szCs w:val="19"/>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If the securities were purchased and full payment therefor was not made in cash at the time of purchase, explain in the table or</w:t>
      </w:r>
      <w:r>
        <w:rPr>
          <w:rFonts w:ascii="Arial" w:cs="Arial" w:eastAsia="Arial" w:hAnsi="Arial"/>
          <w:sz w:val="22"/>
          <w:szCs w:val="22"/>
          <w:b w:val="1"/>
          <w:bCs w:val="1"/>
          <w:color w:val="auto"/>
        </w:rPr>
        <w:t xml:space="preserve"> </w:t>
      </w:r>
      <w:r>
        <w:rPr>
          <w:rFonts w:ascii="Arial" w:cs="Arial" w:eastAsia="Arial" w:hAnsi="Arial"/>
          <w:sz w:val="22"/>
          <w:szCs w:val="22"/>
          <w:color w:val="auto"/>
        </w:rPr>
        <w:t>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Remarks</w:t>
            </w:r>
          </w:p>
        </w:tc>
        <w:tc>
          <w:tcPr>
            <w:tcW w:w="1480" w:type="dxa"/>
            <w:vAlign w:val="bottom"/>
          </w:tcPr>
          <w:p>
            <w:pPr>
              <w:spacing w:after="0"/>
              <w:rPr>
                <w:sz w:val="23"/>
                <w:szCs w:val="23"/>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22"/>
                <w:szCs w:val="22"/>
                <w:color w:val="auto"/>
              </w:rPr>
              <w:t>Date of Notice</w:t>
            </w:r>
          </w:p>
        </w:tc>
        <w:tc>
          <w:tcPr>
            <w:tcW w:w="1480" w:type="dxa"/>
            <w:vAlign w:val="bottom"/>
          </w:tcPr>
          <w:p>
            <w:pPr>
              <w:jc w:val="right"/>
              <w:spacing w:after="0"/>
              <w:rPr>
                <w:sz w:val="20"/>
                <w:szCs w:val="20"/>
                <w:color w:val="auto"/>
              </w:rPr>
            </w:pPr>
            <w:r>
              <w:rPr>
                <w:rFonts w:ascii="Arial" w:cs="Arial" w:eastAsia="Arial" w:hAnsi="Arial"/>
                <w:sz w:val="22"/>
                <w:szCs w:val="22"/>
                <w:color w:val="auto"/>
              </w:rPr>
              <w:t>05/17/2023</w:t>
            </w:r>
          </w:p>
        </w:tc>
      </w:tr>
      <w:tr>
        <w:trPr>
          <w:trHeight w:val="297"/>
        </w:trPr>
        <w:tc>
          <w:tcPr>
            <w:tcW w:w="1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J.P. Morgan Securities LLC as agent and attorney-in-fact for Sean Kiewiet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M"/>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2023-05-17T17:20:10Z</dcterms:created>
  <dcterms:modified xsi:type="dcterms:W3CDTF">2023-05-17T17:20:10Z</dcterms:modified>
</cp:coreProperties>
</file>