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No.___)*</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M I Acquisitions,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55304A203**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September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100" w:firstLine="70"/>
        <w:spacing w:after="0" w:line="253" w:lineRule="exact"/>
        <w:tabs>
          <w:tab w:leader="none" w:pos="103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left="660"/>
        <w:spacing w:after="0"/>
        <w:rPr>
          <w:sz w:val="20"/>
          <w:szCs w:val="20"/>
          <w:color w:val="auto"/>
        </w:rPr>
      </w:pPr>
      <w:r>
        <w:rPr>
          <w:rFonts w:ascii="Arial" w:cs="Arial" w:eastAsia="Arial" w:hAnsi="Arial"/>
          <w:sz w:val="19"/>
          <w:szCs w:val="19"/>
          <w:color w:val="auto"/>
        </w:rPr>
        <w:t>** The Common Stock has no CUSIP number. The CUSIP number for the units which include Common Stock is 55304A203.</w:t>
      </w:r>
    </w:p>
    <w:p>
      <w:pPr>
        <w:spacing w:after="0" w:line="200"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312"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3360" w:type="dxa"/>
            <w:vAlign w:val="bottom"/>
          </w:tcPr>
          <w:p>
            <w:pPr>
              <w:spacing w:after="0"/>
              <w:rPr>
                <w:sz w:val="20"/>
                <w:szCs w:val="20"/>
                <w:color w:val="auto"/>
              </w:rPr>
            </w:pPr>
            <w:r>
              <w:rPr>
                <w:rFonts w:ascii="Arial" w:cs="Arial" w:eastAsia="Arial" w:hAnsi="Arial"/>
                <w:sz w:val="22"/>
                <w:szCs w:val="22"/>
                <w:b w:val="1"/>
                <w:bCs w:val="1"/>
                <w:color w:val="auto"/>
              </w:rPr>
              <w:t>CUSIP No. 55304A203</w:t>
            </w:r>
          </w:p>
        </w:tc>
        <w:tc>
          <w:tcPr>
            <w:tcW w:w="400" w:type="dxa"/>
            <w:vAlign w:val="bottom"/>
          </w:tcPr>
          <w:p>
            <w:pPr>
              <w:spacing w:after="0"/>
              <w:rPr>
                <w:sz w:val="24"/>
                <w:szCs w:val="24"/>
                <w:color w:val="auto"/>
              </w:rPr>
            </w:pPr>
          </w:p>
        </w:tc>
        <w:tc>
          <w:tcPr>
            <w:tcW w:w="5820" w:type="dxa"/>
            <w:vAlign w:val="bottom"/>
          </w:tcPr>
          <w:p>
            <w:pPr>
              <w:ind w:left="1760"/>
              <w:spacing w:after="0"/>
              <w:rPr>
                <w:sz w:val="20"/>
                <w:szCs w:val="20"/>
                <w:color w:val="auto"/>
              </w:rPr>
            </w:pPr>
            <w:r>
              <w:rPr>
                <w:rFonts w:ascii="Arial" w:cs="Arial" w:eastAsia="Arial" w:hAnsi="Arial"/>
                <w:sz w:val="22"/>
                <w:szCs w:val="22"/>
                <w:b w:val="1"/>
                <w:bCs w:val="1"/>
                <w:color w:val="auto"/>
              </w:rPr>
              <w:t>13G</w:t>
            </w:r>
          </w:p>
        </w:tc>
        <w:tc>
          <w:tcPr>
            <w:tcW w:w="1840" w:type="dxa"/>
            <w:vAlign w:val="bottom"/>
          </w:tcPr>
          <w:p>
            <w:pPr>
              <w:ind w:left="260"/>
              <w:spacing w:after="0"/>
              <w:rPr>
                <w:sz w:val="20"/>
                <w:szCs w:val="20"/>
                <w:color w:val="auto"/>
              </w:rPr>
            </w:pPr>
            <w:r>
              <w:rPr>
                <w:rFonts w:ascii="Arial" w:cs="Arial" w:eastAsia="Arial" w:hAnsi="Arial"/>
                <w:sz w:val="22"/>
                <w:szCs w:val="22"/>
                <w:b w:val="1"/>
                <w:bCs w:val="1"/>
                <w:color w:val="auto"/>
                <w:w w:val="82"/>
              </w:rPr>
              <w:t>Page 2 of 8 Pages</w:t>
            </w:r>
          </w:p>
        </w:tc>
        <w:tc>
          <w:tcPr>
            <w:tcW w:w="0" w:type="dxa"/>
            <w:vAlign w:val="bottom"/>
          </w:tcPr>
          <w:p>
            <w:pPr>
              <w:spacing w:after="0"/>
              <w:rPr>
                <w:sz w:val="1"/>
                <w:szCs w:val="1"/>
                <w:color w:val="auto"/>
              </w:rPr>
            </w:pPr>
          </w:p>
        </w:tc>
      </w:tr>
      <w:tr>
        <w:trPr>
          <w:trHeight w:val="328"/>
        </w:trPr>
        <w:tc>
          <w:tcPr>
            <w:tcW w:w="33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Hudson Bay Capital Management LP</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6220" w:type="dxa"/>
            <w:vAlign w:val="bottom"/>
            <w:tcBorders>
              <w:bottom w:val="single" w:sz="8" w:color="auto"/>
            </w:tcBorders>
            <w:gridSpan w:val="2"/>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840" w:type="dxa"/>
            <w:vAlign w:val="bottom"/>
            <w:tcBorders>
              <w:right w:val="single" w:sz="8" w:color="auto"/>
            </w:tcBorders>
            <w:vMerge w:val="restart"/>
          </w:tcPr>
          <w:p>
            <w:pPr>
              <w:ind w:left="2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3360" w:type="dxa"/>
            <w:vAlign w:val="bottom"/>
            <w:tcBorders>
              <w:left w:val="single" w:sz="8" w:color="auto"/>
              <w:righ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5820" w:type="dxa"/>
            <w:vAlign w:val="bottom"/>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ind w:left="2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360" w:type="dxa"/>
            <w:vAlign w:val="bottom"/>
            <w:tcBorders>
              <w:left w:val="single" w:sz="8" w:color="auto"/>
              <w:right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6220" w:type="dxa"/>
            <w:vAlign w:val="bottom"/>
            <w:tcBorders>
              <w:bottom w:val="single" w:sz="8" w:color="auto"/>
            </w:tcBorders>
            <w:gridSpan w:val="2"/>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State of Delaware</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ind w:left="120"/>
              <w:spacing w:after="0" w:line="249" w:lineRule="exact"/>
              <w:rPr>
                <w:sz w:val="20"/>
                <w:szCs w:val="20"/>
                <w:color w:val="auto"/>
              </w:rPr>
            </w:pPr>
            <w:r>
              <w:rPr>
                <w:rFonts w:ascii="Arial" w:cs="Arial" w:eastAsia="Arial" w:hAnsi="Arial"/>
                <w:sz w:val="28"/>
                <w:szCs w:val="28"/>
                <w:b w:val="1"/>
                <w:bCs w:val="1"/>
                <w:color w:val="auto"/>
              </w:rPr>
              <w:t>5</w:t>
            </w:r>
          </w:p>
        </w:tc>
        <w:tc>
          <w:tcPr>
            <w:tcW w:w="58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63" w:lineRule="exact"/>
              <w:rPr>
                <w:sz w:val="20"/>
                <w:szCs w:val="20"/>
                <w:color w:val="auto"/>
              </w:rPr>
            </w:pPr>
            <w:r>
              <w:rPr>
                <w:rFonts w:ascii="Arial" w:cs="Arial" w:eastAsia="Arial" w:hAnsi="Arial"/>
                <w:sz w:val="29"/>
                <w:szCs w:val="29"/>
                <w:b w:val="1"/>
                <w:bCs w:val="1"/>
                <w:color w:val="auto"/>
              </w:rPr>
              <w:t>6</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36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400" w:type="dxa"/>
            <w:vAlign w:val="bottom"/>
            <w:tcBorders>
              <w:right w:val="single" w:sz="8" w:color="auto"/>
            </w:tcBorders>
            <w:vMerge w:val="continue"/>
          </w:tcPr>
          <w:p>
            <w:pPr>
              <w:spacing w:after="0"/>
              <w:rPr>
                <w:sz w:val="13"/>
                <w:szCs w:val="13"/>
                <w:color w:val="auto"/>
              </w:rPr>
            </w:pPr>
          </w:p>
        </w:tc>
        <w:tc>
          <w:tcPr>
            <w:tcW w:w="5820" w:type="dxa"/>
            <w:vAlign w:val="bottom"/>
            <w:vMerge w:val="continue"/>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750,000 shares of Common Stock</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OWNED BY</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7</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400" w:type="dxa"/>
            <w:vAlign w:val="bottom"/>
            <w:tcBorders>
              <w:right w:val="single" w:sz="8" w:color="auto"/>
            </w:tcBorders>
          </w:tcPr>
          <w:p>
            <w:pPr>
              <w:spacing w:after="0"/>
              <w:rPr>
                <w:sz w:val="22"/>
                <w:szCs w:val="22"/>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8</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60" w:type="dxa"/>
            <w:vAlign w:val="bottom"/>
            <w:tcBorders>
              <w:left w:val="single" w:sz="8" w:color="auto"/>
              <w:right w:val="single" w:sz="8" w:color="auto"/>
            </w:tcBorders>
          </w:tcPr>
          <w:p>
            <w:pPr>
              <w:spacing w:after="0"/>
              <w:rPr>
                <w:sz w:val="12"/>
                <w:szCs w:val="12"/>
                <w:color w:val="auto"/>
              </w:rPr>
            </w:pP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750,000 shares of Common Stock</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bottom w:val="single" w:sz="8" w:color="auto"/>
              <w:right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750,000 shares of Common Stock</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w:t>
            </w:r>
          </w:p>
        </w:tc>
        <w:tc>
          <w:tcPr>
            <w:tcW w:w="1840" w:type="dxa"/>
            <w:vAlign w:val="bottom"/>
            <w:tcBorders>
              <w:right w:val="single" w:sz="8" w:color="auto"/>
            </w:tcBorders>
            <w:vMerge w:val="restart"/>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7"/>
        </w:trPr>
        <w:tc>
          <w:tcPr>
            <w:tcW w:w="3360" w:type="dxa"/>
            <w:vAlign w:val="bottom"/>
            <w:tcBorders>
              <w:left w:val="single" w:sz="8" w:color="auto"/>
              <w:right w:val="single" w:sz="8" w:color="auto"/>
            </w:tcBorders>
            <w:vMerge w:val="continue"/>
          </w:tcPr>
          <w:p>
            <w:pPr>
              <w:spacing w:after="0"/>
              <w:rPr>
                <w:sz w:val="17"/>
                <w:szCs w:val="17"/>
                <w:color w:val="auto"/>
              </w:rPr>
            </w:pP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SHARES</w:t>
            </w:r>
          </w:p>
        </w:tc>
        <w:tc>
          <w:tcPr>
            <w:tcW w:w="18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360" w:type="dxa"/>
            <w:vAlign w:val="bottom"/>
            <w:tcBorders>
              <w:left w:val="single" w:sz="8" w:color="auto"/>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10.96%</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PN</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3360" w:type="dxa"/>
            <w:vAlign w:val="bottom"/>
          </w:tcPr>
          <w:p>
            <w:pPr>
              <w:spacing w:after="0"/>
              <w:rPr>
                <w:sz w:val="20"/>
                <w:szCs w:val="20"/>
                <w:color w:val="auto"/>
              </w:rPr>
            </w:pPr>
            <w:r>
              <w:rPr>
                <w:rFonts w:ascii="Arial" w:cs="Arial" w:eastAsia="Arial" w:hAnsi="Arial"/>
                <w:sz w:val="22"/>
                <w:szCs w:val="22"/>
                <w:b w:val="1"/>
                <w:bCs w:val="1"/>
                <w:color w:val="auto"/>
              </w:rPr>
              <w:t>CUSIP No. 55304A203</w:t>
            </w:r>
          </w:p>
        </w:tc>
        <w:tc>
          <w:tcPr>
            <w:tcW w:w="400" w:type="dxa"/>
            <w:vAlign w:val="bottom"/>
          </w:tcPr>
          <w:p>
            <w:pPr>
              <w:spacing w:after="0"/>
              <w:rPr>
                <w:sz w:val="24"/>
                <w:szCs w:val="24"/>
                <w:color w:val="auto"/>
              </w:rPr>
            </w:pPr>
          </w:p>
        </w:tc>
        <w:tc>
          <w:tcPr>
            <w:tcW w:w="5820" w:type="dxa"/>
            <w:vAlign w:val="bottom"/>
          </w:tcPr>
          <w:p>
            <w:pPr>
              <w:ind w:left="1760"/>
              <w:spacing w:after="0"/>
              <w:rPr>
                <w:sz w:val="20"/>
                <w:szCs w:val="20"/>
                <w:color w:val="auto"/>
              </w:rPr>
            </w:pPr>
            <w:r>
              <w:rPr>
                <w:rFonts w:ascii="Arial" w:cs="Arial" w:eastAsia="Arial" w:hAnsi="Arial"/>
                <w:sz w:val="22"/>
                <w:szCs w:val="22"/>
                <w:b w:val="1"/>
                <w:bCs w:val="1"/>
                <w:color w:val="auto"/>
              </w:rPr>
              <w:t>13G</w:t>
            </w:r>
          </w:p>
        </w:tc>
        <w:tc>
          <w:tcPr>
            <w:tcW w:w="1840" w:type="dxa"/>
            <w:vAlign w:val="bottom"/>
          </w:tcPr>
          <w:p>
            <w:pPr>
              <w:ind w:left="260"/>
              <w:spacing w:after="0"/>
              <w:rPr>
                <w:sz w:val="20"/>
                <w:szCs w:val="20"/>
                <w:color w:val="auto"/>
              </w:rPr>
            </w:pPr>
            <w:r>
              <w:rPr>
                <w:rFonts w:ascii="Arial" w:cs="Arial" w:eastAsia="Arial" w:hAnsi="Arial"/>
                <w:sz w:val="22"/>
                <w:szCs w:val="22"/>
                <w:b w:val="1"/>
                <w:bCs w:val="1"/>
                <w:color w:val="auto"/>
                <w:w w:val="82"/>
              </w:rPr>
              <w:t>Page 3 of 8 Pages</w:t>
            </w:r>
          </w:p>
        </w:tc>
        <w:tc>
          <w:tcPr>
            <w:tcW w:w="0" w:type="dxa"/>
            <w:vAlign w:val="bottom"/>
          </w:tcPr>
          <w:p>
            <w:pPr>
              <w:spacing w:after="0"/>
              <w:rPr>
                <w:sz w:val="1"/>
                <w:szCs w:val="1"/>
                <w:color w:val="auto"/>
              </w:rPr>
            </w:pPr>
          </w:p>
        </w:tc>
      </w:tr>
      <w:tr>
        <w:trPr>
          <w:trHeight w:val="328"/>
        </w:trPr>
        <w:tc>
          <w:tcPr>
            <w:tcW w:w="33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Sander Gerber</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6220" w:type="dxa"/>
            <w:vAlign w:val="bottom"/>
            <w:tcBorders>
              <w:bottom w:val="single" w:sz="8" w:color="auto"/>
            </w:tcBorders>
            <w:gridSpan w:val="2"/>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840" w:type="dxa"/>
            <w:vAlign w:val="bottom"/>
            <w:tcBorders>
              <w:right w:val="single" w:sz="8" w:color="auto"/>
            </w:tcBorders>
            <w:vMerge w:val="restart"/>
          </w:tcPr>
          <w:p>
            <w:pPr>
              <w:ind w:left="2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3360" w:type="dxa"/>
            <w:vAlign w:val="bottom"/>
            <w:tcBorders>
              <w:left w:val="single" w:sz="8" w:color="auto"/>
              <w:righ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5820" w:type="dxa"/>
            <w:vAlign w:val="bottom"/>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ind w:left="2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244"/>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360" w:type="dxa"/>
            <w:vAlign w:val="bottom"/>
            <w:tcBorders>
              <w:left w:val="single" w:sz="8" w:color="auto"/>
              <w:right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6220" w:type="dxa"/>
            <w:vAlign w:val="bottom"/>
            <w:tcBorders>
              <w:bottom w:val="single" w:sz="8" w:color="auto"/>
            </w:tcBorders>
            <w:gridSpan w:val="2"/>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United States</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ind w:left="120"/>
              <w:spacing w:after="0" w:line="249" w:lineRule="exact"/>
              <w:rPr>
                <w:sz w:val="20"/>
                <w:szCs w:val="20"/>
                <w:color w:val="auto"/>
              </w:rPr>
            </w:pPr>
            <w:r>
              <w:rPr>
                <w:rFonts w:ascii="Arial" w:cs="Arial" w:eastAsia="Arial" w:hAnsi="Arial"/>
                <w:sz w:val="28"/>
                <w:szCs w:val="28"/>
                <w:b w:val="1"/>
                <w:bCs w:val="1"/>
                <w:color w:val="auto"/>
              </w:rPr>
              <w:t>5</w:t>
            </w:r>
          </w:p>
        </w:tc>
        <w:tc>
          <w:tcPr>
            <w:tcW w:w="58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63" w:lineRule="exact"/>
              <w:rPr>
                <w:sz w:val="20"/>
                <w:szCs w:val="20"/>
                <w:color w:val="auto"/>
              </w:rPr>
            </w:pPr>
            <w:r>
              <w:rPr>
                <w:rFonts w:ascii="Arial" w:cs="Arial" w:eastAsia="Arial" w:hAnsi="Arial"/>
                <w:sz w:val="29"/>
                <w:szCs w:val="29"/>
                <w:b w:val="1"/>
                <w:bCs w:val="1"/>
                <w:color w:val="auto"/>
              </w:rPr>
              <w:t>6</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36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400" w:type="dxa"/>
            <w:vAlign w:val="bottom"/>
            <w:tcBorders>
              <w:right w:val="single" w:sz="8" w:color="auto"/>
            </w:tcBorders>
            <w:vMerge w:val="continue"/>
          </w:tcPr>
          <w:p>
            <w:pPr>
              <w:spacing w:after="0"/>
              <w:rPr>
                <w:sz w:val="13"/>
                <w:szCs w:val="13"/>
                <w:color w:val="auto"/>
              </w:rPr>
            </w:pPr>
          </w:p>
        </w:tc>
        <w:tc>
          <w:tcPr>
            <w:tcW w:w="5820" w:type="dxa"/>
            <w:vAlign w:val="bottom"/>
            <w:vMerge w:val="continue"/>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750,000 shares of Common Stock</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OWNED BY</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7</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400" w:type="dxa"/>
            <w:vAlign w:val="bottom"/>
            <w:tcBorders>
              <w:right w:val="single" w:sz="8" w:color="auto"/>
            </w:tcBorders>
          </w:tcPr>
          <w:p>
            <w:pPr>
              <w:spacing w:after="0"/>
              <w:rPr>
                <w:sz w:val="22"/>
                <w:szCs w:val="22"/>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0</w:t>
            </w: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40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36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Borders>
              <w:right w:val="single" w:sz="8" w:color="auto"/>
            </w:tcBorders>
            <w:vMerge w:val="restart"/>
          </w:tcPr>
          <w:p>
            <w:pPr>
              <w:ind w:left="120"/>
              <w:spacing w:after="0" w:line="249" w:lineRule="exact"/>
              <w:rPr>
                <w:sz w:val="20"/>
                <w:szCs w:val="20"/>
                <w:color w:val="auto"/>
              </w:rPr>
            </w:pPr>
            <w:r>
              <w:rPr>
                <w:rFonts w:ascii="Arial" w:cs="Arial" w:eastAsia="Arial" w:hAnsi="Arial"/>
                <w:sz w:val="28"/>
                <w:szCs w:val="28"/>
                <w:b w:val="1"/>
                <w:bCs w:val="1"/>
                <w:color w:val="auto"/>
              </w:rPr>
              <w:t>8</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60" w:type="dxa"/>
            <w:vAlign w:val="bottom"/>
            <w:tcBorders>
              <w:left w:val="single" w:sz="8" w:color="auto"/>
              <w:right w:val="single" w:sz="8" w:color="auto"/>
            </w:tcBorders>
          </w:tcPr>
          <w:p>
            <w:pPr>
              <w:spacing w:after="0"/>
              <w:rPr>
                <w:sz w:val="12"/>
                <w:szCs w:val="12"/>
                <w:color w:val="auto"/>
              </w:rPr>
            </w:pPr>
          </w:p>
        </w:tc>
        <w:tc>
          <w:tcPr>
            <w:tcW w:w="400" w:type="dxa"/>
            <w:vAlign w:val="bottom"/>
            <w:tcBorders>
              <w:right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5820" w:type="dxa"/>
            <w:vAlign w:val="bottom"/>
          </w:tcPr>
          <w:p>
            <w:pPr>
              <w:ind w:left="420"/>
              <w:spacing w:after="0"/>
              <w:rPr>
                <w:sz w:val="20"/>
                <w:szCs w:val="20"/>
                <w:color w:val="auto"/>
              </w:rPr>
            </w:pPr>
            <w:r>
              <w:rPr>
                <w:rFonts w:ascii="Arial" w:cs="Arial" w:eastAsia="Arial" w:hAnsi="Arial"/>
                <w:sz w:val="20"/>
                <w:szCs w:val="20"/>
                <w:color w:val="auto"/>
              </w:rPr>
              <w:t>750,000 shares of Common Stock</w:t>
            </w: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360" w:type="dxa"/>
            <w:vAlign w:val="bottom"/>
            <w:tcBorders>
              <w:left w:val="single" w:sz="8" w:color="auto"/>
              <w:bottom w:val="single" w:sz="8" w:color="auto"/>
              <w:right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750,000 shares of Common Stock</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w:t>
            </w:r>
          </w:p>
        </w:tc>
        <w:tc>
          <w:tcPr>
            <w:tcW w:w="1840" w:type="dxa"/>
            <w:vAlign w:val="bottom"/>
            <w:tcBorders>
              <w:right w:val="single" w:sz="8" w:color="auto"/>
            </w:tcBorders>
            <w:vMerge w:val="restart"/>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7"/>
        </w:trPr>
        <w:tc>
          <w:tcPr>
            <w:tcW w:w="3360" w:type="dxa"/>
            <w:vAlign w:val="bottom"/>
            <w:tcBorders>
              <w:left w:val="single" w:sz="8" w:color="auto"/>
              <w:right w:val="single" w:sz="8" w:color="auto"/>
            </w:tcBorders>
            <w:vMerge w:val="continue"/>
          </w:tcPr>
          <w:p>
            <w:pPr>
              <w:spacing w:after="0"/>
              <w:rPr>
                <w:sz w:val="17"/>
                <w:szCs w:val="17"/>
                <w:color w:val="auto"/>
              </w:rPr>
            </w:pP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SHARES</w:t>
            </w:r>
          </w:p>
        </w:tc>
        <w:tc>
          <w:tcPr>
            <w:tcW w:w="18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360" w:type="dxa"/>
            <w:vAlign w:val="bottom"/>
            <w:tcBorders>
              <w:left w:val="single" w:sz="8" w:color="auto"/>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10.96%</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62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36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5820" w:type="dxa"/>
            <w:vAlign w:val="bottom"/>
            <w:vMerge w:val="restart"/>
          </w:tcPr>
          <w:p>
            <w:pPr>
              <w:ind w:left="20"/>
              <w:spacing w:after="0"/>
              <w:rPr>
                <w:sz w:val="20"/>
                <w:szCs w:val="20"/>
                <w:color w:val="auto"/>
              </w:rPr>
            </w:pPr>
            <w:r>
              <w:rPr>
                <w:rFonts w:ascii="Arial" w:cs="Arial" w:eastAsia="Arial" w:hAnsi="Arial"/>
                <w:sz w:val="20"/>
                <w:szCs w:val="20"/>
                <w:color w:val="auto"/>
              </w:rPr>
              <w:t>IN</w:t>
            </w:r>
          </w:p>
        </w:tc>
        <w:tc>
          <w:tcPr>
            <w:tcW w:w="1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60" w:type="dxa"/>
            <w:vAlign w:val="bottom"/>
            <w:tcBorders>
              <w:left w:val="single" w:sz="8" w:color="auto"/>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1440" w:gutter="0" w:footer="0" w:header="0"/>
        </w:sectPr>
      </w:pPr>
    </w:p>
    <w:bookmarkStart w:id="3" w:name="page4"/>
    <w:bookmarkEnd w:id="3"/>
    <w:p>
      <w:pPr>
        <w:spacing w:after="0"/>
        <w:tabs>
          <w:tab w:leader="none" w:pos="5500" w:val="left"/>
          <w:tab w:leader="none" w:pos="9820" w:val="left"/>
        </w:tabs>
        <w:rPr>
          <w:sz w:val="20"/>
          <w:szCs w:val="20"/>
          <w:color w:val="auto"/>
        </w:rPr>
      </w:pPr>
      <w:r>
        <w:rPr>
          <w:rFonts w:ascii="Arial" w:cs="Arial" w:eastAsia="Arial" w:hAnsi="Arial"/>
          <w:sz w:val="22"/>
          <w:szCs w:val="22"/>
          <w:b w:val="1"/>
          <w:bCs w:val="1"/>
          <w:color w:val="auto"/>
        </w:rPr>
        <w:t>CUSIP No. 55304A203</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4 of 8 Pages</w:t>
      </w:r>
    </w:p>
    <w:p>
      <w:pPr>
        <w:spacing w:after="0" w:line="332"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The name of the issuer is M I Acquisitions,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23"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720" w:right="200"/>
        <w:spacing w:after="0" w:line="260" w:lineRule="auto"/>
        <w:rPr>
          <w:sz w:val="20"/>
          <w:szCs w:val="20"/>
          <w:color w:val="auto"/>
        </w:rPr>
      </w:pPr>
      <w:r>
        <w:rPr>
          <w:rFonts w:ascii="Arial" w:cs="Arial" w:eastAsia="Arial" w:hAnsi="Arial"/>
          <w:sz w:val="20"/>
          <w:szCs w:val="20"/>
          <w:color w:val="auto"/>
        </w:rPr>
        <w:t>The Company's principal executive offices are located at c/o Magna Management LLC, 40 Wall Street, 58th Floor, New York, NY 10005.</w:t>
      </w:r>
    </w:p>
    <w:p>
      <w:pPr>
        <w:spacing w:after="0" w:line="184"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35" w:lineRule="exact"/>
        <w:rPr>
          <w:sz w:val="20"/>
          <w:szCs w:val="20"/>
          <w:color w:val="auto"/>
        </w:rPr>
      </w:pPr>
    </w:p>
    <w:p>
      <w:pPr>
        <w:ind w:left="1720" w:right="80"/>
        <w:spacing w:after="0" w:line="260" w:lineRule="auto"/>
        <w:rPr>
          <w:sz w:val="20"/>
          <w:szCs w:val="20"/>
          <w:color w:val="auto"/>
        </w:rPr>
      </w:pPr>
      <w:r>
        <w:rPr>
          <w:rFonts w:ascii="Arial" w:cs="Arial" w:eastAsia="Arial" w:hAnsi="Arial"/>
          <w:sz w:val="20"/>
          <w:szCs w:val="20"/>
          <w:color w:val="auto"/>
        </w:rPr>
        <w:t>This statement is filed by Hudson Bay Capital Management LP (the "</w:t>
      </w:r>
      <w:r>
        <w:rPr>
          <w:rFonts w:ascii="Arial" w:cs="Arial" w:eastAsia="Arial" w:hAnsi="Arial"/>
          <w:sz w:val="20"/>
          <w:szCs w:val="20"/>
          <w:u w:val="single" w:color="auto"/>
          <w:color w:val="auto"/>
        </w:rPr>
        <w:t>Investment Manager</w:t>
      </w:r>
      <w:r>
        <w:rPr>
          <w:rFonts w:ascii="Arial" w:cs="Arial" w:eastAsia="Arial" w:hAnsi="Arial"/>
          <w:sz w:val="20"/>
          <w:szCs w:val="20"/>
          <w:color w:val="auto"/>
        </w:rPr>
        <w:t>") and Mr. Sander Gerber ("</w:t>
      </w:r>
      <w:r>
        <w:rPr>
          <w:rFonts w:ascii="Arial" w:cs="Arial" w:eastAsia="Arial" w:hAnsi="Arial"/>
          <w:sz w:val="20"/>
          <w:szCs w:val="20"/>
          <w:u w:val="single" w:color="auto"/>
          <w:color w:val="auto"/>
        </w:rPr>
        <w:t>Mr.</w:t>
      </w:r>
      <w:r>
        <w:rPr>
          <w:rFonts w:ascii="Arial" w:cs="Arial" w:eastAsia="Arial" w:hAnsi="Arial"/>
          <w:sz w:val="20"/>
          <w:szCs w:val="20"/>
          <w:color w:val="auto"/>
        </w:rPr>
        <w:t xml:space="preserve"> </w:t>
      </w:r>
      <w:r>
        <w:rPr>
          <w:rFonts w:ascii="Arial" w:cs="Arial" w:eastAsia="Arial" w:hAnsi="Arial"/>
          <w:sz w:val="20"/>
          <w:szCs w:val="20"/>
          <w:u w:val="single" w:color="auto"/>
          <w:color w:val="auto"/>
        </w:rPr>
        <w:t>Gerber</w:t>
      </w:r>
      <w:r>
        <w:rPr>
          <w:rFonts w:ascii="Arial" w:cs="Arial" w:eastAsia="Arial" w:hAnsi="Arial"/>
          <w:sz w:val="20"/>
          <w:szCs w:val="20"/>
          <w:color w:val="auto"/>
        </w:rPr>
        <w:t>"), who are collectively referred to herein as "</w:t>
      </w:r>
      <w:r>
        <w:rPr>
          <w:rFonts w:ascii="Arial" w:cs="Arial" w:eastAsia="Arial" w:hAnsi="Arial"/>
          <w:sz w:val="20"/>
          <w:szCs w:val="20"/>
          <w:u w:val="single" w:color="auto"/>
          <w:color w:val="auto"/>
        </w:rPr>
        <w:t>Reporting Persons</w:t>
      </w:r>
      <w:r>
        <w:rPr>
          <w:rFonts w:ascii="Arial" w:cs="Arial" w:eastAsia="Arial" w:hAnsi="Arial"/>
          <w:sz w:val="20"/>
          <w:szCs w:val="20"/>
          <w:color w:val="auto"/>
        </w:rPr>
        <w:t>."</w:t>
      </w:r>
    </w:p>
    <w:p>
      <w:pPr>
        <w:spacing w:after="0" w:line="190" w:lineRule="exact"/>
        <w:rPr>
          <w:sz w:val="20"/>
          <w:szCs w:val="20"/>
          <w:color w:val="auto"/>
        </w:rPr>
      </w:pPr>
    </w:p>
    <w:p>
      <w:pPr>
        <w:ind w:left="1720" w:right="80"/>
        <w:spacing w:after="0" w:line="282" w:lineRule="auto"/>
        <w:rPr>
          <w:sz w:val="20"/>
          <w:szCs w:val="20"/>
          <w:color w:val="auto"/>
        </w:rPr>
      </w:pPr>
      <w:r>
        <w:rPr>
          <w:rFonts w:ascii="Arial" w:cs="Arial" w:eastAsia="Arial" w:hAnsi="Arial"/>
          <w:sz w:val="18"/>
          <w:szCs w:val="18"/>
          <w:color w:val="auto"/>
        </w:rPr>
        <w:t>The Investment Manager, which serves as the investment manager to Hudson Bay Master Fund Ltd., in whose name the securities reported herein are held, may be deemed to be the beneficial owner of all shares of Common Stock held by Hudson Bay Master Fund Ltd. Mr. Gerber serves as the managing member of Hudson Bay Capital GP LLC, which is the general partner of the Investment Manager. Mr. Gerber disclaims beneficial ownership of these securities.</w:t>
      </w:r>
    </w:p>
    <w:p>
      <w:pPr>
        <w:spacing w:after="0" w:line="399"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35" w:lineRule="exact"/>
        <w:rPr>
          <w:sz w:val="20"/>
          <w:szCs w:val="20"/>
          <w:color w:val="auto"/>
        </w:rPr>
      </w:pPr>
    </w:p>
    <w:p>
      <w:pPr>
        <w:ind w:left="1720" w:right="500"/>
        <w:spacing w:after="0" w:line="260" w:lineRule="auto"/>
        <w:rPr>
          <w:sz w:val="20"/>
          <w:szCs w:val="20"/>
          <w:color w:val="auto"/>
        </w:rPr>
      </w:pPr>
      <w:r>
        <w:rPr>
          <w:rFonts w:ascii="Arial" w:cs="Arial" w:eastAsia="Arial" w:hAnsi="Arial"/>
          <w:sz w:val="20"/>
          <w:szCs w:val="20"/>
          <w:color w:val="auto"/>
        </w:rPr>
        <w:t>The address of the business office of each of the Reporting Persons is 777 Third Avenue, 30th Floor, New York, NY 10017.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10140" w:type="dxa"/>
            <w:vAlign w:val="bottom"/>
            <w:gridSpan w:val="3"/>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80" w:type="dxa"/>
            <w:vAlign w:val="bottom"/>
          </w:tcPr>
          <w:p>
            <w:pPr>
              <w:spacing w:after="0"/>
              <w:rPr>
                <w:sz w:val="24"/>
                <w:szCs w:val="24"/>
                <w:color w:val="auto"/>
              </w:rPr>
            </w:pPr>
          </w:p>
        </w:tc>
        <w:tc>
          <w:tcPr>
            <w:tcW w:w="10140" w:type="dxa"/>
            <w:vAlign w:val="bottom"/>
            <w:gridSpan w:val="3"/>
          </w:tcPr>
          <w:p>
            <w:pPr>
              <w:ind w:left="440"/>
              <w:spacing w:after="0"/>
              <w:rPr>
                <w:sz w:val="20"/>
                <w:szCs w:val="20"/>
                <w:color w:val="auto"/>
              </w:rPr>
            </w:pPr>
            <w:r>
              <w:rPr>
                <w:rFonts w:ascii="Arial" w:cs="Arial" w:eastAsia="Arial" w:hAnsi="Arial"/>
                <w:sz w:val="20"/>
                <w:szCs w:val="20"/>
                <w:color w:val="auto"/>
              </w:rPr>
              <w:t>The Investment Manager is a Delaware limited partnership. Mr. Gerber is a United States citizen.</w:t>
            </w: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10140" w:type="dxa"/>
            <w:vAlign w:val="bottom"/>
            <w:gridSpan w:val="3"/>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80" w:type="dxa"/>
            <w:vAlign w:val="bottom"/>
          </w:tcPr>
          <w:p>
            <w:pPr>
              <w:spacing w:after="0"/>
              <w:rPr>
                <w:sz w:val="24"/>
                <w:szCs w:val="24"/>
                <w:color w:val="auto"/>
              </w:rPr>
            </w:pPr>
          </w:p>
        </w:tc>
        <w:tc>
          <w:tcPr>
            <w:tcW w:w="10140" w:type="dxa"/>
            <w:vAlign w:val="bottom"/>
            <w:gridSpan w:val="3"/>
          </w:tcPr>
          <w:p>
            <w:pPr>
              <w:ind w:left="440"/>
              <w:spacing w:after="0"/>
              <w:rPr>
                <w:sz w:val="20"/>
                <w:szCs w:val="20"/>
                <w:color w:val="auto"/>
              </w:rPr>
            </w:pPr>
            <w:r>
              <w:rPr>
                <w:rFonts w:ascii="Arial" w:cs="Arial" w:eastAsia="Arial" w:hAnsi="Arial"/>
                <w:sz w:val="20"/>
                <w:szCs w:val="20"/>
                <w:color w:val="auto"/>
              </w:rPr>
              <w:t>Common Stock, par value $0.001 per share (the "Common Stock").</w:t>
            </w:r>
          </w:p>
        </w:tc>
      </w:tr>
      <w:tr>
        <w:trPr>
          <w:trHeight w:val="48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360" w:type="dxa"/>
            <w:vAlign w:val="bottom"/>
          </w:tcPr>
          <w:p>
            <w:pPr>
              <w:ind w:left="440"/>
              <w:spacing w:after="0"/>
              <w:rPr>
                <w:sz w:val="20"/>
                <w:szCs w:val="20"/>
                <w:color w:val="auto"/>
              </w:rPr>
            </w:pPr>
            <w:r>
              <w:rPr>
                <w:rFonts w:ascii="Arial" w:cs="Arial" w:eastAsia="Arial" w:hAnsi="Arial"/>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r>
      <w:tr>
        <w:trPr>
          <w:trHeight w:val="438"/>
        </w:trPr>
        <w:tc>
          <w:tcPr>
            <w:tcW w:w="1280" w:type="dxa"/>
            <w:vAlign w:val="bottom"/>
          </w:tcPr>
          <w:p>
            <w:pPr>
              <w:spacing w:after="0"/>
              <w:rPr>
                <w:sz w:val="24"/>
                <w:szCs w:val="24"/>
                <w:color w:val="auto"/>
              </w:rPr>
            </w:pPr>
          </w:p>
        </w:tc>
        <w:tc>
          <w:tcPr>
            <w:tcW w:w="10140" w:type="dxa"/>
            <w:vAlign w:val="bottom"/>
            <w:gridSpan w:val="3"/>
          </w:tcPr>
          <w:p>
            <w:pPr>
              <w:ind w:left="440"/>
              <w:spacing w:after="0"/>
              <w:rPr>
                <w:sz w:val="20"/>
                <w:szCs w:val="20"/>
                <w:color w:val="auto"/>
              </w:rPr>
            </w:pPr>
            <w:r>
              <w:rPr>
                <w:rFonts w:ascii="Arial" w:cs="Arial" w:eastAsia="Arial" w:hAnsi="Arial"/>
                <w:sz w:val="20"/>
                <w:szCs w:val="20"/>
                <w:color w:val="auto"/>
              </w:rPr>
              <w:t>The Common Stock has no CUSIP number. The CUSIP number for the units which include Common Stock is</w:t>
            </w:r>
          </w:p>
        </w:tc>
      </w:tr>
      <w:tr>
        <w:trPr>
          <w:trHeight w:val="250"/>
        </w:trPr>
        <w:tc>
          <w:tcPr>
            <w:tcW w:w="1280" w:type="dxa"/>
            <w:vAlign w:val="bottom"/>
          </w:tcPr>
          <w:p>
            <w:pPr>
              <w:spacing w:after="0"/>
              <w:rPr>
                <w:sz w:val="21"/>
                <w:szCs w:val="21"/>
                <w:color w:val="auto"/>
              </w:rPr>
            </w:pPr>
          </w:p>
        </w:tc>
        <w:tc>
          <w:tcPr>
            <w:tcW w:w="10140" w:type="dxa"/>
            <w:vAlign w:val="bottom"/>
            <w:gridSpan w:val="3"/>
          </w:tcPr>
          <w:p>
            <w:pPr>
              <w:ind w:left="440"/>
              <w:spacing w:after="0"/>
              <w:rPr>
                <w:sz w:val="20"/>
                <w:szCs w:val="20"/>
                <w:color w:val="auto"/>
              </w:rPr>
            </w:pPr>
            <w:r>
              <w:rPr>
                <w:rFonts w:ascii="Arial" w:cs="Arial" w:eastAsia="Arial" w:hAnsi="Arial"/>
                <w:sz w:val="20"/>
                <w:szCs w:val="20"/>
                <w:color w:val="auto"/>
              </w:rPr>
              <w:t>55304A203.</w:t>
            </w:r>
          </w:p>
        </w:tc>
      </w:tr>
      <w:tr>
        <w:trPr>
          <w:trHeight w:val="43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10140" w:type="dxa"/>
            <w:vAlign w:val="bottom"/>
            <w:gridSpan w:val="3"/>
          </w:tcPr>
          <w:p>
            <w:pPr>
              <w:ind w:left="440"/>
              <w:spacing w:after="0"/>
              <w:rPr>
                <w:sz w:val="20"/>
                <w:szCs w:val="20"/>
                <w:color w:val="auto"/>
              </w:rPr>
            </w:pPr>
            <w:r>
              <w:rPr>
                <w:rFonts w:ascii="Arial" w:cs="Arial" w:eastAsia="Arial" w:hAnsi="Arial"/>
                <w:sz w:val="20"/>
                <w:szCs w:val="20"/>
                <w:b w:val="1"/>
                <w:bCs w:val="1"/>
                <w:color w:val="auto"/>
              </w:rPr>
              <w:t>IF THIS STATEMENT IS FILED PURSUANT TO RULES 13d-1(b) OR 13d-2(b) OR (c), CHECK WHETHER</w:t>
            </w:r>
          </w:p>
        </w:tc>
      </w:tr>
      <w:tr>
        <w:trPr>
          <w:trHeight w:val="256"/>
        </w:trPr>
        <w:tc>
          <w:tcPr>
            <w:tcW w:w="1280" w:type="dxa"/>
            <w:vAlign w:val="bottom"/>
          </w:tcPr>
          <w:p>
            <w:pPr>
              <w:spacing w:after="0"/>
              <w:rPr>
                <w:sz w:val="22"/>
                <w:szCs w:val="22"/>
                <w:color w:val="auto"/>
              </w:rPr>
            </w:pPr>
          </w:p>
        </w:tc>
        <w:tc>
          <w:tcPr>
            <w:tcW w:w="10140" w:type="dxa"/>
            <w:vAlign w:val="bottom"/>
            <w:gridSpan w:val="3"/>
          </w:tcPr>
          <w:p>
            <w:pPr>
              <w:ind w:left="440"/>
              <w:spacing w:after="0"/>
              <w:rPr>
                <w:sz w:val="20"/>
                <w:szCs w:val="20"/>
                <w:color w:val="auto"/>
              </w:rPr>
            </w:pPr>
            <w:r>
              <w:rPr>
                <w:rFonts w:ascii="Arial" w:cs="Arial" w:eastAsia="Arial" w:hAnsi="Arial"/>
                <w:sz w:val="20"/>
                <w:szCs w:val="20"/>
                <w:b w:val="1"/>
                <w:bCs w:val="1"/>
                <w:color w:val="auto"/>
              </w:rPr>
              <w:t>THE PERSON FILING IS A:</w:t>
            </w:r>
          </w:p>
        </w:tc>
      </w:tr>
    </w:tbl>
    <w:p>
      <w:pPr>
        <w:spacing w:after="0" w:line="185" w:lineRule="exact"/>
        <w:rPr>
          <w:sz w:val="20"/>
          <w:szCs w:val="20"/>
          <w:color w:val="auto"/>
        </w:rPr>
      </w:pPr>
    </w:p>
    <w:tbl>
      <w:tblPr>
        <w:tblLayout w:type="fixed"/>
        <w:tblInd w:w="1820" w:type="dxa"/>
        <w:tblCellMar>
          <w:top w:w="0" w:type="dxa"/>
          <w:left w:w="0" w:type="dxa"/>
          <w:bottom w:w="0" w:type="dxa"/>
          <w:right w:w="0" w:type="dxa"/>
        </w:tblCellMar>
      </w:tblPr>
      <w:tr>
        <w:trPr>
          <w:trHeight w:val="310"/>
        </w:trPr>
        <w:tc>
          <w:tcPr>
            <w:tcW w:w="500" w:type="dxa"/>
            <w:vAlign w:val="bottom"/>
          </w:tcPr>
          <w:p>
            <w:pPr>
              <w:spacing w:after="0"/>
              <w:rPr>
                <w:sz w:val="20"/>
                <w:szCs w:val="20"/>
                <w:color w:val="auto"/>
              </w:rPr>
            </w:pPr>
            <w:r>
              <w:rPr>
                <w:rFonts w:ascii="Arial" w:cs="Arial" w:eastAsia="Arial" w:hAnsi="Arial"/>
                <w:sz w:val="20"/>
                <w:szCs w:val="20"/>
                <w:color w:val="auto"/>
              </w:rPr>
              <w:t>(a)</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6280" w:type="dxa"/>
            <w:vAlign w:val="bottom"/>
          </w:tcPr>
          <w:p>
            <w:pPr>
              <w:ind w:left="140"/>
              <w:spacing w:after="0"/>
              <w:rPr>
                <w:sz w:val="20"/>
                <w:szCs w:val="20"/>
                <w:color w:val="auto"/>
              </w:rPr>
            </w:pPr>
            <w:r>
              <w:rPr>
                <w:rFonts w:ascii="Arial" w:cs="Arial" w:eastAsia="Arial" w:hAnsi="Arial"/>
                <w:sz w:val="20"/>
                <w:szCs w:val="20"/>
                <w:color w:val="auto"/>
                <w:w w:val="96"/>
              </w:rPr>
              <w:t>Broker or dealer registered under Section 15 of the Act (15 U.S.C. 78o);</w:t>
            </w:r>
          </w:p>
        </w:tc>
      </w:tr>
      <w:tr>
        <w:trPr>
          <w:trHeight w:val="459"/>
        </w:trPr>
        <w:tc>
          <w:tcPr>
            <w:tcW w:w="500" w:type="dxa"/>
            <w:vAlign w:val="bottom"/>
          </w:tcPr>
          <w:p>
            <w:pPr>
              <w:spacing w:after="0"/>
              <w:rPr>
                <w:sz w:val="20"/>
                <w:szCs w:val="20"/>
                <w:color w:val="auto"/>
              </w:rPr>
            </w:pPr>
            <w:r>
              <w:rPr>
                <w:rFonts w:ascii="Arial" w:cs="Arial" w:eastAsia="Arial" w:hAnsi="Arial"/>
                <w:sz w:val="20"/>
                <w:szCs w:val="20"/>
                <w:color w:val="auto"/>
              </w:rPr>
              <w:t>(b)</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6280" w:type="dxa"/>
            <w:vAlign w:val="bottom"/>
          </w:tcPr>
          <w:p>
            <w:pPr>
              <w:ind w:left="140"/>
              <w:spacing w:after="0"/>
              <w:rPr>
                <w:sz w:val="20"/>
                <w:szCs w:val="20"/>
                <w:color w:val="auto"/>
              </w:rPr>
            </w:pPr>
            <w:r>
              <w:rPr>
                <w:rFonts w:ascii="Arial" w:cs="Arial" w:eastAsia="Arial" w:hAnsi="Arial"/>
                <w:sz w:val="20"/>
                <w:szCs w:val="20"/>
                <w:color w:val="auto"/>
              </w:rPr>
              <w:t>Bank as defined in Section 3(a)(6) of the Act (15 U.S.C. 78c);</w:t>
            </w:r>
          </w:p>
        </w:tc>
      </w:tr>
      <w:tr>
        <w:trPr>
          <w:trHeight w:val="459"/>
        </w:trPr>
        <w:tc>
          <w:tcPr>
            <w:tcW w:w="500" w:type="dxa"/>
            <w:vAlign w:val="bottom"/>
          </w:tcPr>
          <w:p>
            <w:pPr>
              <w:spacing w:after="0"/>
              <w:rPr>
                <w:sz w:val="20"/>
                <w:szCs w:val="20"/>
                <w:color w:val="auto"/>
              </w:rPr>
            </w:pPr>
            <w:r>
              <w:rPr>
                <w:rFonts w:ascii="Arial" w:cs="Arial" w:eastAsia="Arial" w:hAnsi="Arial"/>
                <w:sz w:val="20"/>
                <w:szCs w:val="20"/>
                <w:color w:val="auto"/>
              </w:rPr>
              <w:t>(c)</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6280" w:type="dxa"/>
            <w:vAlign w:val="bottom"/>
          </w:tcPr>
          <w:p>
            <w:pPr>
              <w:ind w:left="140"/>
              <w:spacing w:after="0"/>
              <w:rPr>
                <w:sz w:val="20"/>
                <w:szCs w:val="20"/>
                <w:color w:val="auto"/>
              </w:rPr>
            </w:pPr>
            <w:r>
              <w:rPr>
                <w:rFonts w:ascii="Arial" w:cs="Arial" w:eastAsia="Arial" w:hAnsi="Arial"/>
                <w:sz w:val="20"/>
                <w:szCs w:val="20"/>
                <w:color w:val="auto"/>
                <w:w w:val="89"/>
              </w:rPr>
              <w:t>Insurance company as defined in Section 3(a)(19) of the Act (15 U.S.C. 78c);</w:t>
            </w:r>
          </w:p>
        </w:tc>
      </w:tr>
    </w:tbl>
    <w:p>
      <w:pPr>
        <w:sectPr>
          <w:pgSz w:w="11900" w:h="16838" w:orient="portrait"/>
          <w:cols w:equalWidth="0" w:num="1">
            <w:col w:w="11420"/>
          </w:cols>
          <w:pgMar w:left="240" w:top="220" w:right="239" w:bottom="1440" w:gutter="0" w:footer="0" w:header="0"/>
        </w:sectPr>
      </w:pPr>
    </w:p>
    <w:bookmarkStart w:id="4" w:name="page5"/>
    <w:bookmarkEnd w:id="4"/>
    <w:p>
      <w:pPr>
        <w:spacing w:after="0"/>
        <w:tabs>
          <w:tab w:leader="none" w:pos="5500" w:val="left"/>
          <w:tab w:leader="none" w:pos="9820" w:val="left"/>
        </w:tabs>
        <w:rPr>
          <w:sz w:val="20"/>
          <w:szCs w:val="20"/>
          <w:color w:val="auto"/>
        </w:rPr>
      </w:pPr>
      <w:r>
        <w:rPr>
          <w:rFonts w:ascii="Arial" w:cs="Arial" w:eastAsia="Arial" w:hAnsi="Arial"/>
          <w:sz w:val="22"/>
          <w:szCs w:val="22"/>
          <w:b w:val="1"/>
          <w:bCs w:val="1"/>
          <w:color w:val="auto"/>
        </w:rPr>
        <w:t>CUSIP No. 55304A203</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5 of 8 Pages</w:t>
      </w:r>
    </w:p>
    <w:p>
      <w:pPr>
        <w:sectPr>
          <w:pgSz w:w="11900" w:h="16838" w:orient="portrait"/>
          <w:cols w:equalWidth="0" w:num="1">
            <w:col w:w="11420"/>
          </w:cols>
          <w:pgMar w:left="240" w:top="220" w:right="239" w:bottom="1440" w:gutter="0" w:footer="0" w:header="0"/>
        </w:sectPr>
      </w:pPr>
    </w:p>
    <w:p>
      <w:pPr>
        <w:spacing w:after="0" w:line="315" w:lineRule="exact"/>
        <w:rPr>
          <w:sz w:val="20"/>
          <w:szCs w:val="20"/>
          <w:color w:val="auto"/>
        </w:rPr>
      </w:pPr>
    </w:p>
    <w:p>
      <w:pPr>
        <w:ind w:left="3080" w:right="420" w:hanging="1260"/>
        <w:spacing w:after="0" w:line="250" w:lineRule="exact"/>
        <w:tabs>
          <w:tab w:leader="none" w:pos="2612"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ind w:left="2640" w:hanging="820"/>
        <w:spacing w:after="0"/>
        <w:tabs>
          <w:tab w:leader="none" w:pos="2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ý    Investment adviser in accordance with Rule 13d-1(b)(1)(ii)(E);</w:t>
      </w:r>
    </w:p>
    <w:p>
      <w:pPr>
        <w:spacing w:after="0" w:line="175"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Rule 13d-1(b)(1)(ii)(F);</w:t>
      </w:r>
    </w:p>
    <w:p>
      <w:pPr>
        <w:spacing w:after="0" w:line="213" w:lineRule="exact"/>
        <w:rPr>
          <w:sz w:val="20"/>
          <w:szCs w:val="20"/>
          <w:color w:val="auto"/>
        </w:rPr>
      </w:pPr>
    </w:p>
    <w:p>
      <w:pPr>
        <w:ind w:left="3080" w:right="3460" w:hanging="1260"/>
        <w:spacing w:after="0" w:line="247" w:lineRule="auto"/>
        <w:tabs>
          <w:tab w:leader="none" w:pos="2650" w:val="left"/>
        </w:tabs>
        <w:numPr>
          <w:ilvl w:val="0"/>
          <w:numId w:val="3"/>
        </w:numPr>
        <w:rPr>
          <w:rFonts w:ascii="Arial" w:cs="Arial" w:eastAsia="Arial" w:hAnsi="Arial"/>
          <w:sz w:val="20"/>
          <w:szCs w:val="20"/>
          <w:color w:val="auto"/>
        </w:rPr>
      </w:pPr>
      <w:r>
        <w:rPr>
          <w:rFonts w:ascii="Arial" w:cs="Arial" w:eastAsia="Arial" w:hAnsi="Arial"/>
          <w:sz w:val="20"/>
          <w:szCs w:val="20"/>
          <w:color w:val="auto"/>
        </w:rPr>
        <w:t>ý Parent holding company or control person in accordance with Rule 13d-1(b)(1)(ii)(G);</w:t>
      </w:r>
    </w:p>
    <w:p>
      <w:pPr>
        <w:spacing w:after="0" w:line="1" w:lineRule="exact"/>
        <w:rPr>
          <w:rFonts w:ascii="Arial" w:cs="Arial" w:eastAsia="Arial" w:hAnsi="Arial"/>
          <w:sz w:val="20"/>
          <w:szCs w:val="20"/>
          <w:color w:val="auto"/>
        </w:rPr>
      </w:pPr>
    </w:p>
    <w:p>
      <w:pPr>
        <w:ind w:left="2600" w:hanging="780"/>
        <w:spacing w:after="0" w:line="207" w:lineRule="exact"/>
        <w:tabs>
          <w:tab w:leader="none" w:pos="26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12" w:lineRule="exact"/>
        <w:rPr>
          <w:rFonts w:ascii="Arial" w:cs="Arial" w:eastAsia="Arial" w:hAnsi="Arial"/>
          <w:sz w:val="18"/>
          <w:szCs w:val="18"/>
          <w:color w:val="auto"/>
        </w:rPr>
      </w:pPr>
    </w:p>
    <w:p>
      <w:pPr>
        <w:ind w:left="3080" w:right="340" w:hanging="1260"/>
        <w:spacing w:after="0" w:line="252" w:lineRule="exact"/>
        <w:tabs>
          <w:tab w:leader="none" w:pos="2612"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3" w:lineRule="exact"/>
        <w:rPr>
          <w:sz w:val="20"/>
          <w:szCs w:val="20"/>
          <w:color w:val="auto"/>
        </w:rPr>
      </w:pPr>
    </w:p>
    <w:p>
      <w:pPr>
        <w:ind w:left="1720" w:right="162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institution:_____________________________________________</w:t>
      </w:r>
    </w:p>
    <w:p>
      <w:pPr>
        <w:spacing w:after="0" w:line="184"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35" w:lineRule="exact"/>
        <w:rPr>
          <w:sz w:val="20"/>
          <w:szCs w:val="20"/>
          <w:color w:val="auto"/>
        </w:rPr>
      </w:pPr>
    </w:p>
    <w:p>
      <w:pPr>
        <w:ind w:left="1720" w:right="2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w:t>
      </w:r>
    </w:p>
    <w:p>
      <w:pPr>
        <w:spacing w:after="0" w:line="190" w:lineRule="exact"/>
        <w:rPr>
          <w:sz w:val="20"/>
          <w:szCs w:val="20"/>
          <w:color w:val="auto"/>
        </w:rPr>
      </w:pPr>
    </w:p>
    <w:p>
      <w:pPr>
        <w:ind w:left="1720" w:right="220"/>
        <w:spacing w:after="0" w:line="246" w:lineRule="auto"/>
        <w:rPr>
          <w:sz w:val="20"/>
          <w:szCs w:val="20"/>
          <w:color w:val="auto"/>
        </w:rPr>
      </w:pPr>
      <w:r>
        <w:rPr>
          <w:rFonts w:ascii="Arial" w:cs="Arial" w:eastAsia="Arial" w:hAnsi="Arial"/>
          <w:sz w:val="20"/>
          <w:szCs w:val="20"/>
          <w:color w:val="auto"/>
        </w:rPr>
        <w:t>The percentage set forth in Row (11) of the cover page for each Reporting Person is based on the 6,840,000 shares of Common Stock reported to be outstanding in the Company's Prospectus filed with the Securities and Exchange Commission pursuant to Rule 424(b)(4) on September 15, 2016 after giving effect to the completion of the offering and the sale of the private units, all as described therein.</w:t>
      </w:r>
    </w:p>
    <w:p>
      <w:pPr>
        <w:spacing w:after="0" w:line="199"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See Item 2.</w:t>
      </w:r>
    </w:p>
    <w:p>
      <w:pPr>
        <w:spacing w:after="0" w:line="223" w:lineRule="exact"/>
        <w:rPr>
          <w:sz w:val="20"/>
          <w:szCs w:val="20"/>
          <w:color w:val="auto"/>
        </w:rPr>
      </w:pPr>
    </w:p>
    <w:p>
      <w:pPr>
        <w:ind w:left="1720" w:hanging="1617"/>
        <w:spacing w:after="0" w:line="267" w:lineRule="auto"/>
        <w:tabs>
          <w:tab w:leader="none" w:pos="1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220" w:right="239" w:bottom="1440" w:gutter="0" w:footer="0" w:header="0"/>
          <w:type w:val="continuous"/>
        </w:sectPr>
      </w:pPr>
    </w:p>
    <w:bookmarkStart w:id="5" w:name="page6"/>
    <w:bookmarkEnd w:id="5"/>
    <w:p>
      <w:pPr>
        <w:spacing w:after="0"/>
        <w:tabs>
          <w:tab w:leader="none" w:pos="5500" w:val="left"/>
          <w:tab w:leader="none" w:pos="9820" w:val="left"/>
        </w:tabs>
        <w:rPr>
          <w:sz w:val="20"/>
          <w:szCs w:val="20"/>
          <w:color w:val="auto"/>
        </w:rPr>
      </w:pPr>
      <w:r>
        <w:rPr>
          <w:rFonts w:ascii="Arial" w:cs="Arial" w:eastAsia="Arial" w:hAnsi="Arial"/>
          <w:sz w:val="22"/>
          <w:szCs w:val="22"/>
          <w:b w:val="1"/>
          <w:bCs w:val="1"/>
          <w:color w:val="auto"/>
        </w:rPr>
        <w:t>CUSIP No. 55304A203</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6 of 8 Pages</w:t>
      </w:r>
    </w:p>
    <w:p>
      <w:pPr>
        <w:sectPr>
          <w:pgSz w:w="11900" w:h="16838" w:orient="portrait"/>
          <w:cols w:equalWidth="0" w:num="1">
            <w:col w:w="11420"/>
          </w:cols>
          <w:pgMar w:left="240" w:top="220" w:right="239" w:bottom="1440" w:gutter="0" w:footer="0" w:header="0"/>
        </w:sectPr>
      </w:pPr>
    </w:p>
    <w:p>
      <w:pPr>
        <w:spacing w:after="0" w:line="332"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20" w:right="320"/>
        <w:spacing w:after="0" w:line="282"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0" w:right="239" w:bottom="1440" w:gutter="0" w:footer="0" w:header="0"/>
          <w:type w:val="continuous"/>
        </w:sectPr>
      </w:pPr>
    </w:p>
    <w:bookmarkStart w:id="6" w:name="page7"/>
    <w:bookmarkEnd w:id="6"/>
    <w:p>
      <w:pPr>
        <w:spacing w:after="0"/>
        <w:tabs>
          <w:tab w:leader="none" w:pos="5500" w:val="left"/>
          <w:tab w:leader="none" w:pos="9820" w:val="left"/>
        </w:tabs>
        <w:rPr>
          <w:sz w:val="20"/>
          <w:szCs w:val="20"/>
          <w:color w:val="auto"/>
        </w:rPr>
      </w:pPr>
      <w:r>
        <w:rPr>
          <w:rFonts w:ascii="Arial" w:cs="Arial" w:eastAsia="Arial" w:hAnsi="Arial"/>
          <w:sz w:val="22"/>
          <w:szCs w:val="22"/>
          <w:b w:val="1"/>
          <w:bCs w:val="1"/>
          <w:color w:val="auto"/>
        </w:rPr>
        <w:t>CUSIP No. 55304A203</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7 of 8 Pages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its or his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October 6, 2016</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HUDSON BAY CAPITAL MANAGEMENT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Sander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356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Sander Gerber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Sander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356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SANDER GERBER</w:t>
      </w:r>
    </w:p>
    <w:p>
      <w:pPr>
        <w:sectPr>
          <w:pgSz w:w="11900" w:h="16838" w:orient="portrait"/>
          <w:cols w:equalWidth="0" w:num="1">
            <w:col w:w="11420"/>
          </w:cols>
          <w:pgMar w:left="240" w:top="220" w:right="239" w:bottom="1440" w:gutter="0" w:footer="0" w:header="0"/>
        </w:sectPr>
      </w:pPr>
    </w:p>
    <w:bookmarkStart w:id="7" w:name="page8"/>
    <w:bookmarkEnd w:id="7"/>
    <w:p>
      <w:pPr>
        <w:spacing w:after="0"/>
        <w:tabs>
          <w:tab w:leader="none" w:pos="5500" w:val="left"/>
          <w:tab w:leader="none" w:pos="9820" w:val="left"/>
        </w:tabs>
        <w:rPr>
          <w:sz w:val="20"/>
          <w:szCs w:val="20"/>
          <w:color w:val="auto"/>
        </w:rPr>
      </w:pPr>
      <w:r>
        <w:rPr>
          <w:rFonts w:ascii="Arial" w:cs="Arial" w:eastAsia="Arial" w:hAnsi="Arial"/>
          <w:sz w:val="22"/>
          <w:szCs w:val="22"/>
          <w:b w:val="1"/>
          <w:bCs w:val="1"/>
          <w:color w:val="auto"/>
        </w:rPr>
        <w:t>CUSIP No. 55304A203</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8 of 8 Pages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FILING AGREEMENT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DATED as of October 6, 2016</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HUDSON BAY CAPITAL MANAGEMENT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Sander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356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Sander Gerber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Sander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356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SANDER GERBER</w:t>
      </w:r>
    </w:p>
    <w:sectPr>
      <w:pgSz w:w="11900" w:h="16838" w:orient="portrait"/>
      <w:cols w:equalWidth="0" w:num="1">
        <w:col w:w="11420"/>
      </w:cols>
      <w:pgMar w:left="240" w:top="2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ý"/>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2020-01-21T12:28:16Z</dcterms:created>
  <dcterms:modified xsi:type="dcterms:W3CDTF">2020-01-21T12:28:16Z</dcterms:modified>
</cp:coreProperties>
</file>