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TEFFT PAMELA A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 w:line="169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Corporate Controller and Chief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66675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35" w:hanging="335"/>
        <w:spacing w:after="0"/>
        <w:tabs>
          <w:tab w:leader="none" w:pos="335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35" w:right="560"/>
        <w:spacing w:after="0" w:line="239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5" w:space="720"/>
            <w:col w:w="3155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12, 2021, the Reporting Person was granted 1,621 restricted stock units which vest 50% on February 12, 2022 and 50% on February 12, 2023 subject to the Reporting Person's continued employment with the Issuer.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Pamela Tefft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02/26/2021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6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2021-02-26T18:00:20Z</dcterms:created>
  <dcterms:modified xsi:type="dcterms:W3CDTF">2021-02-26T18:00:20Z</dcterms:modified>
</cp:coreProperties>
</file>