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13,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001-37872</w:t>
            </w:r>
          </w:p>
        </w:tc>
        <w:tc>
          <w:tcPr>
            <w:tcW w:w="374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140" w:type="dxa"/>
            <w:vAlign w:val="bottom"/>
            <w:tcBorders>
              <w:top w:val="single" w:sz="8" w:color="auto"/>
            </w:tcBorders>
          </w:tcPr>
          <w:p>
            <w:pPr>
              <w:jc w:val="center"/>
              <w:ind w:right="650"/>
              <w:spacing w:after="0"/>
              <w:rPr>
                <w:sz w:val="20"/>
                <w:szCs w:val="20"/>
                <w:color w:val="auto"/>
              </w:rPr>
            </w:pPr>
            <w:r>
              <w:rPr>
                <w:rFonts w:ascii="Arial" w:cs="Arial" w:eastAsia="Arial" w:hAnsi="Arial"/>
                <w:sz w:val="18"/>
                <w:szCs w:val="18"/>
                <w:color w:val="auto"/>
                <w:w w:val="93"/>
              </w:rPr>
              <w:t>(Commission File Number)</w:t>
            </w:r>
          </w:p>
        </w:tc>
        <w:tc>
          <w:tcPr>
            <w:tcW w:w="20" w:type="dxa"/>
            <w:vAlign w:val="bottom"/>
          </w:tcPr>
          <w:p>
            <w:pPr>
              <w:spacing w:after="0"/>
              <w:rPr>
                <w:sz w:val="20"/>
                <w:szCs w:val="2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20"/>
                <w:szCs w:val="20"/>
                <w:color w:val="auto"/>
              </w:rPr>
            </w:pPr>
          </w:p>
        </w:tc>
      </w:tr>
      <w:tr>
        <w:trPr>
          <w:trHeight w:val="413"/>
        </w:trPr>
        <w:tc>
          <w:tcPr>
            <w:tcW w:w="20" w:type="dxa"/>
            <w:vAlign w:val="bottom"/>
          </w:tcPr>
          <w:p>
            <w:pPr>
              <w:spacing w:after="0"/>
              <w:rPr>
                <w:sz w:val="24"/>
                <w:szCs w:val="24"/>
                <w:color w:val="auto"/>
              </w:rPr>
            </w:pPr>
          </w:p>
        </w:tc>
        <w:tc>
          <w:tcPr>
            <w:tcW w:w="4500" w:type="dxa"/>
            <w:vAlign w:val="bottom"/>
            <w:gridSpan w:val="3"/>
          </w:tcPr>
          <w:p>
            <w:pPr>
              <w:jc w:val="center"/>
              <w:ind w:left="1090"/>
              <w:spacing w:after="0"/>
              <w:rPr>
                <w:sz w:val="20"/>
                <w:szCs w:val="20"/>
                <w:color w:val="auto"/>
              </w:rPr>
            </w:pPr>
            <w:r>
              <w:rPr>
                <w:rFonts w:ascii="Arial" w:cs="Arial" w:eastAsia="Arial" w:hAnsi="Arial"/>
                <w:sz w:val="18"/>
                <w:szCs w:val="18"/>
                <w:b w:val="1"/>
                <w:bCs w:val="1"/>
                <w:color w:val="auto"/>
                <w:w w:val="93"/>
              </w:rPr>
              <w:t>c/o Magna Management LLC</w:t>
            </w: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2"/>
              </w:rPr>
              <w:t>40 Wall Street, 58th Floor</w:t>
            </w: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5"/>
              </w:rPr>
              <w:t>New York, NY</w:t>
            </w:r>
          </w:p>
        </w:tc>
        <w:tc>
          <w:tcPr>
            <w:tcW w:w="31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2"/>
          </w:tcPr>
          <w:p>
            <w:pPr>
              <w:jc w:val="right"/>
              <w:ind w:right="2510"/>
              <w:spacing w:after="0"/>
              <w:rPr>
                <w:sz w:val="20"/>
                <w:szCs w:val="20"/>
                <w:color w:val="auto"/>
              </w:rPr>
            </w:pPr>
            <w:r>
              <w:rPr>
                <w:rFonts w:ascii="Arial" w:cs="Arial" w:eastAsia="Arial" w:hAnsi="Arial"/>
                <w:sz w:val="18"/>
                <w:szCs w:val="18"/>
                <w:b w:val="1"/>
                <w:bCs w:val="1"/>
                <w:color w:val="auto"/>
              </w:rPr>
              <w:t>10005</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tcPr>
          <w:p>
            <w:pPr>
              <w:jc w:val="center"/>
              <w:ind w:right="1850"/>
              <w:spacing w:after="0"/>
              <w:rPr>
                <w:sz w:val="20"/>
                <w:szCs w:val="20"/>
                <w:color w:val="auto"/>
              </w:rPr>
            </w:pPr>
            <w:r>
              <w:rPr>
                <w:rFonts w:ascii="Arial" w:cs="Arial" w:eastAsia="Arial" w:hAnsi="Arial"/>
                <w:sz w:val="18"/>
                <w:szCs w:val="18"/>
                <w:color w:val="auto"/>
                <w:w w:val="91"/>
              </w:rPr>
              <w:t>(Zip Code)</w:t>
            </w:r>
          </w:p>
        </w:tc>
        <w:tc>
          <w:tcPr>
            <w:tcW w:w="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IMPORTANT NOTICES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Priority Holdings, LLC (“Priority” or the “Company”),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In connection with the transaction between Priority and M I,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THE COMPANY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8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the Company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line="272"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2016 filed with the SEC, in M I’s quarterly reports on Form 10-Q filed with the SEC subsequent thereto and in the proxy statement on Schedule 14A that will be filed with the SEC by M I in connection with the proposed transaction,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March 13, 2018, M I Acquisitions, Inc. (“M I”) issued promissory notes in the aggregate principal amount of </w:t>
      </w:r>
      <w:r>
        <w:rPr>
          <w:rFonts w:ascii="Arial" w:cs="Arial" w:eastAsia="Arial" w:hAnsi="Arial"/>
          <w:sz w:val="18"/>
          <w:szCs w:val="18"/>
          <w:color w:val="auto"/>
          <w:highlight w:val="white"/>
        </w:rPr>
        <w:t>$132,752.73 to its sponsors (M SPAC LLC,</w:t>
      </w:r>
      <w:r>
        <w:rPr>
          <w:rFonts w:ascii="Arial" w:cs="Arial" w:eastAsia="Arial" w:hAnsi="Arial"/>
          <w:sz w:val="18"/>
          <w:szCs w:val="18"/>
          <w:color w:val="auto"/>
        </w:rPr>
        <w:t xml:space="preserve"> </w:t>
      </w:r>
      <w:r>
        <w:rPr>
          <w:rFonts w:ascii="Arial" w:cs="Arial" w:eastAsia="Arial" w:hAnsi="Arial"/>
          <w:sz w:val="18"/>
          <w:szCs w:val="18"/>
          <w:color w:val="auto"/>
          <w:highlight w:val="white"/>
        </w:rPr>
        <w:t>M SPAC Holdings I, LLC and M SPAC Holdings II, LLC)</w:t>
      </w:r>
      <w:r>
        <w:rPr>
          <w:rFonts w:ascii="Arial" w:cs="Arial" w:eastAsia="Arial" w:hAnsi="Arial"/>
          <w:sz w:val="18"/>
          <w:szCs w:val="18"/>
          <w:color w:val="auto"/>
        </w:rPr>
        <w:t>. The $132,752.73 received by M I upon issuance of the notes was deposited into the M I trust</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account for the benefit of its public stockholders in order to extend the </w:t>
      </w:r>
      <w:r>
        <w:rPr>
          <w:rFonts w:ascii="Arial" w:cs="Arial" w:eastAsia="Arial" w:hAnsi="Arial"/>
          <w:sz w:val="18"/>
          <w:szCs w:val="18"/>
          <w:color w:val="auto"/>
          <w:highlight w:val="white"/>
        </w:rPr>
        <w:t>period of time M I has to complete a business combination for an additional one</w:t>
      </w:r>
      <w:r>
        <w:rPr>
          <w:rFonts w:ascii="Arial" w:cs="Arial" w:eastAsia="Arial" w:hAnsi="Arial"/>
          <w:sz w:val="18"/>
          <w:szCs w:val="18"/>
          <w:color w:val="auto"/>
        </w:rPr>
        <w:t xml:space="preserve"> </w:t>
      </w:r>
      <w:r>
        <w:rPr>
          <w:rFonts w:ascii="Arial" w:cs="Arial" w:eastAsia="Arial" w:hAnsi="Arial"/>
          <w:sz w:val="18"/>
          <w:szCs w:val="18"/>
          <w:color w:val="auto"/>
          <w:highlight w:val="white"/>
        </w:rPr>
        <w:t>month, from March 19, 2018 to April 19, 2018. The notes do not bear interest and are payable five business days after the date M I completes a business combination. The following events constitute events of default under the notes:</w:t>
      </w:r>
    </w:p>
    <w:p>
      <w:pPr>
        <w:spacing w:after="0" w:line="18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make required payments;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voluntary liquidation of M I;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involuntary bankruptcy of M 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5540" w:type="dxa"/>
            <w:vAlign w:val="bottom"/>
            <w:gridSpan w:val="10"/>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gridSpan w:val="3"/>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hyperlink>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Promissory Note issued to</w:t>
              </w:r>
            </w:hyperlink>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8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40" w:type="dxa"/>
            <w:vAlign w:val="bottom"/>
            <w:tcBorders>
              <w:bottom w:val="single" w:sz="8" w:color="0000EE"/>
            </w:tcBorders>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Borders>
              <w:bottom w:val="single" w:sz="8" w:color="0000EE"/>
            </w:tcBorders>
            <w:gridSpan w:val="2"/>
            <w:vMerge w:val="continue"/>
          </w:tcPr>
          <w:p>
            <w:pPr>
              <w:spacing w:after="0"/>
              <w:rPr>
                <w:sz w:val="17"/>
                <w:szCs w:val="17"/>
                <w:color w:val="auto"/>
              </w:rPr>
            </w:pPr>
          </w:p>
        </w:tc>
        <w:tc>
          <w:tcPr>
            <w:tcW w:w="2680" w:type="dxa"/>
            <w:vAlign w:val="bottom"/>
            <w:tcBorders>
              <w:bottom w:val="single" w:sz="8" w:color="0000EE"/>
            </w:tcBorders>
            <w:gridSpan w:val="4"/>
            <w:shd w:val="clear" w:color="auto" w:fill="FEFEFE"/>
          </w:tcPr>
          <w:p>
            <w:pPr>
              <w:spacing w:after="0" w:line="176" w:lineRule="exact"/>
              <w:rPr>
                <w:rFonts w:ascii="Arial" w:cs="Arial" w:eastAsia="Arial" w:hAnsi="Arial"/>
                <w:sz w:val="18"/>
                <w:szCs w:val="18"/>
                <w:color w:val="0000EE"/>
                <w:highlight w:val="white"/>
                <w:w w:val="91"/>
              </w:rPr>
            </w:pPr>
            <w:hyperlink w:anchor="page6">
              <w:r>
                <w:rPr>
                  <w:rFonts w:ascii="Arial" w:cs="Arial" w:eastAsia="Arial" w:hAnsi="Arial"/>
                  <w:sz w:val="18"/>
                  <w:szCs w:val="18"/>
                  <w:color w:val="0000EE"/>
                  <w:highlight w:val="white"/>
                  <w:w w:val="91"/>
                </w:rPr>
                <w:t>M SPAC LLC dated March 13, 2018.</w:t>
              </w:r>
            </w:hyperlink>
          </w:p>
        </w:tc>
        <w:tc>
          <w:tcPr>
            <w:tcW w:w="20" w:type="dxa"/>
            <w:vAlign w:val="bottom"/>
            <w:tcBorders>
              <w:bottom w:val="single" w:sz="8" w:color="0000EE"/>
            </w:tcBorders>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gridSpan w:val="3"/>
            <w:vMerge w:val="restart"/>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vMerge w:val="restart"/>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Promissory Note issued to</w:t>
              </w:r>
            </w:hyperlink>
          </w:p>
        </w:tc>
        <w:tc>
          <w:tcPr>
            <w:tcW w:w="220" w:type="dxa"/>
            <w:vAlign w:val="bottom"/>
            <w:tcBorders>
              <w:top w:val="single" w:sz="8" w:color="FEFEFE"/>
            </w:tcBorders>
          </w:tcPr>
          <w:p>
            <w:pPr>
              <w:spacing w:after="0"/>
              <w:rPr>
                <w:sz w:val="18"/>
                <w:szCs w:val="18"/>
                <w:color w:val="auto"/>
              </w:rPr>
            </w:pPr>
          </w:p>
        </w:tc>
        <w:tc>
          <w:tcPr>
            <w:tcW w:w="120" w:type="dxa"/>
            <w:vAlign w:val="bottom"/>
            <w:tcBorders>
              <w:top w:val="single" w:sz="8" w:color="FEFEFE"/>
            </w:tcBorders>
          </w:tcPr>
          <w:p>
            <w:pPr>
              <w:spacing w:after="0"/>
              <w:rPr>
                <w:sz w:val="18"/>
                <w:szCs w:val="18"/>
                <w:color w:val="auto"/>
              </w:rPr>
            </w:pPr>
          </w:p>
        </w:tc>
        <w:tc>
          <w:tcPr>
            <w:tcW w:w="440" w:type="dxa"/>
            <w:vAlign w:val="bottom"/>
            <w:tcBorders>
              <w:top w:val="single" w:sz="8" w:color="FEFEFE"/>
            </w:tcBorders>
          </w:tcPr>
          <w:p>
            <w:pPr>
              <w:spacing w:after="0"/>
              <w:rPr>
                <w:sz w:val="18"/>
                <w:szCs w:val="18"/>
                <w:color w:val="auto"/>
              </w:rPr>
            </w:pPr>
          </w:p>
        </w:tc>
        <w:tc>
          <w:tcPr>
            <w:tcW w:w="1900" w:type="dxa"/>
            <w:vAlign w:val="bottom"/>
            <w:tcBorders>
              <w:top w:val="single" w:sz="8" w:color="FEFEFE"/>
            </w:tcBorders>
          </w:tcPr>
          <w:p>
            <w:pPr>
              <w:spacing w:after="0"/>
              <w:rPr>
                <w:sz w:val="18"/>
                <w:szCs w:val="18"/>
                <w:color w:val="auto"/>
              </w:rPr>
            </w:pPr>
          </w:p>
        </w:tc>
        <w:tc>
          <w:tcPr>
            <w:tcW w:w="86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0" w:type="dxa"/>
            <w:vAlign w:val="bottom"/>
            <w:tcBorders>
              <w:bottom w:val="single" w:sz="8" w:color="0000EE"/>
            </w:tcBorders>
            <w:gridSpan w:val="3"/>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Borders>
              <w:bottom w:val="single" w:sz="8" w:color="0000EE"/>
            </w:tcBorders>
            <w:gridSpan w:val="2"/>
            <w:vMerge w:val="continue"/>
          </w:tcPr>
          <w:p>
            <w:pPr>
              <w:spacing w:after="0"/>
              <w:rPr>
                <w:sz w:val="17"/>
                <w:szCs w:val="17"/>
                <w:color w:val="auto"/>
              </w:rPr>
            </w:pPr>
          </w:p>
        </w:tc>
        <w:tc>
          <w:tcPr>
            <w:tcW w:w="3540" w:type="dxa"/>
            <w:vAlign w:val="bottom"/>
            <w:tcBorders>
              <w:bottom w:val="single" w:sz="8" w:color="0000EE"/>
            </w:tcBorders>
            <w:gridSpan w:val="6"/>
            <w:shd w:val="clear" w:color="auto" w:fill="FEFEFE"/>
          </w:tcPr>
          <w:p>
            <w:pPr>
              <w:spacing w:after="0" w:line="176" w:lineRule="exact"/>
              <w:rPr>
                <w:rFonts w:ascii="Arial" w:cs="Arial" w:eastAsia="Arial" w:hAnsi="Arial"/>
                <w:sz w:val="18"/>
                <w:szCs w:val="18"/>
                <w:color w:val="0000EE"/>
                <w:highlight w:val="white"/>
                <w:w w:val="92"/>
              </w:rPr>
            </w:pPr>
            <w:hyperlink w:anchor="page11">
              <w:r>
                <w:rPr>
                  <w:rFonts w:ascii="Arial" w:cs="Arial" w:eastAsia="Arial" w:hAnsi="Arial"/>
                  <w:sz w:val="18"/>
                  <w:szCs w:val="18"/>
                  <w:color w:val="0000EE"/>
                  <w:highlight w:val="white"/>
                  <w:w w:val="92"/>
                </w:rPr>
                <w:t>M SPAC Holdings I, LLC dated March 13, 2018.</w:t>
              </w:r>
            </w:hyperlink>
          </w:p>
        </w:tc>
        <w:tc>
          <w:tcPr>
            <w:tcW w:w="20" w:type="dxa"/>
            <w:vAlign w:val="bottom"/>
            <w:tcBorders>
              <w:bottom w:val="single" w:sz="8" w:color="0000EE"/>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gridSpan w:val="3"/>
            <w:vMerge w:val="restart"/>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vMerge w:val="restart"/>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Promissory Note issued to</w:t>
              </w:r>
            </w:hyperlink>
          </w:p>
        </w:tc>
        <w:tc>
          <w:tcPr>
            <w:tcW w:w="220" w:type="dxa"/>
            <w:vAlign w:val="bottom"/>
            <w:tcBorders>
              <w:top w:val="single" w:sz="8" w:color="FEFEFE"/>
            </w:tcBorders>
          </w:tcPr>
          <w:p>
            <w:pPr>
              <w:spacing w:after="0"/>
              <w:rPr>
                <w:sz w:val="18"/>
                <w:szCs w:val="18"/>
                <w:color w:val="auto"/>
              </w:rPr>
            </w:pPr>
          </w:p>
        </w:tc>
        <w:tc>
          <w:tcPr>
            <w:tcW w:w="120" w:type="dxa"/>
            <w:vAlign w:val="bottom"/>
            <w:tcBorders>
              <w:top w:val="single" w:sz="8" w:color="FEFEFE"/>
            </w:tcBorders>
          </w:tcPr>
          <w:p>
            <w:pPr>
              <w:spacing w:after="0"/>
              <w:rPr>
                <w:sz w:val="18"/>
                <w:szCs w:val="18"/>
                <w:color w:val="auto"/>
              </w:rPr>
            </w:pPr>
          </w:p>
        </w:tc>
        <w:tc>
          <w:tcPr>
            <w:tcW w:w="440" w:type="dxa"/>
            <w:vAlign w:val="bottom"/>
            <w:tcBorders>
              <w:top w:val="single" w:sz="8" w:color="FEFEFE"/>
            </w:tcBorders>
          </w:tcPr>
          <w:p>
            <w:pPr>
              <w:spacing w:after="0"/>
              <w:rPr>
                <w:sz w:val="18"/>
                <w:szCs w:val="18"/>
                <w:color w:val="auto"/>
              </w:rPr>
            </w:pPr>
          </w:p>
        </w:tc>
        <w:tc>
          <w:tcPr>
            <w:tcW w:w="2760" w:type="dxa"/>
            <w:vAlign w:val="bottom"/>
            <w:tcBorders>
              <w:top w:val="single" w:sz="8" w:color="FEFEFE"/>
            </w:tcBorders>
            <w:gridSpan w:val="3"/>
          </w:tcPr>
          <w:p>
            <w:pPr>
              <w:spacing w:after="0"/>
              <w:rPr>
                <w:sz w:val="18"/>
                <w:szCs w:val="18"/>
                <w:color w:val="auto"/>
              </w:rPr>
            </w:pP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0" w:type="dxa"/>
            <w:vAlign w:val="bottom"/>
            <w:tcBorders>
              <w:bottom w:val="single" w:sz="8" w:color="0000EE"/>
            </w:tcBorders>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Borders>
              <w:bottom w:val="single" w:sz="8" w:color="0000EE"/>
            </w:tcBorders>
            <w:gridSpan w:val="2"/>
            <w:vMerge w:val="continue"/>
          </w:tcPr>
          <w:p>
            <w:pPr>
              <w:spacing w:after="0"/>
              <w:rPr>
                <w:sz w:val="15"/>
                <w:szCs w:val="15"/>
                <w:color w:val="auto"/>
              </w:rPr>
            </w:pPr>
          </w:p>
        </w:tc>
        <w:tc>
          <w:tcPr>
            <w:tcW w:w="3600" w:type="dxa"/>
            <w:vAlign w:val="bottom"/>
            <w:tcBorders>
              <w:bottom w:val="single" w:sz="8" w:color="0000EE"/>
            </w:tcBorders>
            <w:gridSpan w:val="8"/>
            <w:shd w:val="clear" w:color="auto" w:fill="FEFEFE"/>
          </w:tcPr>
          <w:p>
            <w:pPr>
              <w:spacing w:after="0" w:line="176" w:lineRule="exact"/>
              <w:rPr>
                <w:rFonts w:ascii="Arial" w:cs="Arial" w:eastAsia="Arial" w:hAnsi="Arial"/>
                <w:sz w:val="18"/>
                <w:szCs w:val="18"/>
                <w:color w:val="0000EE"/>
                <w:highlight w:val="white"/>
                <w:w w:val="92"/>
              </w:rPr>
            </w:pPr>
            <w:hyperlink w:anchor="page16">
              <w:r>
                <w:rPr>
                  <w:rFonts w:ascii="Arial" w:cs="Arial" w:eastAsia="Arial" w:hAnsi="Arial"/>
                  <w:sz w:val="18"/>
                  <w:szCs w:val="18"/>
                  <w:color w:val="0000EE"/>
                  <w:highlight w:val="white"/>
                  <w:w w:val="92"/>
                </w:rPr>
                <w:t>M SPAC Holdings II, LLC dated March 13, 2018.</w:t>
              </w:r>
            </w:hyperlink>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gridSpan w:val="3"/>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20" w:type="dxa"/>
            <w:vAlign w:val="bottom"/>
            <w:gridSpan w:val="5"/>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300" w:type="dxa"/>
            <w:vAlign w:val="bottom"/>
            <w:tcBorders>
              <w:bottom w:val="single" w:sz="8" w:color="FEFEFE"/>
            </w:tcBorders>
            <w:vMerge w:val="restart"/>
            <w:shd w:val="clear" w:color="auto" w:fill="FEFEFE"/>
          </w:tcPr>
          <w:p>
            <w:pPr>
              <w:spacing w:after="0" w:line="176" w:lineRule="exact"/>
              <w:rPr>
                <w:rFonts w:ascii="Arial" w:cs="Arial" w:eastAsia="Arial" w:hAnsi="Arial"/>
                <w:sz w:val="18"/>
                <w:szCs w:val="18"/>
                <w:color w:val="0000EE"/>
                <w:highlight w:val="white"/>
                <w:w w:val="79"/>
              </w:rPr>
            </w:pPr>
            <w:hyperlink w:anchor="page21">
              <w:r>
                <w:rPr>
                  <w:rFonts w:ascii="Arial" w:cs="Arial" w:eastAsia="Arial" w:hAnsi="Arial"/>
                  <w:sz w:val="18"/>
                  <w:szCs w:val="18"/>
                  <w:color w:val="0000EE"/>
                  <w:highlight w:val="white"/>
                  <w:w w:val="79"/>
                </w:rPr>
                <w:t>99.</w:t>
              </w:r>
              <w:r>
                <w:rPr>
                  <w:rFonts w:ascii="Arial" w:cs="Arial" w:eastAsia="Arial" w:hAnsi="Arial"/>
                  <w:sz w:val="18"/>
                  <w:szCs w:val="18"/>
                  <w:u w:val="single" w:color="auto"/>
                  <w:color w:val="0000EE"/>
                  <w:highlight w:val="white"/>
                  <w:w w:val="79"/>
                </w:rPr>
                <w:t>1</w:t>
              </w:r>
            </w:hyperlink>
          </w:p>
        </w:tc>
        <w:tc>
          <w:tcPr>
            <w:tcW w:w="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Borders>
              <w:bottom w:val="single" w:sz="8" w:color="FEFEFE"/>
            </w:tcBorders>
            <w:gridSpan w:val="3"/>
            <w:vMerge w:val="restart"/>
            <w:shd w:val="clear" w:color="auto" w:fill="FEFEFE"/>
          </w:tcPr>
          <w:p>
            <w:pPr>
              <w:spacing w:after="0" w:line="176" w:lineRule="exact"/>
              <w:rPr>
                <w:rFonts w:ascii="Arial" w:cs="Arial" w:eastAsia="Arial" w:hAnsi="Arial"/>
                <w:sz w:val="18"/>
                <w:szCs w:val="18"/>
                <w:color w:val="0000EE"/>
                <w:highlight w:val="white"/>
                <w:w w:val="86"/>
              </w:rPr>
            </w:pPr>
            <w:hyperlink w:anchor="page21">
              <w:r>
                <w:rPr>
                  <w:rFonts w:ascii="Arial" w:cs="Arial" w:eastAsia="Arial" w:hAnsi="Arial"/>
                  <w:sz w:val="18"/>
                  <w:szCs w:val="18"/>
                  <w:color w:val="0000EE"/>
                  <w:highlight w:val="white"/>
                  <w:w w:val="86"/>
                </w:rPr>
                <w:t>Press Release dated March 14</w:t>
              </w:r>
            </w:hyperlink>
          </w:p>
        </w:tc>
        <w:tc>
          <w:tcPr>
            <w:tcW w:w="120" w:type="dxa"/>
            <w:vAlign w:val="bottom"/>
            <w:tcBorders>
              <w:bottom w:val="single" w:sz="8" w:color="0000EE"/>
            </w:tcBorders>
            <w:shd w:val="clear" w:color="auto" w:fill="FEFEFE"/>
          </w:tcPr>
          <w:p>
            <w:pPr>
              <w:spacing w:after="0" w:line="88" w:lineRule="exact"/>
              <w:rPr>
                <w:rFonts w:ascii="Arial" w:cs="Arial" w:eastAsia="Arial" w:hAnsi="Arial"/>
                <w:sz w:val="10"/>
                <w:szCs w:val="10"/>
                <w:color w:val="0000EE"/>
                <w:highlight w:val="white"/>
              </w:rPr>
            </w:pPr>
            <w:hyperlink w:anchor="page21">
              <w:r>
                <w:rPr>
                  <w:rFonts w:ascii="Arial" w:cs="Arial" w:eastAsia="Arial" w:hAnsi="Arial"/>
                  <w:sz w:val="10"/>
                  <w:szCs w:val="10"/>
                  <w:color w:val="0000EE"/>
                  <w:highlight w:val="white"/>
                </w:rPr>
                <w:t>th</w:t>
              </w:r>
            </w:hyperlink>
          </w:p>
        </w:tc>
        <w:tc>
          <w:tcPr>
            <w:tcW w:w="440" w:type="dxa"/>
            <w:vAlign w:val="bottom"/>
            <w:tcBorders>
              <w:bottom w:val="single" w:sz="8" w:color="FEFEFE"/>
            </w:tcBorders>
            <w:vMerge w:val="restart"/>
            <w:shd w:val="clear" w:color="auto" w:fill="FEFEFE"/>
          </w:tcPr>
          <w:p>
            <w:pPr>
              <w:jc w:val="right"/>
              <w:spacing w:after="0" w:line="176" w:lineRule="exact"/>
              <w:rPr>
                <w:rFonts w:ascii="Arial" w:cs="Arial" w:eastAsia="Arial" w:hAnsi="Arial"/>
                <w:sz w:val="18"/>
                <w:szCs w:val="18"/>
                <w:color w:val="0000EE"/>
                <w:highlight w:val="white"/>
                <w:w w:val="83"/>
              </w:rPr>
            </w:pPr>
            <w:hyperlink w:anchor="page21">
              <w:r>
                <w:rPr>
                  <w:rFonts w:ascii="Arial" w:cs="Arial" w:eastAsia="Arial" w:hAnsi="Arial"/>
                  <w:sz w:val="18"/>
                  <w:szCs w:val="18"/>
                  <w:color w:val="0000EE"/>
                  <w:highlight w:val="white"/>
                  <w:w w:val="83"/>
                </w:rPr>
                <w:t>, 2018</w:t>
              </w:r>
            </w:hyperlink>
          </w:p>
        </w:tc>
        <w:tc>
          <w:tcPr>
            <w:tcW w:w="28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 w:type="dxa"/>
            <w:vAlign w:val="bottom"/>
            <w:tcBorders>
              <w:bottom w:val="single" w:sz="8" w:color="0000EE"/>
            </w:tcBorders>
            <w:vMerge w:val="continue"/>
            <w:shd w:val="clear" w:color="auto" w:fill="FEFEF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60" w:type="dxa"/>
            <w:vAlign w:val="bottom"/>
            <w:tcBorders>
              <w:bottom w:val="single" w:sz="8" w:color="0000EE"/>
            </w:tcBorders>
            <w:gridSpan w:val="3"/>
            <w:vMerge w:val="continue"/>
            <w:shd w:val="clear" w:color="auto" w:fill="FEFEFE"/>
          </w:tcPr>
          <w:p>
            <w:pPr>
              <w:spacing w:after="0"/>
              <w:rPr>
                <w:sz w:val="4"/>
                <w:szCs w:val="4"/>
                <w:color w:val="auto"/>
              </w:rPr>
            </w:pPr>
          </w:p>
        </w:tc>
        <w:tc>
          <w:tcPr>
            <w:tcW w:w="120" w:type="dxa"/>
            <w:vAlign w:val="bottom"/>
            <w:tcBorders>
              <w:bottom w:val="single" w:sz="8" w:color="FEFEFE"/>
            </w:tcBorders>
            <w:shd w:val="clear" w:color="auto" w:fill="FEFEFE"/>
          </w:tcPr>
          <w:p>
            <w:pPr>
              <w:spacing w:after="0"/>
              <w:rPr>
                <w:sz w:val="4"/>
                <w:szCs w:val="4"/>
                <w:color w:val="auto"/>
              </w:rPr>
            </w:pPr>
          </w:p>
        </w:tc>
        <w:tc>
          <w:tcPr>
            <w:tcW w:w="440" w:type="dxa"/>
            <w:vAlign w:val="bottom"/>
            <w:tcBorders>
              <w:bottom w:val="single" w:sz="8" w:color="0000EE"/>
            </w:tcBorders>
            <w:vMerge w:val="continue"/>
            <w:shd w:val="clear" w:color="auto" w:fill="FEFEFE"/>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96" w:right="259" w:bottom="1440" w:gutter="0" w:footer="0" w:header="0"/>
        </w:sectPr>
      </w:pPr>
    </w:p>
    <w:bookmarkStart w:id="3" w:name="page4"/>
    <w:bookmarkEnd w:id="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 Manuel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9"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Principal Amount: $113,680.04</w:t>
      </w:r>
      <w:r>
        <w:rPr>
          <w:sz w:val="20"/>
          <w:szCs w:val="20"/>
          <w:color w:val="auto"/>
        </w:rPr>
        <w:tab/>
      </w:r>
      <w:r>
        <w:rPr>
          <w:rFonts w:ascii="Arial" w:cs="Arial" w:eastAsia="Arial" w:hAnsi="Arial"/>
          <w:sz w:val="24"/>
          <w:szCs w:val="24"/>
          <w:color w:val="auto"/>
          <w:vertAlign w:val="subscript"/>
        </w:rPr>
        <w:t>Dated as of March 13</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2018</w:t>
      </w:r>
    </w:p>
    <w:p>
      <w:pPr>
        <w:spacing w:after="0" w:line="35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M SPAC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One Hundred Thirteen Thousand Six Hundred Eighty Dollars and Four Cents ($113,680.04)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5"/>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left="1292" w:right="60" w:hanging="644"/>
        <w:spacing w:after="0" w:line="258" w:lineRule="auto"/>
        <w:tabs>
          <w:tab w:leader="none" w:pos="1292" w:val="left"/>
        </w:tabs>
        <w:numPr>
          <w:ilvl w:val="1"/>
          <w:numId w:val="6"/>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7"/>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7"/>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7"/>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7"/>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7"/>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7" w:name="page8"/>
    <w:bookmarkEnd w:id="7"/>
    <w:p>
      <w:pPr>
        <w:ind w:left="660" w:right="480" w:hanging="652"/>
        <w:spacing w:after="0" w:line="314" w:lineRule="auto"/>
        <w:tabs>
          <w:tab w:leader="none" w:pos="660" w:val="left"/>
        </w:tabs>
        <w:numPr>
          <w:ilvl w:val="0"/>
          <w:numId w:val="8"/>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Magna Management LLC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9"/>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9"/>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9"/>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9"/>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8" w:name="page9"/>
    <w:bookmarkEnd w:id="8"/>
    <w:p>
      <w:pPr>
        <w:ind w:left="660" w:right="20" w:hanging="652"/>
        <w:spacing w:after="0" w:line="282"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10"/>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10"/>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9" w:name="page10"/>
    <w:bookmarkEnd w:id="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10300"/>
        <w:spacing w:after="0"/>
        <w:rPr>
          <w:sz w:val="20"/>
          <w:szCs w:val="20"/>
          <w:color w:val="auto"/>
        </w:rPr>
      </w:pPr>
      <w:r>
        <w:rPr>
          <w:rFonts w:ascii="Arial" w:cs="Arial" w:eastAsia="Arial" w:hAnsi="Arial"/>
          <w:sz w:val="19"/>
          <w:szCs w:val="19"/>
          <w:b w:val="1"/>
          <w:bCs w:val="1"/>
          <w:color w:val="auto"/>
        </w:rPr>
        <w:t>Exhibit 10.2</w:t>
      </w:r>
    </w:p>
    <w:p>
      <w:pPr>
        <w:spacing w:after="0" w:line="2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9"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Principal Amount: $18,908.24</w:t>
      </w:r>
      <w:r>
        <w:rPr>
          <w:sz w:val="20"/>
          <w:szCs w:val="20"/>
          <w:color w:val="auto"/>
        </w:rPr>
        <w:tab/>
      </w:r>
      <w:r>
        <w:rPr>
          <w:rFonts w:ascii="Arial" w:cs="Arial" w:eastAsia="Arial" w:hAnsi="Arial"/>
          <w:sz w:val="24"/>
          <w:szCs w:val="24"/>
          <w:color w:val="auto"/>
          <w:vertAlign w:val="subscript"/>
        </w:rPr>
        <w:t>Dated as of March 13</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2018</w:t>
      </w:r>
    </w:p>
    <w:p>
      <w:pPr>
        <w:spacing w:after="0" w:line="35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M SPAC Holdings I,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Eighteen Thousand Nine Hundred and Eight Dollars and Twenty Four Cents ($18,908.24)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11"/>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 w:name="page12"/>
    <w:bookmarkEnd w:id="11"/>
    <w:p>
      <w:pPr>
        <w:ind w:left="1292" w:right="60" w:hanging="644"/>
        <w:spacing w:after="0" w:line="258" w:lineRule="auto"/>
        <w:tabs>
          <w:tab w:leader="none" w:pos="1292" w:val="left"/>
        </w:tabs>
        <w:numPr>
          <w:ilvl w:val="1"/>
          <w:numId w:val="12"/>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13"/>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13"/>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13"/>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13"/>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12" w:name="page13"/>
    <w:bookmarkEnd w:id="12"/>
    <w:p>
      <w:pPr>
        <w:ind w:left="660" w:right="480" w:hanging="652"/>
        <w:spacing w:after="0" w:line="314" w:lineRule="auto"/>
        <w:tabs>
          <w:tab w:leader="none" w:pos="660" w:val="left"/>
        </w:tabs>
        <w:numPr>
          <w:ilvl w:val="0"/>
          <w:numId w:val="14"/>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Magna Management LLC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15"/>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15"/>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15"/>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15"/>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13" w:name="page14"/>
    <w:bookmarkEnd w:id="13"/>
    <w:p>
      <w:pPr>
        <w:ind w:left="660" w:right="20" w:hanging="652"/>
        <w:spacing w:after="0" w:line="282" w:lineRule="auto"/>
        <w:tabs>
          <w:tab w:leader="none" w:pos="660" w:val="left"/>
        </w:tabs>
        <w:numPr>
          <w:ilvl w:val="0"/>
          <w:numId w:val="16"/>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16"/>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16"/>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4" w:name="page15"/>
    <w:bookmarkEnd w:id="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10300"/>
        <w:spacing w:after="0"/>
        <w:rPr>
          <w:sz w:val="20"/>
          <w:szCs w:val="20"/>
          <w:color w:val="auto"/>
        </w:rPr>
      </w:pPr>
      <w:r>
        <w:rPr>
          <w:rFonts w:ascii="Arial" w:cs="Arial" w:eastAsia="Arial" w:hAnsi="Arial"/>
          <w:sz w:val="19"/>
          <w:szCs w:val="19"/>
          <w:b w:val="1"/>
          <w:bCs w:val="1"/>
          <w:color w:val="auto"/>
        </w:rPr>
        <w:t>Exhibit 10.3</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9" w:lineRule="exact"/>
        <w:rPr>
          <w:sz w:val="20"/>
          <w:szCs w:val="20"/>
          <w:color w:val="auto"/>
        </w:rPr>
      </w:pPr>
    </w:p>
    <w:p>
      <w:pPr>
        <w:spacing w:after="0"/>
        <w:tabs>
          <w:tab w:leader="none" w:pos="9280" w:val="left"/>
        </w:tabs>
        <w:rPr>
          <w:sz w:val="20"/>
          <w:szCs w:val="20"/>
          <w:color w:val="auto"/>
        </w:rPr>
      </w:pPr>
      <w:r>
        <w:rPr>
          <w:rFonts w:ascii="Arial" w:cs="Arial" w:eastAsia="Arial" w:hAnsi="Arial"/>
          <w:sz w:val="18"/>
          <w:szCs w:val="18"/>
          <w:color w:val="auto"/>
        </w:rPr>
        <w:t>Principal Amount: $164.46</w:t>
      </w:r>
      <w:r>
        <w:rPr>
          <w:sz w:val="20"/>
          <w:szCs w:val="20"/>
          <w:color w:val="auto"/>
        </w:rPr>
        <w:tab/>
      </w:r>
      <w:r>
        <w:rPr>
          <w:rFonts w:ascii="Arial" w:cs="Arial" w:eastAsia="Arial" w:hAnsi="Arial"/>
          <w:sz w:val="24"/>
          <w:szCs w:val="24"/>
          <w:color w:val="auto"/>
          <w:vertAlign w:val="subscript"/>
        </w:rPr>
        <w:t>Dated as of March 13</w:t>
      </w:r>
      <w:r>
        <w:rPr>
          <w:rFonts w:ascii="Arial" w:cs="Arial" w:eastAsia="Arial" w:hAnsi="Arial"/>
          <w:sz w:val="20"/>
          <w:szCs w:val="20"/>
          <w:color w:val="auto"/>
          <w:vertAlign w:val="superscript"/>
        </w:rPr>
        <w:t>th</w:t>
      </w:r>
      <w:r>
        <w:rPr>
          <w:rFonts w:ascii="Arial" w:cs="Arial" w:eastAsia="Arial" w:hAnsi="Arial"/>
          <w:sz w:val="24"/>
          <w:szCs w:val="24"/>
          <w:color w:val="auto"/>
          <w:vertAlign w:val="subscript"/>
        </w:rPr>
        <w:t>, 2018</w:t>
      </w:r>
    </w:p>
    <w:p>
      <w:pPr>
        <w:spacing w:after="0" w:line="35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M I Acquisitions, Inc., a Delaware corporation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M SPAC Holdings II,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the principal sum of One Hundred Sixty Four Dollars and Forty Six Cents ($164.46)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4" w:lineRule="exact"/>
        <w:rPr>
          <w:sz w:val="20"/>
          <w:szCs w:val="20"/>
          <w:color w:val="auto"/>
        </w:rPr>
      </w:pPr>
    </w:p>
    <w:p>
      <w:pPr>
        <w:ind w:left="660" w:right="360" w:hanging="652"/>
        <w:spacing w:after="0" w:line="288" w:lineRule="auto"/>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shall be payable five (5) business days after the date on which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and completes a business combination as outlined in the Company’s final prospectus dated on September 13</w:t>
      </w:r>
      <w:r>
        <w:rPr>
          <w:rFonts w:ascii="Arial" w:cs="Arial" w:eastAsia="Arial" w:hAnsi="Arial"/>
          <w:sz w:val="30"/>
          <w:szCs w:val="30"/>
          <w:color w:val="auto"/>
          <w:vertAlign w:val="superscript"/>
        </w:rPr>
        <w:t>th</w:t>
      </w:r>
      <w:r>
        <w:rPr>
          <w:rFonts w:ascii="Arial" w:cs="Arial" w:eastAsia="Arial" w:hAnsi="Arial"/>
          <w:sz w:val="18"/>
          <w:szCs w:val="18"/>
          <w:color w:val="auto"/>
        </w:rPr>
        <w:t>, 2016 and filed on September 15</w:t>
      </w:r>
      <w:r>
        <w:rPr>
          <w:rFonts w:ascii="Arial" w:cs="Arial" w:eastAsia="Arial" w:hAnsi="Arial"/>
          <w:sz w:val="30"/>
          <w:szCs w:val="30"/>
          <w:color w:val="auto"/>
          <w:vertAlign w:val="superscript"/>
        </w:rPr>
        <w:t>th</w:t>
      </w:r>
      <w:r>
        <w:rPr>
          <w:rFonts w:ascii="Arial" w:cs="Arial" w:eastAsia="Arial" w:hAnsi="Arial"/>
          <w:sz w:val="18"/>
          <w:szCs w:val="18"/>
          <w:color w:val="auto"/>
        </w:rPr>
        <w:t>, 2016 (the “</w:t>
      </w:r>
      <w:r>
        <w:rPr>
          <w:rFonts w:ascii="Arial" w:cs="Arial" w:eastAsia="Arial" w:hAnsi="Arial"/>
          <w:sz w:val="18"/>
          <w:szCs w:val="18"/>
          <w:b w:val="1"/>
          <w:bCs w:val="1"/>
          <w:color w:val="auto"/>
        </w:rPr>
        <w:t>Prospectus</w:t>
      </w:r>
      <w:r>
        <w:rPr>
          <w:rFonts w:ascii="Arial" w:cs="Arial" w:eastAsia="Arial" w:hAnsi="Arial"/>
          <w:sz w:val="18"/>
          <w:szCs w:val="18"/>
          <w:color w:val="auto"/>
        </w:rPr>
        <w:t>”).</w:t>
      </w:r>
    </w:p>
    <w:p>
      <w:pPr>
        <w:spacing w:after="0" w:line="34" w:lineRule="exact"/>
        <w:rPr>
          <w:rFonts w:ascii="Arial" w:cs="Arial" w:eastAsia="Arial" w:hAnsi="Arial"/>
          <w:sz w:val="18"/>
          <w:szCs w:val="18"/>
          <w:color w:val="010000"/>
        </w:rPr>
      </w:pPr>
    </w:p>
    <w:p>
      <w:pPr>
        <w:ind w:left="660" w:hanging="652"/>
        <w:spacing w:after="0"/>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010000"/>
        </w:rPr>
      </w:pPr>
    </w:p>
    <w:p>
      <w:pPr>
        <w:ind w:left="660" w:right="320" w:hanging="652"/>
        <w:spacing w:after="0" w:line="266" w:lineRule="auto"/>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Note, including (without limitation) reasonable attorney’s fees, then to the payment in full of any late charges and finally to the reduction of the unpaid principal balance of this Note.</w:t>
      </w:r>
    </w:p>
    <w:p>
      <w:pPr>
        <w:spacing w:after="0" w:line="176" w:lineRule="exact"/>
        <w:rPr>
          <w:rFonts w:ascii="Arial" w:cs="Arial" w:eastAsia="Arial" w:hAnsi="Arial"/>
          <w:sz w:val="18"/>
          <w:szCs w:val="18"/>
          <w:color w:val="010000"/>
        </w:rPr>
      </w:pPr>
    </w:p>
    <w:p>
      <w:pPr>
        <w:ind w:left="660" w:hanging="652"/>
        <w:spacing w:after="0"/>
        <w:tabs>
          <w:tab w:leader="none" w:pos="660" w:val="left"/>
        </w:tabs>
        <w:numPr>
          <w:ilvl w:val="0"/>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010000"/>
        </w:rPr>
      </w:pPr>
    </w:p>
    <w:p>
      <w:pPr>
        <w:ind w:left="1300" w:right="180" w:hanging="644"/>
        <w:spacing w:after="0" w:line="282" w:lineRule="auto"/>
        <w:tabs>
          <w:tab w:leader="none" w:pos="1300" w:val="left"/>
        </w:tabs>
        <w:numPr>
          <w:ilvl w:val="1"/>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Failure to Make Required Payments. </w:t>
      </w:r>
      <w:r>
        <w:rPr>
          <w:rFonts w:ascii="Arial" w:cs="Arial" w:eastAsia="Arial" w:hAnsi="Arial"/>
          <w:sz w:val="18"/>
          <w:szCs w:val="18"/>
          <w:color w:val="auto"/>
        </w:rPr>
        <w:t>Failure by Maker to pay the principal of this Note within five (5) business days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due.</w:t>
      </w:r>
    </w:p>
    <w:p>
      <w:pPr>
        <w:spacing w:after="0" w:line="161" w:lineRule="exact"/>
        <w:rPr>
          <w:rFonts w:ascii="Arial" w:cs="Arial" w:eastAsia="Arial" w:hAnsi="Arial"/>
          <w:sz w:val="18"/>
          <w:szCs w:val="18"/>
          <w:color w:val="010000"/>
        </w:rPr>
      </w:pPr>
    </w:p>
    <w:p>
      <w:pPr>
        <w:ind w:left="1300" w:right="380" w:hanging="644"/>
        <w:spacing w:after="0" w:line="258" w:lineRule="auto"/>
        <w:tabs>
          <w:tab w:leader="none" w:pos="1300" w:val="left"/>
        </w:tabs>
        <w:numPr>
          <w:ilvl w:val="1"/>
          <w:numId w:val="17"/>
        </w:numPr>
        <w:rPr>
          <w:rFonts w:ascii="Arial" w:cs="Arial" w:eastAsia="Arial" w:hAnsi="Arial"/>
          <w:sz w:val="18"/>
          <w:szCs w:val="18"/>
          <w:color w:val="010000"/>
        </w:rPr>
      </w:pPr>
      <w:r>
        <w:rPr>
          <w:rFonts w:ascii="Arial" w:cs="Arial" w:eastAsia="Arial" w:hAnsi="Arial"/>
          <w:sz w:val="18"/>
          <w:szCs w:val="18"/>
          <w:b w:val="1"/>
          <w:bCs w:val="1"/>
          <w:color w:val="auto"/>
        </w:rPr>
        <w:t xml:space="preserve">Voluntary Liquidation, Etc. </w:t>
      </w:r>
      <w:r>
        <w:rPr>
          <w:rFonts w:ascii="Arial" w:cs="Arial" w:eastAsia="Arial" w:hAnsi="Arial"/>
          <w:sz w:val="18"/>
          <w:szCs w:val="18"/>
          <w:color w:val="auto"/>
        </w:rPr>
        <w:t>The commencement by Maker of a proceeding relating to its bankruptcy, insolvency,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rehabilitation or other similar action, or the consent by it to the appointment of, or taking possession by, a receiver, liquidator, assignee, trustee, custodian, sequestrator (or other similar official) for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 w:name="page17"/>
    <w:bookmarkEnd w:id="16"/>
    <w:p>
      <w:pPr>
        <w:ind w:left="1292" w:right="60" w:hanging="644"/>
        <w:spacing w:after="0" w:line="258" w:lineRule="auto"/>
        <w:tabs>
          <w:tab w:leader="none" w:pos="1292" w:val="left"/>
        </w:tabs>
        <w:numPr>
          <w:ilvl w:val="1"/>
          <w:numId w:val="18"/>
        </w:numPr>
        <w:rPr>
          <w:rFonts w:ascii="Arial" w:cs="Arial" w:eastAsia="Arial" w:hAnsi="Arial"/>
          <w:sz w:val="18"/>
          <w:szCs w:val="18"/>
          <w:color w:val="010000"/>
        </w:rPr>
      </w:pPr>
      <w:r>
        <w:rPr>
          <w:rFonts w:ascii="Arial" w:cs="Arial" w:eastAsia="Arial" w:hAnsi="Arial"/>
          <w:sz w:val="18"/>
          <w:szCs w:val="18"/>
          <w:b w:val="1"/>
          <w:bCs w:val="1"/>
          <w:color w:val="auto"/>
        </w:rPr>
        <w:t xml:space="preserve">Involuntary Bankruptcy, Etc. </w:t>
      </w:r>
      <w:r>
        <w:rPr>
          <w:rFonts w:ascii="Arial" w:cs="Arial" w:eastAsia="Arial" w:hAnsi="Arial"/>
          <w:sz w:val="18"/>
          <w:szCs w:val="18"/>
          <w:color w:val="auto"/>
        </w:rPr>
        <w:t>The entry of a decree or order for relief by a court having jurisdiction in the premises in respect of maker in</w:t>
      </w:r>
      <w:r>
        <w:rPr>
          <w:rFonts w:ascii="Arial" w:cs="Arial" w:eastAsia="Arial" w:hAnsi="Arial"/>
          <w:sz w:val="18"/>
          <w:szCs w:val="18"/>
          <w:b w:val="1"/>
          <w:bCs w:val="1"/>
          <w:color w:val="auto"/>
        </w:rPr>
        <w:t xml:space="preserve"> </w:t>
      </w:r>
      <w:r>
        <w:rPr>
          <w:rFonts w:ascii="Arial" w:cs="Arial" w:eastAsia="Arial" w:hAnsi="Arial"/>
          <w:sz w:val="18"/>
          <w:szCs w:val="18"/>
          <w:color w:val="auto"/>
        </w:rPr>
        <w:t>an involuntary case under any applicable bankruptcy, insolvency or similar law, for the appointing of a receiver, liquidator, assignee, custodian, trustee, sequestrator (or similar official) for Maker or for any substantial part of its property, or ordering the winding-up or liquidation of the affairs of Maker, and the continuance of any such decree or order unstayed and in effect for a period of 60 consecutive days.</w:t>
      </w:r>
    </w:p>
    <w:p>
      <w:pPr>
        <w:spacing w:after="0" w:line="183" w:lineRule="exact"/>
        <w:rPr>
          <w:rFonts w:ascii="Arial" w:cs="Arial" w:eastAsia="Arial" w:hAnsi="Arial"/>
          <w:sz w:val="18"/>
          <w:szCs w:val="18"/>
          <w:color w:val="010000"/>
        </w:rPr>
      </w:pPr>
    </w:p>
    <w:p>
      <w:pPr>
        <w:ind w:left="652" w:hanging="652"/>
        <w:spacing w:after="0"/>
        <w:tabs>
          <w:tab w:leader="none" w:pos="652" w:val="left"/>
        </w:tabs>
        <w:numPr>
          <w:ilvl w:val="0"/>
          <w:numId w:val="19"/>
        </w:numPr>
        <w:rPr>
          <w:rFonts w:ascii="Arial" w:cs="Arial" w:eastAsia="Arial" w:hAnsi="Arial"/>
          <w:sz w:val="18"/>
          <w:szCs w:val="18"/>
          <w:color w:val="010000"/>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color w:val="010000"/>
        </w:rPr>
      </w:pPr>
    </w:p>
    <w:p>
      <w:pPr>
        <w:ind w:left="1292" w:right="60" w:hanging="644"/>
        <w:spacing w:after="0" w:line="279" w:lineRule="auto"/>
        <w:tabs>
          <w:tab w:leader="none" w:pos="1292" w:val="left"/>
        </w:tabs>
        <w:numPr>
          <w:ilvl w:val="1"/>
          <w:numId w:val="19"/>
        </w:numPr>
        <w:rPr>
          <w:rFonts w:ascii="Arial" w:cs="Arial" w:eastAsia="Arial" w:hAnsi="Arial"/>
          <w:sz w:val="17"/>
          <w:szCs w:val="17"/>
          <w:color w:val="010000"/>
        </w:rPr>
      </w:pPr>
      <w:r>
        <w:rPr>
          <w:rFonts w:ascii="Arial" w:cs="Arial" w:eastAsia="Arial" w:hAnsi="Arial"/>
          <w:sz w:val="17"/>
          <w:szCs w:val="17"/>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1" w:lineRule="exact"/>
        <w:rPr>
          <w:rFonts w:ascii="Arial" w:cs="Arial" w:eastAsia="Arial" w:hAnsi="Arial"/>
          <w:sz w:val="17"/>
          <w:szCs w:val="17"/>
          <w:color w:val="010000"/>
        </w:rPr>
      </w:pPr>
    </w:p>
    <w:p>
      <w:pPr>
        <w:jc w:val="both"/>
        <w:ind w:left="1292" w:hanging="644"/>
        <w:spacing w:after="0" w:line="264" w:lineRule="auto"/>
        <w:tabs>
          <w:tab w:leader="none" w:pos="1292" w:val="left"/>
        </w:tabs>
        <w:numPr>
          <w:ilvl w:val="1"/>
          <w:numId w:val="19"/>
        </w:numPr>
        <w:rPr>
          <w:rFonts w:ascii="Arial" w:cs="Arial" w:eastAsia="Arial" w:hAnsi="Arial"/>
          <w:sz w:val="18"/>
          <w:szCs w:val="18"/>
          <w:color w:val="010000"/>
        </w:rPr>
      </w:pPr>
      <w:r>
        <w:rPr>
          <w:rFonts w:ascii="Arial" w:cs="Arial" w:eastAsia="Arial" w:hAnsi="Arial"/>
          <w:sz w:val="18"/>
          <w:szCs w:val="18"/>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77" w:lineRule="exact"/>
        <w:rPr>
          <w:rFonts w:ascii="Arial" w:cs="Arial" w:eastAsia="Arial" w:hAnsi="Arial"/>
          <w:sz w:val="18"/>
          <w:szCs w:val="18"/>
          <w:color w:val="010000"/>
        </w:rPr>
      </w:pPr>
    </w:p>
    <w:p>
      <w:pPr>
        <w:ind w:left="652" w:right="80" w:hanging="652"/>
        <w:spacing w:after="0" w:line="255" w:lineRule="auto"/>
        <w:tabs>
          <w:tab w:leader="none" w:pos="652" w:val="left"/>
        </w:tabs>
        <w:numPr>
          <w:ilvl w:val="0"/>
          <w:numId w:val="19"/>
        </w:numPr>
        <w:rPr>
          <w:rFonts w:ascii="Arial" w:cs="Arial" w:eastAsia="Arial" w:hAnsi="Arial"/>
          <w:sz w:val="18"/>
          <w:szCs w:val="18"/>
          <w:color w:val="010000"/>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w:t>
      </w:r>
      <w:r>
        <w:rPr>
          <w:rFonts w:ascii="Arial" w:cs="Arial" w:eastAsia="Arial" w:hAnsi="Arial"/>
          <w:sz w:val="18"/>
          <w:szCs w:val="18"/>
          <w:b w:val="1"/>
          <w:bCs w:val="1"/>
          <w:color w:val="auto"/>
        </w:rPr>
        <w:t xml:space="preserve"> </w:t>
      </w:r>
      <w:r>
        <w:rPr>
          <w:rFonts w:ascii="Arial" w:cs="Arial" w:eastAsia="Arial" w:hAnsi="Arial"/>
          <w:sz w:val="18"/>
          <w:szCs w:val="18"/>
          <w:color w:val="auto"/>
        </w:rPr>
        <w:t>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9" w:lineRule="exact"/>
        <w:rPr>
          <w:rFonts w:ascii="Arial" w:cs="Arial" w:eastAsia="Arial" w:hAnsi="Arial"/>
          <w:sz w:val="18"/>
          <w:szCs w:val="18"/>
          <w:color w:val="010000"/>
        </w:rPr>
      </w:pPr>
    </w:p>
    <w:p>
      <w:pPr>
        <w:ind w:left="652" w:hanging="652"/>
        <w:spacing w:after="0" w:line="256" w:lineRule="auto"/>
        <w:tabs>
          <w:tab w:leader="none" w:pos="652" w:val="left"/>
        </w:tabs>
        <w:numPr>
          <w:ilvl w:val="0"/>
          <w:numId w:val="19"/>
        </w:numPr>
        <w:rPr>
          <w:rFonts w:ascii="Arial" w:cs="Arial" w:eastAsia="Arial" w:hAnsi="Arial"/>
          <w:sz w:val="18"/>
          <w:szCs w:val="18"/>
          <w:color w:val="010000"/>
        </w:rPr>
      </w:pPr>
      <w:r>
        <w:rPr>
          <w:rFonts w:ascii="Arial" w:cs="Arial" w:eastAsia="Arial" w:hAnsi="Arial"/>
          <w:sz w:val="18"/>
          <w:szCs w:val="18"/>
          <w:b w:val="1"/>
          <w:bCs w:val="1"/>
          <w:color w:val="auto"/>
        </w:rPr>
        <w:t xml:space="preserve">Unconditional Liability. </w:t>
      </w:r>
      <w:r>
        <w:rPr>
          <w:rFonts w:ascii="Arial" w:cs="Arial" w:eastAsia="Arial" w:hAnsi="Arial"/>
          <w:sz w:val="18"/>
          <w:szCs w:val="18"/>
          <w:color w:val="auto"/>
        </w:rPr>
        <w:t>Maker hereby waives all notices in connection with the delivery, acceptance, performance, default, or enforcement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17" w:name="page18"/>
    <w:bookmarkEnd w:id="17"/>
    <w:p>
      <w:pPr>
        <w:ind w:left="660" w:right="480" w:hanging="652"/>
        <w:spacing w:after="0" w:line="314" w:lineRule="auto"/>
        <w:tabs>
          <w:tab w:leader="none" w:pos="660" w:val="left"/>
        </w:tabs>
        <w:numPr>
          <w:ilvl w:val="0"/>
          <w:numId w:val="20"/>
        </w:numPr>
        <w:rPr>
          <w:rFonts w:ascii="Arial" w:cs="Arial" w:eastAsia="Arial" w:hAnsi="Arial"/>
          <w:sz w:val="16"/>
          <w:szCs w:val="16"/>
          <w:color w:val="010000"/>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called for hereunder shall be deemed properly given if (i) sent by certified mail, return receipt requested, (ii) personally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(iii) dispatched by any form of private or governmental express mail or delivery service providing receipted delivery or (iv) sent by facsimile or (v) to the following addresses or to such other address as either party may designate by notice in accordance with this Section:</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Maker: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 I Acquisitions, Inc.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Payee: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Magna Management LLC</w:t>
      </w:r>
    </w:p>
    <w:p>
      <w:pPr>
        <w:ind w:left="130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Notice shall be deemed given on the earlier of (i) actual receipt by the receiving party, (ii) the date shown on a facsimile transmission confirmation, (iii) the date reflected on a signed delivery receipt, or (iv) two (2) Business Days following tender of delivery or dispatch by express mail or delivery service.</w:t>
      </w:r>
    </w:p>
    <w:p>
      <w:pPr>
        <w:spacing w:after="0" w:line="120" w:lineRule="exact"/>
        <w:rPr>
          <w:sz w:val="20"/>
          <w:szCs w:val="20"/>
          <w:color w:val="auto"/>
        </w:rPr>
      </w:pPr>
    </w:p>
    <w:p>
      <w:pPr>
        <w:ind w:left="660" w:right="40" w:hanging="652"/>
        <w:spacing w:after="0" w:line="282" w:lineRule="auto"/>
        <w:tabs>
          <w:tab w:leader="none" w:pos="660" w:val="left"/>
        </w:tabs>
        <w:numPr>
          <w:ilvl w:val="0"/>
          <w:numId w:val="21"/>
        </w:numPr>
        <w:rPr>
          <w:rFonts w:ascii="Arial" w:cs="Arial" w:eastAsia="Arial" w:hAnsi="Arial"/>
          <w:sz w:val="18"/>
          <w:szCs w:val="18"/>
          <w:color w:val="010000"/>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010000"/>
        </w:rPr>
      </w:pPr>
    </w:p>
    <w:p>
      <w:pPr>
        <w:ind w:left="660" w:right="20" w:hanging="652"/>
        <w:spacing w:after="0" w:line="266" w:lineRule="auto"/>
        <w:tabs>
          <w:tab w:leader="none" w:pos="660" w:val="left"/>
        </w:tabs>
        <w:numPr>
          <w:ilvl w:val="0"/>
          <w:numId w:val="21"/>
        </w:numPr>
        <w:rPr>
          <w:rFonts w:ascii="Arial" w:cs="Arial" w:eastAsia="Arial" w:hAnsi="Arial"/>
          <w:sz w:val="18"/>
          <w:szCs w:val="18"/>
          <w:color w:val="010000"/>
        </w:rPr>
      </w:pPr>
      <w:r>
        <w:rPr>
          <w:rFonts w:ascii="Arial" w:cs="Arial" w:eastAsia="Arial" w:hAnsi="Arial"/>
          <w:sz w:val="18"/>
          <w:szCs w:val="18"/>
          <w:b w:val="1"/>
          <w:bCs w:val="1"/>
          <w:color w:val="auto"/>
        </w:rPr>
        <w:t xml:space="preserve">Jurisdiction. </w:t>
      </w:r>
      <w:r>
        <w:rPr>
          <w:rFonts w:ascii="Arial" w:cs="Arial" w:eastAsia="Arial" w:hAnsi="Arial"/>
          <w:sz w:val="18"/>
          <w:szCs w:val="18"/>
          <w:color w:val="auto"/>
        </w:rPr>
        <w:t>The courts of New York have exclusive jurisdiction to settle any dispute arising out of or in connection with this agreement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 dispute relating to any non-contractual obligations arising out of or in connection with this agreement) and the parties submit to the exclusive jurisdiction of the courts of New York.</w:t>
      </w:r>
    </w:p>
    <w:p>
      <w:pPr>
        <w:spacing w:after="0" w:line="176" w:lineRule="exact"/>
        <w:rPr>
          <w:rFonts w:ascii="Arial" w:cs="Arial" w:eastAsia="Arial" w:hAnsi="Arial"/>
          <w:sz w:val="18"/>
          <w:szCs w:val="18"/>
          <w:color w:val="010000"/>
        </w:rPr>
      </w:pPr>
    </w:p>
    <w:p>
      <w:pPr>
        <w:ind w:left="660" w:right="260" w:hanging="652"/>
        <w:spacing w:after="0" w:line="289" w:lineRule="auto"/>
        <w:tabs>
          <w:tab w:leader="none" w:pos="660" w:val="left"/>
        </w:tabs>
        <w:numPr>
          <w:ilvl w:val="0"/>
          <w:numId w:val="21"/>
        </w:numPr>
        <w:rPr>
          <w:rFonts w:ascii="Arial" w:cs="Arial" w:eastAsia="Arial" w:hAnsi="Arial"/>
          <w:sz w:val="17"/>
          <w:szCs w:val="17"/>
          <w:color w:val="010000"/>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Any provision contained in this Note which is prohibited or unenforceable in any jurisdiction shall, as to such jurisdiction, be</w:t>
      </w:r>
      <w:r>
        <w:rPr>
          <w:rFonts w:ascii="Arial" w:cs="Arial" w:eastAsia="Arial" w:hAnsi="Arial"/>
          <w:sz w:val="17"/>
          <w:szCs w:val="17"/>
          <w:b w:val="1"/>
          <w:bCs w:val="1"/>
          <w:color w:val="auto"/>
        </w:rPr>
        <w:t xml:space="preserve"> </w:t>
      </w:r>
      <w:r>
        <w:rPr>
          <w:rFonts w:ascii="Arial" w:cs="Arial" w:eastAsia="Arial" w:hAnsi="Arial"/>
          <w:sz w:val="17"/>
          <w:szCs w:val="17"/>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rFonts w:ascii="Arial" w:cs="Arial" w:eastAsia="Arial" w:hAnsi="Arial"/>
          <w:sz w:val="17"/>
          <w:szCs w:val="17"/>
          <w:color w:val="010000"/>
        </w:rPr>
      </w:pPr>
    </w:p>
    <w:p>
      <w:pPr>
        <w:ind w:left="660" w:hanging="652"/>
        <w:spacing w:after="0"/>
        <w:tabs>
          <w:tab w:leader="none" w:pos="660" w:val="left"/>
        </w:tabs>
        <w:numPr>
          <w:ilvl w:val="0"/>
          <w:numId w:val="21"/>
        </w:numPr>
        <w:rPr>
          <w:rFonts w:ascii="Arial" w:cs="Arial" w:eastAsia="Arial" w:hAnsi="Arial"/>
          <w:sz w:val="17"/>
          <w:szCs w:val="17"/>
          <w:color w:val="010000"/>
        </w:rPr>
      </w:pPr>
      <w:r>
        <w:rPr>
          <w:rFonts w:ascii="Arial" w:cs="Arial" w:eastAsia="Arial" w:hAnsi="Arial"/>
          <w:sz w:val="17"/>
          <w:szCs w:val="17"/>
          <w:b w:val="1"/>
          <w:bCs w:val="1"/>
          <w:color w:val="auto"/>
        </w:rPr>
        <w:t xml:space="preserve">Trust Waiver. </w:t>
      </w:r>
      <w:r>
        <w:rPr>
          <w:rFonts w:ascii="Arial" w:cs="Arial" w:eastAsia="Arial" w:hAnsi="Arial"/>
          <w:sz w:val="17"/>
          <w:szCs w:val="17"/>
          <w:color w:val="auto"/>
        </w:rPr>
        <w:t>Notwithstanding anything herein to the contrary, the Payee hereby waives any and all right, title, interest or claim of any kind</w:t>
      </w:r>
    </w:p>
    <w:p>
      <w:pPr>
        <w:spacing w:after="0" w:line="38" w:lineRule="exact"/>
        <w:rPr>
          <w:rFonts w:ascii="Arial" w:cs="Arial" w:eastAsia="Arial" w:hAnsi="Arial"/>
          <w:sz w:val="17"/>
          <w:szCs w:val="17"/>
          <w:color w:val="010000"/>
        </w:rPr>
      </w:pPr>
    </w:p>
    <w:p>
      <w:pPr>
        <w:ind w:left="660"/>
        <w:spacing w:after="0" w:line="292" w:lineRule="auto"/>
        <w:rPr>
          <w:rFonts w:ascii="Arial" w:cs="Arial" w:eastAsia="Arial" w:hAnsi="Arial"/>
          <w:sz w:val="17"/>
          <w:szCs w:val="17"/>
          <w:color w:val="010000"/>
        </w:rPr>
      </w:pP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in or to any amounts contained in the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in which the proceeds of the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conducted by the Maker and the proceeds of the sale of securities in a private placement that occurred prior to the effectiveness of the IPO, as described in greater detail in the Prospectus, were placed,, and hereby agrees not to seek recourse, reimbursement, payment or satisfaction for any Claim from the trust account or any distribution therefrom for any reason whatsoever. If the Maker does not consummate a business combination (as described in the Prospectus), this Note shall be repaid only from amounts remaining outside of the Trust Account,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18" w:name="page19"/>
    <w:bookmarkEnd w:id="18"/>
    <w:p>
      <w:pPr>
        <w:ind w:left="660" w:right="20" w:hanging="652"/>
        <w:spacing w:after="0" w:line="282" w:lineRule="auto"/>
        <w:tabs>
          <w:tab w:leader="none" w:pos="660" w:val="left"/>
        </w:tabs>
        <w:numPr>
          <w:ilvl w:val="0"/>
          <w:numId w:val="22"/>
        </w:numPr>
        <w:rPr>
          <w:rFonts w:ascii="Arial" w:cs="Arial" w:eastAsia="Arial" w:hAnsi="Arial"/>
          <w:sz w:val="18"/>
          <w:szCs w:val="18"/>
          <w:color w:val="010000"/>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010000"/>
        </w:rPr>
      </w:pPr>
    </w:p>
    <w:p>
      <w:pPr>
        <w:ind w:left="660" w:right="80" w:hanging="652"/>
        <w:spacing w:after="0" w:line="347" w:lineRule="auto"/>
        <w:tabs>
          <w:tab w:leader="none" w:pos="660" w:val="left"/>
        </w:tabs>
        <w:numPr>
          <w:ilvl w:val="0"/>
          <w:numId w:val="22"/>
        </w:numPr>
        <w:rPr>
          <w:rFonts w:ascii="Arial" w:cs="Arial" w:eastAsia="Arial" w:hAnsi="Arial"/>
          <w:sz w:val="16"/>
          <w:szCs w:val="16"/>
          <w:color w:val="010000"/>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116" w:lineRule="exact"/>
        <w:rPr>
          <w:rFonts w:ascii="Arial" w:cs="Arial" w:eastAsia="Arial" w:hAnsi="Arial"/>
          <w:sz w:val="16"/>
          <w:szCs w:val="16"/>
          <w:color w:val="010000"/>
        </w:rPr>
      </w:pPr>
    </w:p>
    <w:p>
      <w:pPr>
        <w:ind w:left="660" w:hanging="652"/>
        <w:spacing w:after="0" w:line="266" w:lineRule="auto"/>
        <w:tabs>
          <w:tab w:leader="none" w:pos="660" w:val="left"/>
        </w:tabs>
        <w:numPr>
          <w:ilvl w:val="0"/>
          <w:numId w:val="22"/>
        </w:numPr>
        <w:rPr>
          <w:rFonts w:ascii="Arial" w:cs="Arial" w:eastAsia="Arial" w:hAnsi="Arial"/>
          <w:sz w:val="18"/>
          <w:szCs w:val="18"/>
          <w:color w:val="010000"/>
        </w:rPr>
      </w:pPr>
      <w:r>
        <w:rPr>
          <w:rFonts w:ascii="Arial" w:cs="Arial" w:eastAsia="Arial" w:hAnsi="Arial"/>
          <w:sz w:val="18"/>
          <w:szCs w:val="18"/>
          <w:b w:val="1"/>
          <w:bCs w:val="1"/>
          <w:color w:val="auto"/>
        </w:rPr>
        <w:t xml:space="preserve">Further Assurance. </w:t>
      </w:r>
      <w:r>
        <w:rPr>
          <w:rFonts w:ascii="Arial" w:cs="Arial" w:eastAsia="Arial" w:hAnsi="Arial"/>
          <w:sz w:val="18"/>
          <w:szCs w:val="18"/>
          <w:color w:val="auto"/>
        </w:rPr>
        <w:t>The Maker shall, at its own cost and expense, execute and do (or procure to be executed and done by any other necessary party)</w:t>
      </w:r>
      <w:r>
        <w:rPr>
          <w:rFonts w:ascii="Arial" w:cs="Arial" w:eastAsia="Arial" w:hAnsi="Arial"/>
          <w:sz w:val="18"/>
          <w:szCs w:val="18"/>
          <w:b w:val="1"/>
          <w:bCs w:val="1"/>
          <w:color w:val="auto"/>
        </w:rPr>
        <w:t xml:space="preserve"> </w:t>
      </w:r>
      <w:r>
        <w:rPr>
          <w:rFonts w:ascii="Arial" w:cs="Arial" w:eastAsia="Arial" w:hAnsi="Arial"/>
          <w:sz w:val="18"/>
          <w:szCs w:val="18"/>
          <w:color w:val="auto"/>
        </w:rPr>
        <w:t>all such deeds, documents, acts and things as the Payee may from time to time require as may be necessary to give full effect to this Promissory Note.</w:t>
      </w:r>
    </w:p>
    <w:p>
      <w:pPr>
        <w:spacing w:after="0" w:line="1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WITNESS WHEREOF, Maker, intending to be legally bound hereby, has caused this Note to be duly executed by its Chief Financial Officer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Marc Manuel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M I Acquisitions, Inc. Announces Additional Contribution to Trust Account to Extend Period to Consummate Business Combination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highlight w:val="white"/>
        </w:rPr>
        <w:t>New York, NY, March 14</w:t>
      </w:r>
      <w:r>
        <w:rPr>
          <w:rFonts w:ascii="Arial" w:cs="Arial" w:eastAsia="Arial" w:hAnsi="Arial"/>
          <w:sz w:val="30"/>
          <w:szCs w:val="30"/>
          <w:color w:val="auto"/>
          <w:highlight w:val="white"/>
          <w:vertAlign w:val="superscript"/>
        </w:rPr>
        <w:t>th</w:t>
      </w:r>
      <w:r>
        <w:rPr>
          <w:rFonts w:ascii="Arial" w:cs="Arial" w:eastAsia="Arial" w:hAnsi="Arial"/>
          <w:sz w:val="18"/>
          <w:szCs w:val="18"/>
          <w:color w:val="auto"/>
          <w:highlight w:val="white"/>
        </w:rPr>
        <w:t>, 2018 --- M I Acquisitions, Inc. (NASDAQ: MACQU, MACQ, MACQW) (“M I”), a Magna-sponsored special purpose acquisition company, announced today that M I’s sponsors (the “Sponsors”) have deposited into the M I trust account (the “Trust Account”) an aggregate of $132,752.73 (representing approximately $0.025 per share of common stock), in order to extend the period of time M I has to complete a business combination for an additional one (1) month, from March 19, 2018 to April 19, 2018. M I issued promissory notes to the Sponsors with a principal amount equal to the amount deposited. The Sponsors will have the option, but no obligation, to extend such term an additional two times, each by one additional month up to June 19, 2018 by depositing an aggregate of $265,505.45 into the Trust Account. The purpose of the extension is to provide time for M I to complete its previously announced business combination with Priority Holdings, LLC (“Priority”), a leading provider of B2C and B2B payment processing solutions based in Alpharetta, GA.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 I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097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highlight w:val="white"/>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Notice Regarding 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the funding of the Trust Account to extend the period of time for M I to consummate a business combination. Forward-looking statements are subject to numerous conditions, many of which are beyond the control of the M I, including those set forth in the Risk Factors section of M I’s annual report on Form 10-K for the year ended December 31, 2016,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transaction described herein, M I will file relevant materials with the Securities and Exchange Commission (the “SEC”), including a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2016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lvl w:ilvl="1">
      <w:lvlJc w:val="left"/>
      <w:lvlText w:val="(%2)"/>
      <w:numFmt w:val="lowerLetter"/>
      <w:start w:val="1"/>
    </w:lvl>
  </w:abstractNum>
  <w:abstractNum w:abstractNumId="5">
    <w:nsid w:val="DED7263"/>
    <w:multiLevelType w:val="hybridMultilevel"/>
    <w:lvl w:ilvl="0">
      <w:lvlJc w:val="left"/>
      <w:lvlText w:val="%1"/>
      <w:numFmt w:val="decimal"/>
      <w:start w:val="1"/>
    </w:lvl>
    <w:lvl w:ilvl="1">
      <w:lvlJc w:val="left"/>
      <w:lvlText w:val="(%2)"/>
      <w:numFmt w:val="lowerLetter"/>
      <w:start w:val="3"/>
    </w:lvl>
  </w:abstractNum>
  <w:abstractNum w:abstractNumId="6">
    <w:nsid w:val="7FDCC233"/>
    <w:multiLevelType w:val="hybridMultilevel"/>
    <w:lvl w:ilvl="0">
      <w:lvlJc w:val="left"/>
      <w:lvlText w:val="%1."/>
      <w:numFmt w:val="decimal"/>
      <w:start w:val="5"/>
    </w:lvl>
    <w:lvl w:ilvl="1">
      <w:lvlJc w:val="left"/>
      <w:lvlText w:val="(%2)"/>
      <w:numFmt w:val="lowerLetter"/>
      <w:start w:val="1"/>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3"/>
    </w:lvl>
  </w:abstractNum>
  <w:abstractNum w:abstractNumId="10">
    <w:nsid w:val="4E6AFB66"/>
    <w:multiLevelType w:val="hybridMultilevel"/>
    <w:lvl w:ilvl="0">
      <w:lvlJc w:val="left"/>
      <w:lvlText w:val="%1."/>
      <w:numFmt w:val="decimal"/>
      <w:start w:val="1"/>
    </w:lvl>
    <w:lvl w:ilvl="1">
      <w:lvlJc w:val="left"/>
      <w:lvlText w:val="(%2)"/>
      <w:numFmt w:val="lowerLetter"/>
      <w:start w:val="1"/>
    </w:lvl>
  </w:abstractNum>
  <w:abstractNum w:abstractNumId="11">
    <w:nsid w:val="25E45D32"/>
    <w:multiLevelType w:val="hybridMultilevel"/>
    <w:lvl w:ilvl="0">
      <w:lvlJc w:val="left"/>
      <w:lvlText w:val="%1"/>
      <w:numFmt w:val="decimal"/>
      <w:start w:val="1"/>
    </w:lvl>
    <w:lvl w:ilvl="1">
      <w:lvlJc w:val="left"/>
      <w:lvlText w:val="(%2)"/>
      <w:numFmt w:val="lowerLetter"/>
      <w:start w:val="3"/>
    </w:lvl>
  </w:abstractNum>
  <w:abstractNum w:abstractNumId="12">
    <w:nsid w:val="519B500D"/>
    <w:multiLevelType w:val="hybridMultilevel"/>
    <w:lvl w:ilvl="0">
      <w:lvlJc w:val="left"/>
      <w:lvlText w:val="%1."/>
      <w:numFmt w:val="decimal"/>
      <w:start w:val="5"/>
    </w:lvl>
    <w:lvl w:ilvl="1">
      <w:lvlJc w:val="left"/>
      <w:lvlText w:val="(%2)"/>
      <w:numFmt w:val="lowerLetter"/>
      <w:start w:val="1"/>
    </w:lvl>
  </w:abstractNum>
  <w:abstractNum w:abstractNumId="13">
    <w:nsid w:val="431BD7B7"/>
    <w:multiLevelType w:val="hybridMultilevel"/>
    <w:lvl w:ilvl="0">
      <w:lvlJc w:val="left"/>
      <w:lvlText w:val="%1."/>
      <w:numFmt w:val="decimal"/>
      <w:start w:val="8"/>
    </w:lvl>
  </w:abstractNum>
  <w:abstractNum w:abstractNumId="14">
    <w:nsid w:val="3F2DBA31"/>
    <w:multiLevelType w:val="hybridMultilevel"/>
    <w:lvl w:ilvl="0">
      <w:lvlJc w:val="left"/>
      <w:lvlText w:val="%1."/>
      <w:numFmt w:val="decimal"/>
      <w:start w:val="9"/>
    </w:lvl>
  </w:abstractNum>
  <w:abstractNum w:abstractNumId="15">
    <w:nsid w:val="7C83E458"/>
    <w:multiLevelType w:val="hybridMultilevel"/>
    <w:lvl w:ilvl="0">
      <w:lvlJc w:val="left"/>
      <w:lvlText w:val="%1."/>
      <w:numFmt w:val="decimal"/>
      <w:start w:val="13"/>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3"/>
    </w:lvl>
  </w:abstractNum>
  <w:abstractNum w:abstractNumId="18">
    <w:nsid w:val="436C6125"/>
    <w:multiLevelType w:val="hybridMultilevel"/>
    <w:lvl w:ilvl="0">
      <w:lvlJc w:val="left"/>
      <w:lvlText w:val="%1."/>
      <w:numFmt w:val="decimal"/>
      <w:start w:val="5"/>
    </w:lvl>
    <w:lvl w:ilvl="1">
      <w:lvlJc w:val="left"/>
      <w:lvlText w:val="(%2)"/>
      <w:numFmt w:val="lowerLetter"/>
      <w:start w:val="1"/>
    </w:lvl>
  </w:abstractNum>
  <w:abstractNum w:abstractNumId="19">
    <w:nsid w:val="628C895D"/>
    <w:multiLevelType w:val="hybridMultilevel"/>
    <w:lvl w:ilvl="0">
      <w:lvlJc w:val="left"/>
      <w:lvlText w:val="%1."/>
      <w:numFmt w:val="decimal"/>
      <w:start w:val="8"/>
    </w:lvl>
  </w:abstractNum>
  <w:abstractNum w:abstractNumId="20">
    <w:nsid w:val="333AB105"/>
    <w:multiLevelType w:val="hybridMultilevel"/>
    <w:lvl w:ilvl="0">
      <w:lvlJc w:val="left"/>
      <w:lvlText w:val="%1."/>
      <w:numFmt w:val="decimal"/>
      <w:start w:val="9"/>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2020-01-14T18:07:27Z</dcterms:created>
  <dcterms:modified xsi:type="dcterms:W3CDTF">2020-01-14T18:07:27Z</dcterms:modified>
</cp:coreProperties>
</file>