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May 24,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p>
      <w:pPr>
        <w:pStyle w:val="TextBody"/>
        <w:bidi w:val="0"/>
        <w:spacing w:before="0" w:after="0"/>
        <w:jc w:val="center"/>
        <w:rPr/>
      </w:pPr>
      <w:r>
        <w:rPr/>
        <w:drawing>
          <wp:inline distT="0" distB="0" distL="0" distR="0">
            <wp:extent cx="281940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1304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Priority Technology Holdings,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786"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77"/>
        <w:gridCol w:w="777"/>
        <w:gridCol w:w="785"/>
        <w:gridCol w:w="109"/>
        <w:gridCol w:w="109"/>
        <w:gridCol w:w="109"/>
        <w:gridCol w:w="897"/>
        <w:gridCol w:w="897"/>
        <w:gridCol w:w="128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001-37872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47-4257046</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 </w:t>
            </w:r>
          </w:p>
        </w:tc>
      </w:tr>
    </w:tbl>
    <w:p>
      <w:pPr>
        <w:pStyle w:val="TextBody"/>
        <w:bidi w:val="0"/>
        <w:spacing w:lineRule="auto" w:line="288" w:before="0" w:after="0"/>
        <w:jc w:val="left"/>
        <w:rPr>
          <w:color w:val="000000"/>
        </w:rPr>
      </w:pPr>
      <w:r>
        <w:rPr>
          <w:color w:val="000000"/>
        </w:rPr>
        <w:t> </w:t>
      </w:r>
    </w:p>
    <w:tbl>
      <w:tblPr>
        <w:tblW w:w="4810" w:type="dxa"/>
        <w:jc w:val="left"/>
        <w:tblInd w:w="0" w:type="dxa"/>
        <w:tblLayout w:type="fixed"/>
        <w:tblCellMar>
          <w:top w:w="28" w:type="dxa"/>
          <w:left w:w="28" w:type="dxa"/>
          <w:bottom w:w="28" w:type="dxa"/>
          <w:right w:w="28" w:type="dxa"/>
        </w:tblCellMar>
      </w:tblPr>
      <w:tblGrid>
        <w:gridCol w:w="631"/>
        <w:gridCol w:w="553"/>
        <w:gridCol w:w="553"/>
        <w:gridCol w:w="553"/>
        <w:gridCol w:w="553"/>
        <w:gridCol w:w="561"/>
        <w:gridCol w:w="109"/>
        <w:gridCol w:w="109"/>
        <w:gridCol w:w="109"/>
        <w:gridCol w:w="316"/>
        <w:gridCol w:w="316"/>
        <w:gridCol w:w="447"/>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2001 Westside Parkway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Alpharetta,</w:t>
            </w:r>
          </w:p>
        </w:tc>
        <w:tc>
          <w:tcPr>
            <w:tcW w:w="1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30004</w:t>
            </w:r>
          </w:p>
        </w:tc>
      </w:tr>
      <w:tr>
        <w:trPr/>
        <w:tc>
          <w:tcPr>
            <w:tcW w:w="34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(800) 935-5961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013"/>
        <w:gridCol w:w="890"/>
        <w:gridCol w:w="901"/>
        <w:gridCol w:w="109"/>
        <w:gridCol w:w="109"/>
        <w:gridCol w:w="109"/>
        <w:gridCol w:w="499"/>
        <w:gridCol w:w="499"/>
        <w:gridCol w:w="501"/>
        <w:gridCol w:w="109"/>
        <w:gridCol w:w="109"/>
        <w:gridCol w:w="109"/>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5.07.</w:t>
      </w:r>
      <w:r>
        <w:rPr>
          <w:color w:val="000000"/>
        </w:rPr>
        <w:t xml:space="preserve"> </w:t>
      </w:r>
      <w:r>
        <w:rPr>
          <w:rFonts w:ascii="Times New Roman;sans-serif" w:hAnsi="Times New Roman;sans-serif"/>
          <w:b/>
          <w:color w:val="000000"/>
          <w:sz w:val="20"/>
        </w:rPr>
        <w:t>Submission of Matters to a Vote of Security Holders.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On May 24, 2023, Priority Technology Holdings, Inc. (the “Company”) held its 2023 annual meeting of stockholders (the “Annual Meeting”).</w:t>
      </w:r>
      <w:r>
        <w:rPr>
          <w:color w:val="000000"/>
        </w:rPr>
        <w:t xml:space="preserve"> </w:t>
      </w:r>
      <w:r>
        <w:rPr>
          <w:rFonts w:ascii="Times New Roman;sans-serif" w:hAnsi="Times New Roman;sans-serif"/>
          <w:b w:val="false"/>
          <w:color w:val="000000"/>
          <w:sz w:val="20"/>
        </w:rPr>
        <w:t>A total of 54,580,681 shares, or 71.44% of the Company’s outstanding shares of common stock as of the record date for the Annual Meeting, were represented in person through virtual attendance or by proxy at the Annual meeting constituting a quorum.</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Proposal 1 – Election of Directors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Company’s stockholders elected each of the persons listed below to served as director until the next annual meeting in 2024 or until his earlier resignation, death, or removal.</w:t>
      </w:r>
      <w:r>
        <w:rPr>
          <w:color w:val="000000"/>
        </w:rPr>
        <w:t xml:space="preserve"> </w:t>
      </w:r>
      <w:r>
        <w:rPr>
          <w:rFonts w:ascii="Times New Roman;sans-serif" w:hAnsi="Times New Roman;sans-serif"/>
          <w:b w:val="false"/>
          <w:color w:val="000000"/>
          <w:sz w:val="20"/>
        </w:rPr>
        <w:t>The votes were cast as follows:</w:t>
      </w:r>
    </w:p>
    <w:p>
      <w:pPr>
        <w:pStyle w:val="TextBody"/>
        <w:bidi w:val="0"/>
        <w:spacing w:before="0" w:after="0"/>
        <w:jc w:val="both"/>
        <w:rPr/>
      </w:pPr>
      <w:r>
        <w:rPr/>
      </w:r>
    </w:p>
    <w:tbl>
      <w:tblPr>
        <w:tblW w:w="5868" w:type="dxa"/>
        <w:jc w:val="left"/>
        <w:tblInd w:w="0" w:type="dxa"/>
        <w:tblLayout w:type="fixed"/>
        <w:tblCellMar>
          <w:top w:w="28" w:type="dxa"/>
          <w:left w:w="28" w:type="dxa"/>
          <w:bottom w:w="28" w:type="dxa"/>
          <w:right w:w="28" w:type="dxa"/>
        </w:tblCellMar>
      </w:tblPr>
      <w:tblGrid>
        <w:gridCol w:w="586"/>
        <w:gridCol w:w="515"/>
        <w:gridCol w:w="519"/>
        <w:gridCol w:w="344"/>
        <w:gridCol w:w="344"/>
        <w:gridCol w:w="348"/>
        <w:gridCol w:w="259"/>
        <w:gridCol w:w="259"/>
        <w:gridCol w:w="263"/>
        <w:gridCol w:w="250"/>
        <w:gridCol w:w="250"/>
        <w:gridCol w:w="251"/>
        <w:gridCol w:w="492"/>
        <w:gridCol w:w="492"/>
        <w:gridCol w:w="696"/>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Name of Nominee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Thomas Priore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51,388,147</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78,094</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John Priore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50,830,290</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635,951</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 Crisafulli</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51,409,112</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36,906</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Marietta Davis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51,129,142</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335,599</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Christina Favilla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50,930,342</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534,399</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Stephen Hipp</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51,374,999</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54,336</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36,906</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r>
        <w:trPr/>
        <w:tc>
          <w:tcPr>
            <w:tcW w:w="16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Michael Passilla</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51,410,106</w:t>
            </w:r>
          </w:p>
        </w:tc>
        <w:tc>
          <w:tcPr>
            <w:tcW w:w="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54,635</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2 – Approval of Advisory Vote on Named Executive Officer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stockholders approved the advisory vote on Named Executive Officer Compensation.</w:t>
      </w:r>
      <w:r>
        <w:rPr>
          <w:color w:val="000000"/>
        </w:rPr>
        <w:t xml:space="preserve"> </w:t>
      </w:r>
      <w:r>
        <w:rPr>
          <w:rFonts w:ascii="Times New Roman;sans-serif" w:hAnsi="Times New Roman;sans-serif"/>
          <w:b w:val="false"/>
          <w:color w:val="000000"/>
          <w:sz w:val="20"/>
        </w:rPr>
        <w:t>The votes were cast as follows:</w:t>
      </w:r>
    </w:p>
    <w:p>
      <w:pPr>
        <w:pStyle w:val="TextBody"/>
        <w:bidi w:val="0"/>
        <w:spacing w:before="0" w:after="0"/>
        <w:jc w:val="left"/>
        <w:rPr/>
      </w:pPr>
      <w:r>
        <w:rPr/>
      </w:r>
    </w:p>
    <w:tbl>
      <w:tblPr>
        <w:tblW w:w="4233" w:type="dxa"/>
        <w:jc w:val="left"/>
        <w:tblInd w:w="0" w:type="dxa"/>
        <w:tblLayout w:type="fixed"/>
        <w:tblCellMar>
          <w:top w:w="28" w:type="dxa"/>
          <w:left w:w="28" w:type="dxa"/>
          <w:bottom w:w="28" w:type="dxa"/>
          <w:right w:w="28" w:type="dxa"/>
        </w:tblCellMar>
      </w:tblPr>
      <w:tblGrid>
        <w:gridCol w:w="380"/>
        <w:gridCol w:w="332"/>
        <w:gridCol w:w="339"/>
        <w:gridCol w:w="250"/>
        <w:gridCol w:w="250"/>
        <w:gridCol w:w="251"/>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51,399,187</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64,472</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2,582</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3,114,440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3 – Ratify the appointment of Ernst &amp; Young LLP as independent registered public accounting firm for the year ending December 31, 2023.</w:t>
      </w:r>
    </w:p>
    <w:p>
      <w:pPr>
        <w:pStyle w:val="TextBody"/>
        <w:bidi w:val="0"/>
        <w:spacing w:before="0" w:after="0"/>
        <w:jc w:val="left"/>
        <w:rPr/>
      </w:pPr>
      <w:r>
        <w:rPr/>
      </w:r>
    </w:p>
    <w:tbl>
      <w:tblPr>
        <w:tblW w:w="4293" w:type="dxa"/>
        <w:jc w:val="left"/>
        <w:tblInd w:w="0" w:type="dxa"/>
        <w:tblLayout w:type="fixed"/>
        <w:tblCellMar>
          <w:top w:w="28" w:type="dxa"/>
          <w:left w:w="28" w:type="dxa"/>
          <w:bottom w:w="28" w:type="dxa"/>
          <w:right w:w="28" w:type="dxa"/>
        </w:tblCellMar>
      </w:tblPr>
      <w:tblGrid>
        <w:gridCol w:w="380"/>
        <w:gridCol w:w="332"/>
        <w:gridCol w:w="339"/>
        <w:gridCol w:w="259"/>
        <w:gridCol w:w="259"/>
        <w:gridCol w:w="263"/>
        <w:gridCol w:w="259"/>
        <w:gridCol w:w="259"/>
        <w:gridCol w:w="263"/>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54,090,976</w:t>
            </w:r>
          </w:p>
        </w:tc>
        <w:tc>
          <w:tcPr>
            <w:tcW w:w="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279,836</w:t>
            </w:r>
          </w:p>
        </w:tc>
        <w:tc>
          <w:tcPr>
            <w:tcW w:w="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209,869</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9.01.</w:t>
      </w:r>
      <w:r>
        <w:rPr>
          <w:color w:val="000000"/>
        </w:rPr>
        <w:t xml:space="preserve"> </w:t>
      </w:r>
      <w:r>
        <w:rPr>
          <w:rFonts w:ascii="Times New Roman;sans-serif" w:hAnsi="Times New Roman;sans-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 – The following exhibit is furnished as part of this Current Report on Form 8-K.</w:t>
      </w:r>
    </w:p>
    <w:p>
      <w:pPr>
        <w:pStyle w:val="TextBody"/>
        <w:bidi w:val="0"/>
        <w:spacing w:before="0" w:after="0"/>
        <w:jc w:val="left"/>
        <w:rPr/>
      </w:pPr>
      <w:r>
        <w:rPr/>
      </w:r>
    </w:p>
    <w:tbl>
      <w:tblPr>
        <w:tblW w:w="8144" w:type="dxa"/>
        <w:jc w:val="left"/>
        <w:tblInd w:w="0" w:type="dxa"/>
        <w:tblLayout w:type="fixed"/>
        <w:tblCellMar>
          <w:top w:w="28" w:type="dxa"/>
          <w:left w:w="28" w:type="dxa"/>
          <w:bottom w:w="28" w:type="dxa"/>
          <w:right w:w="28" w:type="dxa"/>
        </w:tblCellMar>
      </w:tblPr>
      <w:tblGrid>
        <w:gridCol w:w="538"/>
        <w:gridCol w:w="472"/>
        <w:gridCol w:w="474"/>
        <w:gridCol w:w="1946"/>
        <w:gridCol w:w="1946"/>
        <w:gridCol w:w="276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Current Report on Form 8-K, formatted in Inline XBRL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tbl>
      <w:tblPr>
        <w:tblW w:w="5698" w:type="dxa"/>
        <w:jc w:val="left"/>
        <w:tblInd w:w="0" w:type="dxa"/>
        <w:tblLayout w:type="fixed"/>
        <w:tblCellMar>
          <w:top w:w="28" w:type="dxa"/>
          <w:left w:w="28" w:type="dxa"/>
          <w:bottom w:w="28" w:type="dxa"/>
          <w:right w:w="28" w:type="dxa"/>
        </w:tblCellMar>
      </w:tblPr>
      <w:tblGrid>
        <w:gridCol w:w="667"/>
        <w:gridCol w:w="586"/>
        <w:gridCol w:w="592"/>
        <w:gridCol w:w="599"/>
        <w:gridCol w:w="599"/>
        <w:gridCol w:w="599"/>
        <w:gridCol w:w="599"/>
        <w:gridCol w:w="599"/>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May 24, 2023</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Timothy O'Leary</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Timothy O'Leary</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3529</Characters>
  <CharactersWithSpaces>4145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