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BRADLEY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CRO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68,729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68,729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68,729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5, 2026, the Reporting Person was granted 68,729 restricted stock units which vest as follows: [22,910 on February 5, 2027, 22,910 on February 5, 2028, and 22,909 on February 5, 2029] subject to the Reporting Person's continued employment with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Miller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02/09/2026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597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2026-02-09T15:44:22Z</dcterms:created>
  <dcterms:modified xsi:type="dcterms:W3CDTF">2026-02-09T15:44:22Z</dcterms:modified>
</cp:coreProperties>
</file>