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22,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656"/>
        </w:trPr>
        <w:tc>
          <w:tcPr>
            <w:tcW w:w="20" w:type="dxa"/>
            <w:vAlign w:val="bottom"/>
          </w:tcPr>
          <w:p>
            <w:pPr>
              <w:spacing w:after="0"/>
              <w:rPr>
                <w:sz w:val="24"/>
                <w:szCs w:val="24"/>
                <w:color w:val="auto"/>
              </w:rPr>
            </w:pPr>
          </w:p>
        </w:tc>
        <w:tc>
          <w:tcPr>
            <w:tcW w:w="44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0"/>
              </w:rPr>
              <w:t>2001 Westside Parkway</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8"/>
              </w:rPr>
              <w:t>Suite 155</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5"/>
              </w:rPr>
              <w:t>Alpharetta, GA</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6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tcPr>
          <w:p>
            <w:pPr>
              <w:jc w:val="center"/>
              <w:ind w:right="189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March 22, 2019, Priority Technology Holdings, Inc. (the "Company"), through one of its subsidiaries, acquired certain assets and assumed certain related liabilities (the "net assets") from YapStone, Inc. ("YapStone") under an asset purchase and contribution agreement. The purchase price for the net assets was $65.0 million in cash and a 6.142% non-controlling interest in the Company's subsidiary that purchased the net assets of YapStone. The $65.0 million was funded from a draw down of the Company's credit facility under the Credit and Guaranty Agreement with Priority Holdings, LLC, a wholly-owned subsidiary of the Company, as guarantor, the other guarantors party thereto, SunTrust Bank, as administrative agent and collateral agent, and certain lenders from time to time, on a delayed basis as provided for and pursuant to the third amendment thereto executed in December 2018.</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Vollkommer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472"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2019-12-03T20:03:33Z</dcterms:created>
  <dcterms:modified xsi:type="dcterms:W3CDTF">2019-12-03T20:03:33Z</dcterms:modified>
</cp:coreProperties>
</file>